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醴陵市城区管理委员会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hint="eastAsia" w:eastAsia="仿宋_GB2312"/>
          <w:sz w:val="32"/>
          <w:szCs w:val="32"/>
          <w:lang w:eastAsia="zh-CN"/>
        </w:rPr>
      </w:pPr>
      <w:r>
        <w:rPr>
          <w:rFonts w:hAnsi="仿宋_GB2312" w:eastAsia="仿宋_GB2312"/>
          <w:sz w:val="32"/>
          <w:szCs w:val="32"/>
        </w:rPr>
        <w:t>二、机构设置</w:t>
      </w:r>
      <w:r>
        <w:rPr>
          <w:rFonts w:hint="eastAsia" w:hAnsi="仿宋_GB2312" w:eastAsia="仿宋_GB2312"/>
          <w:sz w:val="32"/>
          <w:szCs w:val="32"/>
          <w:lang w:eastAsia="zh-CN"/>
        </w:rPr>
        <w:t>及预算单位构成</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1、宣传贯彻党和政府有关城市建设、管理工作的政策、法规，为市委、市政府城市建设、城市管理工作决策当好参谋。</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2、牵头、协调城建城管各单位工作。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3、牵头组织领导街道办事处加强城市建设、城市管理。</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4、协助审核城市维护费的年度计划和经费分配方案，并对各单位的使用情况进行监督。</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5、完成市委、市政府交办的其他工作。</w:t>
      </w:r>
    </w:p>
    <w:p>
      <w:pPr>
        <w:tabs>
          <w:tab w:val="left" w:pos="7560"/>
        </w:tabs>
        <w:adjustRightInd w:val="0"/>
        <w:snapToGrid w:val="0"/>
        <w:spacing w:line="560" w:lineRule="exact"/>
        <w:ind w:firstLine="640" w:firstLineChars="200"/>
        <w:rPr>
          <w:rFonts w:hint="eastAsia" w:eastAsia="黑体"/>
          <w:color w:val="000000"/>
          <w:sz w:val="32"/>
          <w:szCs w:val="32"/>
          <w:lang w:eastAsia="zh-CN"/>
        </w:rPr>
      </w:pPr>
      <w:r>
        <w:rPr>
          <w:rFonts w:hAnsi="黑体" w:eastAsia="黑体"/>
          <w:color w:val="000000"/>
          <w:sz w:val="32"/>
          <w:szCs w:val="32"/>
        </w:rPr>
        <w:t>二、机构设置</w:t>
      </w:r>
      <w:r>
        <w:rPr>
          <w:rFonts w:hint="eastAsia" w:hAnsi="黑体" w:eastAsia="黑体"/>
          <w:color w:val="000000"/>
          <w:sz w:val="32"/>
          <w:szCs w:val="32"/>
          <w:lang w:eastAsia="zh-CN"/>
        </w:rPr>
        <w:t>及预算单位构成</w:t>
      </w:r>
    </w:p>
    <w:p>
      <w:pPr>
        <w:tabs>
          <w:tab w:val="left" w:pos="7560"/>
        </w:tabs>
        <w:adjustRightInd w:val="0"/>
        <w:snapToGrid w:val="0"/>
        <w:spacing w:line="560" w:lineRule="exact"/>
        <w:ind w:firstLine="640" w:firstLineChars="200"/>
        <w:rPr>
          <w:rFonts w:hint="eastAsia" w:eastAsia="仿宋_GB2312"/>
          <w:sz w:val="32"/>
          <w:szCs w:val="32"/>
        </w:rPr>
      </w:pPr>
      <w:r>
        <w:rPr>
          <w:rFonts w:eastAsia="仿宋_GB2312"/>
          <w:bCs/>
          <w:color w:val="000000"/>
          <w:sz w:val="32"/>
          <w:szCs w:val="32"/>
        </w:rPr>
        <w:t> </w:t>
      </w:r>
      <w:r>
        <w:rPr>
          <w:rFonts w:hint="eastAsia" w:eastAsia="仿宋_GB2312"/>
          <w:sz w:val="32"/>
          <w:szCs w:val="32"/>
        </w:rPr>
        <w:t xml:space="preserve">（一）内设机构设置。本部门共有编制人数 </w:t>
      </w:r>
      <w:r>
        <w:rPr>
          <w:rFonts w:hint="eastAsia" w:eastAsia="仿宋_GB2312"/>
          <w:sz w:val="32"/>
          <w:szCs w:val="32"/>
          <w:lang w:val="en-US" w:eastAsia="zh-CN"/>
        </w:rPr>
        <w:t>7</w:t>
      </w:r>
      <w:r>
        <w:rPr>
          <w:rFonts w:hint="eastAsia" w:eastAsia="仿宋_GB2312"/>
          <w:sz w:val="32"/>
          <w:szCs w:val="32"/>
        </w:rPr>
        <w:t>人，实有人数 3 人。内设股室2  个，分别为：办公室、考科办。</w:t>
      </w:r>
    </w:p>
    <w:p>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（二）</w:t>
      </w:r>
      <w:r>
        <w:rPr>
          <w:rFonts w:hint="eastAsia" w:eastAsia="仿宋_GB2312"/>
          <w:sz w:val="32"/>
          <w:szCs w:val="32"/>
          <w:lang w:eastAsia="zh-CN"/>
        </w:rPr>
        <w:t>预</w:t>
      </w:r>
      <w:r>
        <w:rPr>
          <w:rFonts w:hint="eastAsia" w:eastAsia="仿宋_GB2312"/>
          <w:sz w:val="32"/>
          <w:szCs w:val="32"/>
        </w:rPr>
        <w:t>算单位构成。醴陵城区管理委员会单位20</w:t>
      </w:r>
      <w:r>
        <w:rPr>
          <w:rFonts w:hint="eastAsia" w:eastAsia="仿宋_GB2312"/>
          <w:sz w:val="32"/>
          <w:szCs w:val="32"/>
          <w:lang w:val="en-US" w:eastAsia="zh-CN"/>
        </w:rPr>
        <w:t>21</w:t>
      </w:r>
      <w:r>
        <w:rPr>
          <w:rFonts w:hint="eastAsia" w:eastAsia="仿宋_GB2312"/>
          <w:sz w:val="32"/>
          <w:szCs w:val="32"/>
        </w:rPr>
        <w:t>年部门</w:t>
      </w:r>
      <w:r>
        <w:rPr>
          <w:rFonts w:hint="eastAsia" w:eastAsia="仿宋_GB2312"/>
          <w:sz w:val="32"/>
          <w:szCs w:val="32"/>
          <w:lang w:eastAsia="zh-CN"/>
        </w:rPr>
        <w:t>预</w:t>
      </w:r>
      <w:r>
        <w:rPr>
          <w:rFonts w:hint="eastAsia" w:eastAsia="仿宋_GB2312"/>
          <w:sz w:val="32"/>
          <w:szCs w:val="32"/>
        </w:rPr>
        <w:t>算汇总公开单位构成包括：醴陵城区管理委员会单位本级，无二级机构。</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城区管理委员会</w:t>
      </w:r>
      <w:r>
        <w:rPr>
          <w:rFonts w:eastAsia="仿宋_GB2312"/>
          <w:color w:val="000000"/>
          <w:sz w:val="32"/>
          <w:szCs w:val="32"/>
        </w:rPr>
        <w:t>机关</w:t>
      </w:r>
      <w:r>
        <w:rPr>
          <w:rFonts w:hint="eastAsia" w:eastAsia="仿宋_GB2312"/>
          <w:color w:val="000000"/>
          <w:sz w:val="32"/>
          <w:szCs w:val="32"/>
        </w:rPr>
        <w:t>，无下属</w:t>
      </w:r>
      <w:r>
        <w:rPr>
          <w:rFonts w:eastAsia="仿宋_GB2312"/>
          <w:color w:val="000000"/>
          <w:sz w:val="32"/>
          <w:szCs w:val="32"/>
        </w:rPr>
        <w:t>二级预算单位。收入</w:t>
      </w:r>
      <w:r>
        <w:rPr>
          <w:rFonts w:hint="eastAsia" w:eastAsia="仿宋_GB2312"/>
          <w:color w:val="000000"/>
          <w:sz w:val="32"/>
          <w:szCs w:val="32"/>
        </w:rPr>
        <w:t>全部为</w:t>
      </w:r>
      <w:r>
        <w:rPr>
          <w:rFonts w:eastAsia="仿宋_GB2312"/>
          <w:color w:val="000000"/>
          <w:sz w:val="32"/>
          <w:szCs w:val="32"/>
        </w:rPr>
        <w:t>一般公共预算收入；支出</w:t>
      </w:r>
      <w:r>
        <w:rPr>
          <w:rFonts w:hint="eastAsia" w:eastAsia="仿宋_GB2312"/>
          <w:color w:val="000000"/>
          <w:sz w:val="32"/>
          <w:szCs w:val="32"/>
        </w:rPr>
        <w:t>为</w:t>
      </w:r>
      <w:r>
        <w:rPr>
          <w:rFonts w:eastAsia="仿宋_GB2312"/>
          <w:color w:val="000000"/>
          <w:sz w:val="32"/>
          <w:szCs w:val="32"/>
        </w:rPr>
        <w:t>保障</w:t>
      </w:r>
      <w:r>
        <w:rPr>
          <w:rFonts w:hint="eastAsia" w:eastAsia="仿宋_GB2312"/>
          <w:color w:val="000000"/>
          <w:sz w:val="32"/>
          <w:szCs w:val="32"/>
        </w:rPr>
        <w:t>城区管理委员会</w:t>
      </w:r>
      <w:r>
        <w:rPr>
          <w:rFonts w:eastAsia="仿宋_GB2312"/>
          <w:color w:val="000000"/>
          <w:sz w:val="32"/>
          <w:szCs w:val="32"/>
        </w:rPr>
        <w:t>机关基本运行的经费。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47.08</w:t>
      </w:r>
      <w:r>
        <w:rPr>
          <w:rFonts w:eastAsia="仿宋_GB2312"/>
          <w:color w:val="000000"/>
          <w:sz w:val="32"/>
          <w:szCs w:val="32"/>
        </w:rPr>
        <w:t>万元，其中，一般公共预算拨款</w:t>
      </w:r>
      <w:r>
        <w:rPr>
          <w:rFonts w:hint="eastAsia" w:eastAsia="仿宋_GB2312"/>
          <w:color w:val="000000"/>
          <w:sz w:val="32"/>
          <w:szCs w:val="32"/>
        </w:rPr>
        <w:t>47.08</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47.08</w:t>
      </w:r>
      <w:r>
        <w:rPr>
          <w:rFonts w:eastAsia="仿宋_GB2312"/>
          <w:color w:val="000000"/>
          <w:sz w:val="32"/>
          <w:szCs w:val="32"/>
        </w:rPr>
        <w:t>万元，其中，</w:t>
      </w:r>
      <w:r>
        <w:rPr>
          <w:rFonts w:hint="eastAsia" w:eastAsia="仿宋_GB2312"/>
          <w:color w:val="000000"/>
          <w:sz w:val="32"/>
          <w:szCs w:val="32"/>
        </w:rPr>
        <w:t>城乡社区</w:t>
      </w:r>
      <w:r>
        <w:rPr>
          <w:rFonts w:eastAsia="仿宋_GB2312"/>
          <w:color w:val="000000"/>
          <w:sz w:val="32"/>
          <w:szCs w:val="32"/>
        </w:rPr>
        <w:t>支出</w:t>
      </w:r>
      <w:r>
        <w:rPr>
          <w:rFonts w:hint="eastAsia" w:eastAsia="仿宋_GB2312"/>
          <w:color w:val="000000"/>
          <w:sz w:val="32"/>
          <w:szCs w:val="32"/>
        </w:rPr>
        <w:t>46.01</w:t>
      </w:r>
      <w:r>
        <w:rPr>
          <w:rFonts w:eastAsia="仿宋_GB2312"/>
          <w:color w:val="000000"/>
          <w:sz w:val="32"/>
          <w:szCs w:val="32"/>
        </w:rPr>
        <w:t>万元，</w:t>
      </w:r>
      <w:r>
        <w:rPr>
          <w:rFonts w:hint="eastAsia" w:eastAsia="仿宋_GB2312"/>
          <w:color w:val="000000"/>
          <w:sz w:val="32"/>
          <w:szCs w:val="32"/>
        </w:rPr>
        <w:t>卫生健康支出1.07</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highlight w:val="none"/>
        </w:rPr>
        <w:t>47.08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rPr>
          <w:rFonts w:eastAsia="仿宋_GB2312"/>
          <w:color w:val="000000"/>
          <w:sz w:val="32"/>
          <w:szCs w:val="32"/>
        </w:rPr>
      </w:pPr>
      <w:bookmarkStart w:id="0" w:name="_GoBack"/>
      <w:bookmarkEnd w:id="0"/>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w:t>
      </w:r>
      <w:r>
        <w:rPr>
          <w:rFonts w:hint="eastAsia" w:eastAsia="仿宋_GB2312"/>
          <w:color w:val="000000"/>
          <w:sz w:val="32"/>
          <w:szCs w:val="32"/>
        </w:rPr>
        <w:t>无项目支出预算。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47.08</w:t>
      </w:r>
      <w:r>
        <w:rPr>
          <w:rFonts w:eastAsia="仿宋_GB2312"/>
          <w:color w:val="000000"/>
          <w:sz w:val="32"/>
          <w:szCs w:val="32"/>
        </w:rPr>
        <w:t>万元，比上年增加</w:t>
      </w:r>
      <w:r>
        <w:rPr>
          <w:rFonts w:hint="eastAsia" w:eastAsia="仿宋_GB2312"/>
          <w:color w:val="000000"/>
          <w:sz w:val="32"/>
          <w:szCs w:val="32"/>
        </w:rPr>
        <w:t>0.1</w:t>
      </w:r>
      <w:r>
        <w:rPr>
          <w:rFonts w:eastAsia="仿宋_GB2312"/>
          <w:color w:val="000000"/>
          <w:sz w:val="32"/>
          <w:szCs w:val="32"/>
        </w:rPr>
        <w:t>万元，主要原因是</w:t>
      </w:r>
      <w:r>
        <w:rPr>
          <w:rFonts w:hint="eastAsia" w:eastAsia="仿宋_GB2312"/>
          <w:color w:val="000000"/>
          <w:sz w:val="32"/>
          <w:szCs w:val="32"/>
        </w:rPr>
        <w:t>基本工资调级增加。</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19.30</w:t>
      </w:r>
      <w:r>
        <w:rPr>
          <w:rFonts w:eastAsia="仿宋_GB2312"/>
          <w:color w:val="000000"/>
          <w:sz w:val="32"/>
          <w:szCs w:val="32"/>
        </w:rPr>
        <w:t>万元，比上年度预算增加</w:t>
      </w:r>
      <w:r>
        <w:rPr>
          <w:rFonts w:hint="eastAsia" w:eastAsia="仿宋_GB2312"/>
          <w:color w:val="000000"/>
          <w:sz w:val="32"/>
          <w:szCs w:val="32"/>
        </w:rPr>
        <w:t>0.26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公用经费增加。</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0</w:t>
      </w:r>
      <w:r>
        <w:rPr>
          <w:rFonts w:eastAsia="仿宋_GB2312"/>
          <w:color w:val="000000"/>
          <w:sz w:val="32"/>
          <w:szCs w:val="32"/>
        </w:rPr>
        <w:t xml:space="preserve"> 平方米；车辆</w:t>
      </w:r>
      <w:r>
        <w:rPr>
          <w:rFonts w:hint="eastAsia" w:eastAsia="仿宋_GB2312"/>
          <w:color w:val="000000"/>
          <w:sz w:val="32"/>
          <w:szCs w:val="32"/>
        </w:rPr>
        <w:t>0</w:t>
      </w:r>
      <w:r>
        <w:rPr>
          <w:rFonts w:eastAsia="仿宋_GB2312"/>
          <w:color w:val="000000"/>
          <w:sz w:val="32"/>
          <w:szCs w:val="32"/>
        </w:rPr>
        <w:t xml:space="preserve"> 辆；单位价值200万以上大型设备</w:t>
      </w:r>
      <w:r>
        <w:rPr>
          <w:rFonts w:hint="eastAsia" w:eastAsia="仿宋_GB2312"/>
          <w:color w:val="000000"/>
          <w:sz w:val="32"/>
          <w:szCs w:val="32"/>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47.08</w:t>
      </w:r>
      <w:r>
        <w:rPr>
          <w:rFonts w:eastAsia="仿宋_GB2312"/>
          <w:color w:val="000000"/>
          <w:sz w:val="32"/>
          <w:szCs w:val="32"/>
        </w:rPr>
        <w:t>万元，其中，基本支出</w:t>
      </w:r>
      <w:r>
        <w:rPr>
          <w:rFonts w:hint="eastAsia" w:eastAsia="仿宋_GB2312"/>
          <w:color w:val="000000"/>
          <w:sz w:val="32"/>
          <w:szCs w:val="32"/>
        </w:rPr>
        <w:t>47.08</w:t>
      </w:r>
      <w:r>
        <w:rPr>
          <w:rFonts w:eastAsia="仿宋_GB2312"/>
          <w:color w:val="000000"/>
          <w:sz w:val="32"/>
          <w:szCs w:val="32"/>
        </w:rPr>
        <w:t>万元，项目支出</w:t>
      </w:r>
      <w:r>
        <w:rPr>
          <w:rFonts w:hint="eastAsia" w:eastAsia="仿宋_GB2312"/>
          <w:color w:val="000000"/>
          <w:sz w:val="32"/>
          <w:szCs w:val="32"/>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仿宋_GB2312"/>
          <w:bCs/>
          <w:color w:val="000000"/>
          <w:sz w:val="32"/>
          <w:szCs w:val="32"/>
        </w:rPr>
        <w:t>本单位</w:t>
      </w:r>
      <w:r>
        <w:rPr>
          <w:rFonts w:hint="eastAsia" w:eastAsia="仿宋_GB2312"/>
          <w:bCs/>
          <w:color w:val="000000"/>
          <w:sz w:val="32"/>
          <w:szCs w:val="32"/>
        </w:rPr>
        <w:t>本年度与上年度</w:t>
      </w:r>
      <w:r>
        <w:rPr>
          <w:rFonts w:eastAsia="仿宋_GB2312"/>
          <w:bCs/>
          <w:color w:val="000000"/>
          <w:sz w:val="32"/>
          <w:szCs w:val="32"/>
        </w:rPr>
        <w:t>无公共财政拨款三公经费预算，所有“三公”经费均为自有资金安排。</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仿宋_GB2312"/>
          <w:bCs/>
          <w:color w:val="000000"/>
          <w:sz w:val="32"/>
          <w:szCs w:val="32"/>
        </w:rPr>
        <w:t>本单位</w:t>
      </w:r>
      <w:r>
        <w:rPr>
          <w:rFonts w:hint="eastAsia" w:eastAsia="仿宋_GB2312"/>
          <w:bCs/>
          <w:color w:val="000000"/>
          <w:sz w:val="32"/>
          <w:szCs w:val="32"/>
        </w:rPr>
        <w:t>2021年预算未安排会议费、培训费。</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仿宋_GB2312"/>
          <w:bCs/>
          <w:color w:val="000000"/>
          <w:sz w:val="32"/>
          <w:szCs w:val="32"/>
        </w:rPr>
        <w:t>本单位</w:t>
      </w:r>
      <w:r>
        <w:rPr>
          <w:rFonts w:hint="eastAsia" w:eastAsia="仿宋_GB2312"/>
          <w:bCs/>
          <w:color w:val="000000"/>
          <w:sz w:val="32"/>
          <w:szCs w:val="32"/>
        </w:rPr>
        <w:t>2021年预算未安排基本支出对个人和家庭的补助支出。</w:t>
      </w:r>
    </w:p>
    <w:p>
      <w:pPr>
        <w:tabs>
          <w:tab w:val="left" w:pos="7560"/>
        </w:tabs>
        <w:adjustRightInd w:val="0"/>
        <w:snapToGrid w:val="0"/>
        <w:spacing w:line="560" w:lineRule="exact"/>
        <w:ind w:firstLine="640" w:firstLineChars="200"/>
        <w:rPr>
          <w:rFonts w:hint="eastAsia" w:eastAsia="楷体_GB2312"/>
          <w:bCs/>
          <w:color w:val="000000"/>
          <w:sz w:val="32"/>
          <w:szCs w:val="32"/>
        </w:rPr>
      </w:pPr>
      <w:r>
        <w:rPr>
          <w:rFonts w:eastAsia="仿宋_GB2312"/>
          <w:bCs/>
          <w:color w:val="000000"/>
          <w:sz w:val="32"/>
          <w:szCs w:val="32"/>
        </w:rPr>
        <w:t>本单位</w:t>
      </w:r>
      <w:r>
        <w:rPr>
          <w:rFonts w:hint="eastAsia" w:eastAsia="仿宋_GB2312"/>
          <w:bCs/>
          <w:color w:val="000000"/>
          <w:sz w:val="32"/>
          <w:szCs w:val="32"/>
        </w:rPr>
        <w:t>2021年预算未安排</w:t>
      </w:r>
      <w:r>
        <w:rPr>
          <w:rFonts w:hint="eastAsia" w:eastAsia="楷体_GB2312"/>
          <w:bCs/>
          <w:color w:val="000000"/>
          <w:sz w:val="32"/>
          <w:szCs w:val="32"/>
        </w:rPr>
        <w:t>政府性基金预算支出情况表。</w:t>
      </w:r>
    </w:p>
    <w:p>
      <w:pPr>
        <w:tabs>
          <w:tab w:val="left" w:pos="7560"/>
        </w:tabs>
        <w:adjustRightInd w:val="0"/>
        <w:snapToGrid w:val="0"/>
        <w:spacing w:line="560" w:lineRule="exact"/>
        <w:ind w:firstLine="640" w:firstLineChars="200"/>
      </w:pP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rPr>
          <w:rFonts w:hint="eastAsia" w:eastAsia="楷体_GB2312"/>
          <w:bCs/>
          <w:color w:val="000000"/>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2FiOTA2NzEzMDJiODA5NjgwOWFkM2Y3MDg4MDg3MDkifQ=="/>
  </w:docVars>
  <w:rsids>
    <w:rsidRoot w:val="00D84058"/>
    <w:rsid w:val="000F4E06"/>
    <w:rsid w:val="002F1F1B"/>
    <w:rsid w:val="00323B43"/>
    <w:rsid w:val="003D37D8"/>
    <w:rsid w:val="004358AB"/>
    <w:rsid w:val="004969B4"/>
    <w:rsid w:val="00534B9D"/>
    <w:rsid w:val="005553BA"/>
    <w:rsid w:val="005F6993"/>
    <w:rsid w:val="006464CA"/>
    <w:rsid w:val="0077734D"/>
    <w:rsid w:val="008B7726"/>
    <w:rsid w:val="00A556AD"/>
    <w:rsid w:val="00B221AD"/>
    <w:rsid w:val="00B5628C"/>
    <w:rsid w:val="00CB1E75"/>
    <w:rsid w:val="00D157F8"/>
    <w:rsid w:val="00D84058"/>
    <w:rsid w:val="00E315E9"/>
    <w:rsid w:val="00E966B0"/>
    <w:rsid w:val="00F226F0"/>
    <w:rsid w:val="0AD81455"/>
    <w:rsid w:val="0D9F31AB"/>
    <w:rsid w:val="11C12C43"/>
    <w:rsid w:val="15634011"/>
    <w:rsid w:val="179548D4"/>
    <w:rsid w:val="20606376"/>
    <w:rsid w:val="27912C60"/>
    <w:rsid w:val="2E293BF2"/>
    <w:rsid w:val="2EBE0085"/>
    <w:rsid w:val="3FBC53CF"/>
    <w:rsid w:val="491879E2"/>
    <w:rsid w:val="4CE8736C"/>
    <w:rsid w:val="4D637CA4"/>
    <w:rsid w:val="549C1660"/>
    <w:rsid w:val="5ACD738E"/>
    <w:rsid w:val="5F436814"/>
    <w:rsid w:val="633140F4"/>
    <w:rsid w:val="64EA3887"/>
    <w:rsid w:val="67446DCC"/>
    <w:rsid w:val="67E91721"/>
    <w:rsid w:val="682B1D3A"/>
    <w:rsid w:val="6E6261AB"/>
    <w:rsid w:val="79444A09"/>
    <w:rsid w:val="7FA7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65F8E-3623-4515-8813-E1288A0EEC26}">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2388</Words>
  <Characters>2518</Characters>
  <Lines>17</Lines>
  <Paragraphs>5</Paragraphs>
  <TotalTime>2</TotalTime>
  <ScaleCrop>false</ScaleCrop>
  <LinksUpToDate>false</LinksUpToDate>
  <CharactersWithSpaces>2539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2022-09-12T12:48:55Z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1C06319629D94163917C1A19CE1B26A0</vt:lpwstr>
  </property>
</Properties>
</file>