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醴陵市茶山镇</w:t>
      </w: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一、部门职能职责（仿宋，三号）</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二、机构设置</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三、部门收支概况</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（一）收入预算</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（二）支出预算</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（三）预算收支增减变化情况说明</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四、其他重要事项情况说明</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（一）机关运行经费</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（二）政府采购预算</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（三）国有资产占有情况</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（四）预算绩效目标</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（五）“三公”经费预算</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（六）会议费、培训费</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（七）其他事项</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五、名词解释</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六、部门预算公开表格</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（一）部门收支总表</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（二）部门收入总表</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（三）部门支出总表</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（四）部门支出总表（分类）</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（五）部门支出分类(政府预算)</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（六）基本-工资福利</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（七）工资福利(政府预算)</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（八）基本-一般商品服务</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（九）商品服务(政府预算)</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（十）基本-个人和家庭</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（十一）个人家庭(政府预算)</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（十二）财政拨款收支总表</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（十三）一般公共预算支出表</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（十四）一般预算基本支出表</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（十五）一般-工资福利</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 xml:space="preserve">（十六）工资福利(政府预算) </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（十七）一般-一般商品服务</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 xml:space="preserve">（十八）商品服务(政府预算) </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（十九）一般-个人和家庭</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 xml:space="preserve">（二十）个人家庭(政府预算) </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（二十一）政府性基金</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 xml:space="preserve">（二十二）政府性基金(政府预算) </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（二十三）专户</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（二十四）专户(政府预算)</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（二十五）经费拨款预算表</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（二十六）经费拨款预算表(政府预算)</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（二十七）专项支出预算表</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（二十八）一般公共预算“三公”经费预算表</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（二十九）部门整体支出绩效目标表</w:t>
      </w:r>
    </w:p>
    <w:p>
      <w:pPr>
        <w:tabs>
          <w:tab w:val="left" w:pos="7560"/>
        </w:tabs>
        <w:adjustRightInd w:val="0"/>
        <w:snapToGrid w:val="0"/>
        <w:spacing w:line="56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（三十）单位专项支出方向绩效目标表</w:t>
      </w:r>
    </w:p>
    <w:p>
      <w:pPr>
        <w:tabs>
          <w:tab w:val="left" w:pos="7560"/>
        </w:tabs>
        <w:adjustRightInd w:val="0"/>
        <w:snapToGrid w:val="0"/>
        <w:spacing w:line="560" w:lineRule="exact"/>
        <w:ind w:firstLine="640" w:firstLineChars="200"/>
        <w:jc w:val="left"/>
        <w:rPr>
          <w:rFonts w:hint="eastAsia" w:ascii="仿宋_GB2312"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1、负责党的路线、方针、政策和国家法律、法规在本行政区域内的宣传、贯彻、落实。加强基层党组织和政权建设，为本地区经济的发展和社会稳定提供政治、社会环境和组织保证。</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2、负责制定本行政区域内经济建设和各项社会事业发展的规划，并组织实施。负责本行政区域内的民主与法制建设工作，维护和保障公民的各项合法权利。</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3、负责本片区党委、政府、人大、政协联络工委、纪律委员会、人民武装及共青团、妇联等群团组织的日常工作。</w:t>
      </w:r>
    </w:p>
    <w:p>
      <w:pPr>
        <w:widowControl/>
        <w:spacing w:line="600" w:lineRule="exact"/>
        <w:ind w:firstLine="640"/>
        <w:jc w:val="left"/>
        <w:rPr>
          <w:rFonts w:eastAsia="仿宋_GB2312"/>
          <w:bCs/>
          <w:color w:val="000000"/>
          <w:kern w:val="0"/>
          <w:sz w:val="32"/>
          <w:szCs w:val="32"/>
        </w:rPr>
      </w:pPr>
      <w:r>
        <w:rPr>
          <w:rFonts w:eastAsia="仿宋_GB2312"/>
          <w:bCs/>
          <w:color w:val="000000"/>
          <w:kern w:val="0"/>
          <w:sz w:val="32"/>
          <w:szCs w:val="32"/>
        </w:rPr>
        <w:t>4、负责完成上级机关交办的其他工作任务。</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bCs/>
          <w:color w:val="000000"/>
          <w:sz w:val="32"/>
          <w:szCs w:val="32"/>
        </w:rPr>
        <w:t> </w:t>
      </w:r>
      <w:r>
        <w:rPr>
          <w:rFonts w:eastAsia="仿宋_GB2312"/>
          <w:color w:val="000000"/>
          <w:sz w:val="32"/>
          <w:szCs w:val="32"/>
        </w:rPr>
        <w:t xml:space="preserve">本部门共有编制人数 </w:t>
      </w:r>
      <w:r>
        <w:rPr>
          <w:rFonts w:hint="eastAsia" w:eastAsia="仿宋_GB2312"/>
          <w:color w:val="000000"/>
          <w:sz w:val="32"/>
          <w:szCs w:val="32"/>
        </w:rPr>
        <w:t>35</w:t>
      </w:r>
      <w:r>
        <w:rPr>
          <w:rFonts w:eastAsia="仿宋_GB2312"/>
          <w:color w:val="000000"/>
          <w:sz w:val="32"/>
          <w:szCs w:val="32"/>
        </w:rPr>
        <w:t>人，实有人数</w:t>
      </w:r>
      <w:r>
        <w:rPr>
          <w:rFonts w:hint="eastAsia" w:eastAsia="仿宋_GB2312"/>
          <w:color w:val="000000"/>
          <w:sz w:val="32"/>
          <w:szCs w:val="32"/>
        </w:rPr>
        <w:t>35</w:t>
      </w:r>
      <w:r>
        <w:rPr>
          <w:rFonts w:eastAsia="仿宋_GB2312"/>
          <w:color w:val="000000"/>
          <w:sz w:val="32"/>
          <w:szCs w:val="32"/>
        </w:rPr>
        <w:t>人。内设</w:t>
      </w:r>
      <w:r>
        <w:rPr>
          <w:rFonts w:hint="eastAsia" w:eastAsia="仿宋_GB2312"/>
          <w:color w:val="000000"/>
          <w:sz w:val="32"/>
          <w:szCs w:val="32"/>
        </w:rPr>
        <w:t>部门15</w:t>
      </w:r>
      <w:r>
        <w:rPr>
          <w:rFonts w:eastAsia="仿宋_GB2312"/>
          <w:color w:val="000000"/>
          <w:sz w:val="32"/>
          <w:szCs w:val="32"/>
        </w:rPr>
        <w:t>个，</w:t>
      </w:r>
      <w:r>
        <w:rPr>
          <w:rFonts w:hint="eastAsia" w:eastAsia="仿宋_GB2312"/>
          <w:color w:val="000000"/>
          <w:sz w:val="32"/>
          <w:szCs w:val="32"/>
        </w:rPr>
        <w:t>包括党政办、党建办、纪委、武装部、财政所、司法所、国土、扶贫办、农业办、民政办、卫健办、综治办、安监站、企业办 、便民服务中心。</w:t>
      </w:r>
      <w:r>
        <w:rPr>
          <w:rFonts w:hint="eastAsia" w:ascii="仿宋" w:eastAsia="仿宋" w:cs="仿宋"/>
          <w:bCs/>
          <w:color w:val="000000"/>
          <w:kern w:val="0"/>
          <w:sz w:val="32"/>
          <w:szCs w:val="32"/>
          <w:lang w:eastAsia="zh-CN"/>
        </w:rPr>
        <w:t>本单位无下属二级预算单位。</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2021年部门预算编报范围包括</w:t>
      </w:r>
      <w:r>
        <w:rPr>
          <w:rFonts w:hint="eastAsia" w:eastAsia="仿宋_GB2312"/>
          <w:color w:val="000000"/>
          <w:sz w:val="32"/>
          <w:szCs w:val="32"/>
        </w:rPr>
        <w:t>镇政府，</w:t>
      </w:r>
      <w:r>
        <w:rPr>
          <w:rFonts w:eastAsia="仿宋_GB2312"/>
          <w:bCs/>
          <w:color w:val="000000"/>
          <w:sz w:val="32"/>
          <w:szCs w:val="32"/>
        </w:rPr>
        <w:t>无下属二级预算单位</w:t>
      </w:r>
      <w:r>
        <w:rPr>
          <w:rFonts w:eastAsia="仿宋_GB2312"/>
          <w:color w:val="000000"/>
          <w:sz w:val="32"/>
          <w:szCs w:val="32"/>
        </w:rPr>
        <w:t>。收入包括一般公共预算收入、政府性基金收入、</w:t>
      </w:r>
      <w:r>
        <w:rPr>
          <w:rFonts w:hint="eastAsia" w:eastAsia="仿宋_GB2312"/>
          <w:color w:val="000000"/>
          <w:sz w:val="32"/>
          <w:szCs w:val="32"/>
        </w:rPr>
        <w:t>纳入专户管理的非税收入拨款、其他收入等</w:t>
      </w:r>
      <w:r>
        <w:rPr>
          <w:rFonts w:eastAsia="仿宋_GB2312"/>
          <w:color w:val="000000"/>
          <w:sz w:val="32"/>
          <w:szCs w:val="32"/>
        </w:rPr>
        <w:t>；支出</w:t>
      </w:r>
      <w:r>
        <w:rPr>
          <w:rFonts w:hint="eastAsia" w:eastAsia="仿宋_GB2312"/>
          <w:color w:val="000000"/>
          <w:sz w:val="32"/>
          <w:szCs w:val="32"/>
        </w:rPr>
        <w:t>是</w:t>
      </w:r>
      <w:r>
        <w:rPr>
          <w:rFonts w:eastAsia="仿宋_GB2312"/>
          <w:color w:val="000000"/>
          <w:sz w:val="32"/>
          <w:szCs w:val="32"/>
        </w:rPr>
        <w:t>保障</w:t>
      </w:r>
      <w:r>
        <w:rPr>
          <w:rFonts w:hint="eastAsia" w:eastAsia="仿宋_GB2312"/>
          <w:color w:val="000000"/>
          <w:sz w:val="32"/>
          <w:szCs w:val="32"/>
        </w:rPr>
        <w:t>镇政府</w:t>
      </w:r>
      <w:r>
        <w:rPr>
          <w:rFonts w:eastAsia="仿宋_GB2312"/>
          <w:color w:val="000000"/>
          <w:sz w:val="32"/>
          <w:szCs w:val="32"/>
        </w:rPr>
        <w:t>基本运行的经费。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373.92</w:t>
      </w:r>
      <w:r>
        <w:rPr>
          <w:rFonts w:eastAsia="仿宋_GB2312"/>
          <w:color w:val="000000"/>
          <w:sz w:val="32"/>
          <w:szCs w:val="32"/>
        </w:rPr>
        <w:t>万元，其中，一般公共预算拨款</w:t>
      </w:r>
      <w:r>
        <w:rPr>
          <w:rFonts w:hint="eastAsia" w:eastAsia="仿宋_GB2312"/>
          <w:color w:val="000000"/>
          <w:sz w:val="32"/>
          <w:szCs w:val="32"/>
        </w:rPr>
        <w:t>373.92</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373.92</w:t>
      </w:r>
      <w:r>
        <w:rPr>
          <w:rFonts w:eastAsia="仿宋_GB2312"/>
          <w:color w:val="000000"/>
          <w:sz w:val="32"/>
          <w:szCs w:val="32"/>
        </w:rPr>
        <w:t>万元，其中，一般公共服务支出</w:t>
      </w:r>
      <w:r>
        <w:rPr>
          <w:rFonts w:hint="eastAsia" w:eastAsia="仿宋_GB2312"/>
          <w:color w:val="000000"/>
          <w:sz w:val="32"/>
          <w:szCs w:val="32"/>
        </w:rPr>
        <w:t>358.63</w:t>
      </w:r>
      <w:r>
        <w:rPr>
          <w:rFonts w:eastAsia="仿宋_GB2312"/>
          <w:color w:val="000000"/>
          <w:sz w:val="32"/>
          <w:szCs w:val="32"/>
        </w:rPr>
        <w:t>万元，</w:t>
      </w:r>
      <w:r>
        <w:rPr>
          <w:rFonts w:hint="eastAsia" w:eastAsia="仿宋_GB2312"/>
          <w:color w:val="000000"/>
          <w:sz w:val="32"/>
          <w:szCs w:val="32"/>
        </w:rPr>
        <w:t>卫生健康支出14.39万元，农林水支出0.9万元。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373.92</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p>
    <w:p>
      <w:pPr>
        <w:tabs>
          <w:tab w:val="left" w:pos="7560"/>
        </w:tabs>
        <w:adjustRightInd w:val="0"/>
        <w:snapToGrid w:val="0"/>
        <w:spacing w:line="560" w:lineRule="exact"/>
        <w:ind w:firstLine="643" w:firstLineChars="200"/>
        <w:jc w:val="left"/>
        <w:rPr>
          <w:rFonts w:eastAsia="仿宋_GB2312"/>
          <w:color w:val="000000"/>
          <w:sz w:val="32"/>
          <w:szCs w:val="32"/>
        </w:rPr>
      </w:pPr>
      <w:bookmarkStart w:id="0" w:name="_GoBack"/>
      <w:bookmarkEnd w:id="0"/>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0</w:t>
      </w:r>
      <w:r>
        <w:rPr>
          <w:rFonts w:eastAsia="仿宋_GB2312"/>
          <w:color w:val="000000"/>
          <w:sz w:val="32"/>
          <w:szCs w:val="32"/>
        </w:rPr>
        <w:t>万元，是指单位为完成特定行政工作任务或事业发展目标而发生的支出，包括有关事业发展专项、基本建设支出、资本性支出等。</w:t>
      </w:r>
    </w:p>
    <w:p>
      <w:pPr>
        <w:widowControl/>
        <w:shd w:val="clear" w:color="auto" w:fill="FFFFFF"/>
        <w:tabs>
          <w:tab w:val="left" w:pos="1800"/>
          <w:tab w:val="left" w:pos="2220"/>
        </w:tabs>
        <w:spacing w:line="560" w:lineRule="exact"/>
        <w:ind w:firstLine="720"/>
        <w:jc w:val="left"/>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373.92</w:t>
      </w:r>
      <w:r>
        <w:rPr>
          <w:rFonts w:eastAsia="仿宋_GB2312"/>
          <w:color w:val="000000"/>
          <w:sz w:val="32"/>
          <w:szCs w:val="32"/>
        </w:rPr>
        <w:t>万元，比上年</w:t>
      </w:r>
      <w:r>
        <w:rPr>
          <w:rFonts w:hint="eastAsia" w:eastAsia="仿宋_GB2312"/>
          <w:color w:val="000000"/>
          <w:sz w:val="32"/>
          <w:szCs w:val="32"/>
        </w:rPr>
        <w:t>减少7.46</w:t>
      </w:r>
      <w:r>
        <w:rPr>
          <w:rFonts w:eastAsia="仿宋_GB2312"/>
          <w:color w:val="000000"/>
          <w:sz w:val="32"/>
          <w:szCs w:val="32"/>
        </w:rPr>
        <w:t>万元，主要原因是</w:t>
      </w:r>
      <w:r>
        <w:rPr>
          <w:rFonts w:eastAsia="仿宋_GB2312"/>
          <w:kern w:val="0"/>
          <w:sz w:val="32"/>
          <w:szCs w:val="32"/>
        </w:rPr>
        <w:t>减少的主要原因是：提高财政资金使用效益，牢固树立过紧日子的思想，量入为出，量力而行</w:t>
      </w:r>
      <w:r>
        <w:rPr>
          <w:rFonts w:hint="eastAsia" w:eastAsia="仿宋_GB2312"/>
          <w:kern w:val="0"/>
          <w:sz w:val="32"/>
          <w:szCs w:val="32"/>
        </w:rPr>
        <w:t>，</w:t>
      </w:r>
      <w:r>
        <w:rPr>
          <w:rFonts w:eastAsia="仿宋_GB2312"/>
          <w:kern w:val="0"/>
          <w:sz w:val="32"/>
          <w:szCs w:val="32"/>
        </w:rPr>
        <w:t>从而缩减基本支出</w:t>
      </w:r>
      <w:r>
        <w:rPr>
          <w:rFonts w:hint="eastAsia" w:eastAsia="仿宋_GB2312"/>
          <w:kern w:val="0"/>
          <w:sz w:val="32"/>
          <w:szCs w:val="32"/>
        </w:rPr>
        <w:t>，控制机关运行经费的支出</w:t>
      </w:r>
      <w:r>
        <w:rPr>
          <w:rFonts w:eastAsia="仿宋_GB2312"/>
          <w:kern w:val="0"/>
          <w:sz w:val="32"/>
          <w:szCs w:val="32"/>
        </w:rPr>
        <w:t>。</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widowControl/>
        <w:shd w:val="clear" w:color="auto" w:fill="FFFFFF"/>
        <w:tabs>
          <w:tab w:val="left" w:pos="1800"/>
          <w:tab w:val="left" w:pos="2220"/>
        </w:tabs>
        <w:spacing w:line="560" w:lineRule="exact"/>
        <w:ind w:firstLine="720"/>
        <w:jc w:val="left"/>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年年初预算机关运行经费共安排</w:t>
      </w:r>
      <w:r>
        <w:rPr>
          <w:rFonts w:hint="eastAsia" w:eastAsia="仿宋_GB2312"/>
          <w:color w:val="000000"/>
          <w:sz w:val="32"/>
          <w:szCs w:val="32"/>
        </w:rPr>
        <w:t>89.32</w:t>
      </w:r>
      <w:r>
        <w:rPr>
          <w:rFonts w:eastAsia="仿宋_GB2312"/>
          <w:color w:val="000000"/>
          <w:sz w:val="32"/>
          <w:szCs w:val="32"/>
        </w:rPr>
        <w:t>万元，比上年度预算减少</w:t>
      </w:r>
      <w:r>
        <w:rPr>
          <w:rFonts w:hint="eastAsia" w:eastAsia="仿宋_GB2312"/>
          <w:color w:val="000000"/>
          <w:sz w:val="32"/>
          <w:szCs w:val="32"/>
        </w:rPr>
        <w:t>1.73</w:t>
      </w:r>
      <w:r>
        <w:rPr>
          <w:rFonts w:eastAsia="仿宋_GB2312"/>
          <w:color w:val="000000"/>
          <w:sz w:val="32"/>
          <w:szCs w:val="32"/>
        </w:rPr>
        <w:t>万元，</w:t>
      </w:r>
      <w:r>
        <w:rPr>
          <w:rFonts w:eastAsia="仿宋_GB2312"/>
          <w:bCs/>
          <w:color w:val="000000"/>
          <w:sz w:val="32"/>
          <w:szCs w:val="32"/>
        </w:rPr>
        <w:t>减少的主要原因是：</w:t>
      </w:r>
      <w:r>
        <w:rPr>
          <w:rFonts w:eastAsia="仿宋_GB2312"/>
          <w:kern w:val="0"/>
          <w:sz w:val="32"/>
          <w:szCs w:val="32"/>
        </w:rPr>
        <w:t>提高财政资金使用效益</w:t>
      </w:r>
      <w:r>
        <w:rPr>
          <w:rFonts w:hint="eastAsia" w:eastAsia="仿宋_GB2312"/>
          <w:kern w:val="0"/>
          <w:sz w:val="32"/>
          <w:szCs w:val="32"/>
        </w:rPr>
        <w:t>，</w:t>
      </w:r>
      <w:r>
        <w:rPr>
          <w:rFonts w:eastAsia="仿宋_GB2312"/>
          <w:kern w:val="0"/>
          <w:sz w:val="32"/>
          <w:szCs w:val="32"/>
        </w:rPr>
        <w:t>缩减基本支出</w:t>
      </w:r>
      <w:r>
        <w:rPr>
          <w:rFonts w:hint="eastAsia" w:eastAsia="仿宋_GB2312"/>
          <w:kern w:val="0"/>
          <w:sz w:val="32"/>
          <w:szCs w:val="32"/>
        </w:rPr>
        <w:t>，控制机关运行经费的支出</w:t>
      </w:r>
      <w:r>
        <w:rPr>
          <w:rFonts w:eastAsia="仿宋_GB2312"/>
          <w:kern w:val="0"/>
          <w:sz w:val="32"/>
          <w:szCs w:val="32"/>
        </w:rPr>
        <w:t>。</w:t>
      </w:r>
    </w:p>
    <w:p>
      <w:pPr>
        <w:widowControl/>
        <w:shd w:val="clear" w:color="auto" w:fill="FFFFFF"/>
        <w:tabs>
          <w:tab w:val="left" w:pos="1800"/>
          <w:tab w:val="left" w:pos="2220"/>
        </w:tabs>
        <w:spacing w:line="560" w:lineRule="exact"/>
        <w:ind w:firstLine="720"/>
        <w:jc w:val="left"/>
        <w:rPr>
          <w:rFonts w:hint="eastAsia" w:eastAsia="仿宋_GB2312"/>
          <w:bCs/>
          <w:color w:val="000000"/>
          <w:sz w:val="32"/>
          <w:szCs w:val="32"/>
        </w:rPr>
      </w:pPr>
      <w:r>
        <w:rPr>
          <w:rFonts w:hint="eastAsia" w:eastAsia="楷体_GB2312"/>
          <w:bCs/>
          <w:color w:val="000000"/>
          <w:sz w:val="32"/>
          <w:szCs w:val="32"/>
        </w:rPr>
        <w:t>（二)政府采购预算：</w:t>
      </w:r>
      <w:r>
        <w:rPr>
          <w:rFonts w:hint="eastAsia" w:eastAsia="仿宋_GB2312"/>
          <w:bCs/>
          <w:color w:val="000000"/>
          <w:sz w:val="32"/>
          <w:szCs w:val="32"/>
        </w:rPr>
        <w:t>2020年年初预算数为25.96万元。包括：政府采购货物类15.96万元；大院维修等工程类7万元；绿化服务等服务类3万元。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kern w:val="0"/>
          <w:sz w:val="32"/>
          <w:szCs w:val="32"/>
        </w:rPr>
        <w:t>1350</w:t>
      </w:r>
      <w:r>
        <w:rPr>
          <w:rFonts w:eastAsia="仿宋_GB2312"/>
          <w:color w:val="000000"/>
          <w:sz w:val="32"/>
          <w:szCs w:val="32"/>
        </w:rPr>
        <w:t>平方米；车辆</w:t>
      </w:r>
      <w:r>
        <w:rPr>
          <w:rFonts w:hint="eastAsia" w:eastAsia="仿宋_GB2312"/>
          <w:color w:val="000000"/>
          <w:sz w:val="32"/>
          <w:szCs w:val="32"/>
        </w:rPr>
        <w:t>0</w:t>
      </w:r>
      <w:r>
        <w:rPr>
          <w:rFonts w:eastAsia="仿宋_GB2312"/>
          <w:color w:val="000000"/>
          <w:sz w:val="32"/>
          <w:szCs w:val="32"/>
        </w:rPr>
        <w:t>辆，其中一般公务用</w:t>
      </w:r>
      <w:r>
        <w:rPr>
          <w:rFonts w:hint="eastAsia" w:eastAsia="仿宋_GB2312"/>
          <w:color w:val="000000"/>
          <w:sz w:val="32"/>
          <w:szCs w:val="32"/>
        </w:rPr>
        <w:t>车0</w:t>
      </w:r>
      <w:r>
        <w:rPr>
          <w:rFonts w:eastAsia="仿宋_GB2312"/>
          <w:color w:val="000000"/>
          <w:sz w:val="32"/>
          <w:szCs w:val="32"/>
        </w:rPr>
        <w:t>辆、一般执法执勤用车</w:t>
      </w:r>
      <w:r>
        <w:rPr>
          <w:rFonts w:hint="eastAsia" w:eastAsia="仿宋_GB2312"/>
          <w:color w:val="000000"/>
          <w:sz w:val="32"/>
          <w:szCs w:val="32"/>
        </w:rPr>
        <w:t>0</w:t>
      </w:r>
      <w:r>
        <w:rPr>
          <w:rFonts w:eastAsia="仿宋_GB2312"/>
          <w:color w:val="000000"/>
          <w:sz w:val="32"/>
          <w:szCs w:val="32"/>
        </w:rPr>
        <w:t>辆、货币化用车</w:t>
      </w:r>
      <w:r>
        <w:rPr>
          <w:rFonts w:hint="eastAsia" w:eastAsia="仿宋_GB2312"/>
          <w:color w:val="000000"/>
          <w:sz w:val="32"/>
          <w:szCs w:val="32"/>
        </w:rPr>
        <w:t>0</w:t>
      </w:r>
      <w:r>
        <w:rPr>
          <w:rFonts w:eastAsia="仿宋_GB2312"/>
          <w:color w:val="000000"/>
          <w:sz w:val="32"/>
          <w:szCs w:val="32"/>
        </w:rPr>
        <w:t xml:space="preserve">辆；单位价值200万以上大型设备 </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rPr>
        <w:t>373.92</w:t>
      </w:r>
      <w:r>
        <w:rPr>
          <w:rFonts w:eastAsia="仿宋_GB2312"/>
          <w:color w:val="000000"/>
          <w:sz w:val="32"/>
          <w:szCs w:val="32"/>
        </w:rPr>
        <w:t>万元，其中，基本支出</w:t>
      </w:r>
      <w:r>
        <w:rPr>
          <w:rFonts w:hint="eastAsia" w:eastAsia="仿宋_GB2312"/>
          <w:color w:val="000000"/>
          <w:sz w:val="32"/>
          <w:szCs w:val="32"/>
        </w:rPr>
        <w:t>373.92</w:t>
      </w:r>
      <w:r>
        <w:rPr>
          <w:rFonts w:eastAsia="仿宋_GB2312"/>
          <w:color w:val="000000"/>
          <w:sz w:val="32"/>
          <w:szCs w:val="32"/>
        </w:rPr>
        <w:t xml:space="preserve">万元，项目支出   </w:t>
      </w:r>
      <w:r>
        <w:rPr>
          <w:rFonts w:hint="eastAsia" w:eastAsia="仿宋_GB2312"/>
          <w:color w:val="000000"/>
          <w:sz w:val="32"/>
          <w:szCs w:val="32"/>
        </w:rPr>
        <w:t>0</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7</w:t>
      </w:r>
      <w:r>
        <w:rPr>
          <w:rFonts w:eastAsia="仿宋_GB2312"/>
          <w:color w:val="000000"/>
          <w:sz w:val="32"/>
          <w:szCs w:val="32"/>
        </w:rPr>
        <w:t>万元，其中：公务接待费</w:t>
      </w:r>
      <w:r>
        <w:rPr>
          <w:rFonts w:hint="eastAsia" w:eastAsia="仿宋_GB2312"/>
          <w:color w:val="000000"/>
          <w:sz w:val="32"/>
          <w:szCs w:val="32"/>
        </w:rPr>
        <w:t>5</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2</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年减少</w:t>
      </w:r>
      <w:r>
        <w:rPr>
          <w:rFonts w:hint="eastAsia" w:eastAsia="仿宋_GB2312"/>
          <w:color w:val="000000"/>
          <w:sz w:val="32"/>
          <w:szCs w:val="32"/>
        </w:rPr>
        <w:t>3</w:t>
      </w:r>
      <w:r>
        <w:rPr>
          <w:rFonts w:eastAsia="仿宋_GB2312"/>
          <w:color w:val="000000"/>
          <w:sz w:val="32"/>
          <w:szCs w:val="32"/>
        </w:rPr>
        <w:t>万元，主要是因为</w:t>
      </w:r>
      <w:r>
        <w:rPr>
          <w:rFonts w:eastAsia="仿宋_GB2312"/>
          <w:kern w:val="0"/>
          <w:sz w:val="32"/>
          <w:szCs w:val="32"/>
        </w:rPr>
        <w:t>更好地规范“三公经费”的使用，</w:t>
      </w:r>
      <w:r>
        <w:rPr>
          <w:rFonts w:hint="eastAsia" w:eastAsia="仿宋_GB2312"/>
          <w:color w:val="000000"/>
          <w:sz w:val="32"/>
          <w:szCs w:val="32"/>
        </w:rPr>
        <w:t>减少了公务接待费的预算</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6</w:t>
      </w:r>
      <w:r>
        <w:rPr>
          <w:rFonts w:eastAsia="仿宋_GB2312"/>
          <w:color w:val="000000"/>
          <w:sz w:val="32"/>
          <w:szCs w:val="32"/>
        </w:rPr>
        <w:t>万元，主要是</w:t>
      </w:r>
      <w:r>
        <w:rPr>
          <w:rFonts w:hint="eastAsia" w:eastAsia="仿宋_GB2312"/>
          <w:color w:val="000000"/>
          <w:sz w:val="32"/>
          <w:szCs w:val="32"/>
        </w:rPr>
        <w:t>2021年度政府召开各类大小会议安排的会议餐费，具体明细如下：</w:t>
      </w:r>
    </w:p>
    <w:p>
      <w:pPr>
        <w:tabs>
          <w:tab w:val="left" w:pos="7560"/>
        </w:tabs>
        <w:adjustRightInd w:val="0"/>
        <w:snapToGrid w:val="0"/>
        <w:ind w:firstLine="640" w:firstLineChars="200"/>
        <w:jc w:val="left"/>
        <w:rPr>
          <w:rFonts w:eastAsia="仿宋_GB2312"/>
          <w:color w:val="000000"/>
          <w:sz w:val="32"/>
          <w:szCs w:val="32"/>
        </w:rPr>
      </w:pPr>
      <w:r>
        <w:rPr>
          <w:rFonts w:hint="eastAsia" w:eastAsia="仿宋_GB2312"/>
          <w:color w:val="000000"/>
          <w:sz w:val="32"/>
          <w:szCs w:val="32"/>
        </w:rPr>
        <w:drawing>
          <wp:inline distT="0" distB="0" distL="114300" distR="114300">
            <wp:extent cx="5271135" cy="3395345"/>
            <wp:effectExtent l="0" t="0" r="5715" b="14605"/>
            <wp:docPr id="6" name="图片 6" descr="16164873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16487347(1)"/>
                    <pic:cNvPicPr>
                      <a:picLocks noChangeAspect="1"/>
                    </pic:cNvPicPr>
                  </pic:nvPicPr>
                  <pic:blipFill>
                    <a:blip r:embed="rId4" cstate="print"/>
                    <a:stretch>
                      <a:fillRect/>
                    </a:stretch>
                  </pic:blipFill>
                  <pic:spPr>
                    <a:xfrm>
                      <a:off x="0" y="0"/>
                      <a:ext cx="5271135" cy="3395345"/>
                    </a:xfrm>
                    <a:prstGeom prst="rect">
                      <a:avLst/>
                    </a:prstGeom>
                  </pic:spPr>
                </pic:pic>
              </a:graphicData>
            </a:graphic>
          </wp:inline>
        </w:drawing>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1</w:t>
      </w:r>
      <w:r>
        <w:rPr>
          <w:rFonts w:eastAsia="仿宋_GB2312"/>
          <w:color w:val="000000"/>
          <w:sz w:val="32"/>
          <w:szCs w:val="32"/>
        </w:rPr>
        <w:t>万元，主要</w:t>
      </w:r>
      <w:r>
        <w:rPr>
          <w:rFonts w:hint="eastAsia" w:eastAsia="仿宋_GB2312"/>
          <w:color w:val="000000"/>
          <w:sz w:val="32"/>
          <w:szCs w:val="32"/>
        </w:rPr>
        <w:t>为换届选举后村级报账员财务知识培训费用，具体明细如下：</w:t>
      </w:r>
    </w:p>
    <w:p>
      <w:pPr>
        <w:tabs>
          <w:tab w:val="left" w:pos="7560"/>
        </w:tabs>
        <w:adjustRightInd w:val="0"/>
        <w:snapToGrid w:val="0"/>
        <w:ind w:firstLine="640" w:firstLineChars="200"/>
        <w:jc w:val="left"/>
        <w:rPr>
          <w:rFonts w:eastAsia="仿宋_GB2312"/>
          <w:color w:val="000000"/>
          <w:sz w:val="32"/>
          <w:szCs w:val="32"/>
        </w:rPr>
      </w:pPr>
      <w:r>
        <w:rPr>
          <w:rFonts w:hint="eastAsia" w:eastAsia="仿宋_GB2312"/>
          <w:color w:val="000000"/>
          <w:sz w:val="32"/>
          <w:szCs w:val="32"/>
        </w:rPr>
        <w:drawing>
          <wp:inline distT="0" distB="0" distL="114300" distR="114300">
            <wp:extent cx="5269865" cy="1049020"/>
            <wp:effectExtent l="0" t="0" r="6985" b="17780"/>
            <wp:docPr id="7" name="图片 7" descr="16164876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16487682(1)"/>
                    <pic:cNvPicPr>
                      <a:picLocks noChangeAspect="1"/>
                    </pic:cNvPicPr>
                  </pic:nvPicPr>
                  <pic:blipFill>
                    <a:blip r:embed="rId5" cstate="print"/>
                    <a:stretch>
                      <a:fillRect/>
                    </a:stretch>
                  </pic:blipFill>
                  <pic:spPr>
                    <a:xfrm>
                      <a:off x="0" y="0"/>
                      <a:ext cx="5269865" cy="1049020"/>
                    </a:xfrm>
                    <a:prstGeom prst="rect">
                      <a:avLst/>
                    </a:prstGeom>
                  </pic:spPr>
                </pic:pic>
              </a:graphicData>
            </a:graphic>
          </wp:inline>
        </w:drawing>
      </w:r>
    </w:p>
    <w:p>
      <w:pPr>
        <w:numPr>
          <w:ilvl w:val="0"/>
          <w:numId w:val="1"/>
        </w:num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其他事项。</w:t>
      </w:r>
    </w:p>
    <w:p>
      <w:pPr>
        <w:widowControl/>
        <w:numPr>
          <w:ilvl w:val="0"/>
          <w:numId w:val="2"/>
        </w:numPr>
        <w:shd w:val="clear" w:color="auto" w:fill="FFFFFF"/>
        <w:spacing w:line="560" w:lineRule="exact"/>
        <w:ind w:firstLine="960" w:firstLineChars="300"/>
        <w:jc w:val="left"/>
        <w:rPr>
          <w:rFonts w:eastAsia="仿宋_GB2312"/>
          <w:kern w:val="0"/>
          <w:sz w:val="32"/>
          <w:szCs w:val="32"/>
        </w:rPr>
      </w:pPr>
      <w:r>
        <w:rPr>
          <w:rFonts w:eastAsia="仿宋_GB2312"/>
          <w:kern w:val="0"/>
          <w:sz w:val="32"/>
          <w:szCs w:val="32"/>
        </w:rPr>
        <w:t>本单位20</w:t>
      </w:r>
      <w:r>
        <w:rPr>
          <w:rFonts w:hint="eastAsia" w:eastAsia="仿宋_GB2312"/>
          <w:kern w:val="0"/>
          <w:sz w:val="32"/>
          <w:szCs w:val="32"/>
        </w:rPr>
        <w:t>21</w:t>
      </w:r>
      <w:r>
        <w:rPr>
          <w:rFonts w:eastAsia="仿宋_GB2312"/>
          <w:kern w:val="0"/>
          <w:sz w:val="32"/>
          <w:szCs w:val="32"/>
        </w:rPr>
        <w:t>年预算未安排政府性基金预算</w:t>
      </w:r>
      <w:r>
        <w:rPr>
          <w:rFonts w:hint="eastAsia" w:eastAsia="仿宋_GB2312"/>
          <w:kern w:val="0"/>
          <w:sz w:val="32"/>
          <w:szCs w:val="32"/>
        </w:rPr>
        <w:t>，故政府性基金拨款部门支出总表（分类）数据均为0万元。</w:t>
      </w:r>
    </w:p>
    <w:p>
      <w:pPr>
        <w:widowControl/>
        <w:numPr>
          <w:ilvl w:val="0"/>
          <w:numId w:val="2"/>
        </w:numPr>
        <w:shd w:val="clear" w:color="auto" w:fill="FFFFFF"/>
        <w:spacing w:line="560" w:lineRule="exact"/>
        <w:ind w:firstLine="960" w:firstLineChars="300"/>
        <w:jc w:val="left"/>
        <w:rPr>
          <w:rFonts w:eastAsia="仿宋_GB2312"/>
          <w:kern w:val="0"/>
          <w:sz w:val="32"/>
          <w:szCs w:val="32"/>
        </w:rPr>
      </w:pPr>
      <w:r>
        <w:rPr>
          <w:rFonts w:hint="eastAsia" w:eastAsia="仿宋_GB2312"/>
          <w:kern w:val="0"/>
          <w:sz w:val="32"/>
          <w:szCs w:val="32"/>
        </w:rPr>
        <w:t>本单位2021年纳入专户管理的非税收入拨款为0万元。</w:t>
      </w:r>
    </w:p>
    <w:p>
      <w:pPr>
        <w:widowControl/>
        <w:numPr>
          <w:ilvl w:val="0"/>
          <w:numId w:val="2"/>
        </w:numPr>
        <w:shd w:val="clear" w:color="auto" w:fill="FFFFFF"/>
        <w:spacing w:line="560" w:lineRule="exact"/>
        <w:ind w:firstLine="960" w:firstLineChars="300"/>
        <w:jc w:val="left"/>
        <w:rPr>
          <w:rFonts w:eastAsia="仿宋_GB2312"/>
          <w:kern w:val="0"/>
          <w:sz w:val="32"/>
          <w:szCs w:val="32"/>
        </w:rPr>
      </w:pPr>
      <w:r>
        <w:rPr>
          <w:rFonts w:hint="eastAsia" w:eastAsia="仿宋_GB2312"/>
          <w:kern w:val="0"/>
          <w:sz w:val="32"/>
          <w:szCs w:val="32"/>
        </w:rPr>
        <w:t>本单位2021年项目支出预算为0万元</w:t>
      </w:r>
    </w:p>
    <w:p>
      <w:pPr>
        <w:widowControl/>
        <w:numPr>
          <w:ilvl w:val="0"/>
          <w:numId w:val="2"/>
        </w:numPr>
        <w:shd w:val="clear" w:color="auto" w:fill="FFFFFF"/>
        <w:spacing w:line="560" w:lineRule="exact"/>
        <w:ind w:firstLine="960" w:firstLineChars="300"/>
        <w:jc w:val="left"/>
        <w:rPr>
          <w:rFonts w:eastAsia="仿宋_GB2312"/>
          <w:kern w:val="0"/>
          <w:sz w:val="32"/>
          <w:szCs w:val="32"/>
        </w:rPr>
      </w:pPr>
      <w:r>
        <w:rPr>
          <w:rFonts w:hint="eastAsia" w:eastAsia="仿宋_GB2312"/>
          <w:kern w:val="0"/>
          <w:sz w:val="32"/>
          <w:szCs w:val="32"/>
        </w:rPr>
        <w:t>本单位2021年重点专项资金为0万元，没有进行绩效申报。</w:t>
      </w:r>
    </w:p>
    <w:p>
      <w:pPr>
        <w:widowControl/>
        <w:numPr>
          <w:ilvl w:val="0"/>
          <w:numId w:val="2"/>
        </w:numPr>
        <w:shd w:val="clear" w:color="auto" w:fill="FFFFFF"/>
        <w:spacing w:line="560" w:lineRule="exact"/>
        <w:ind w:firstLine="960" w:firstLineChars="300"/>
        <w:jc w:val="left"/>
        <w:rPr>
          <w:rFonts w:eastAsia="楷体_GB2312"/>
          <w:bCs/>
          <w:color w:val="000000"/>
          <w:sz w:val="32"/>
          <w:szCs w:val="32"/>
        </w:rPr>
      </w:pPr>
      <w:r>
        <w:rPr>
          <w:rFonts w:hint="eastAsia" w:eastAsia="仿宋_GB2312"/>
          <w:color w:val="000000"/>
          <w:kern w:val="0"/>
          <w:sz w:val="32"/>
          <w:szCs w:val="32"/>
        </w:rPr>
        <w:t>本单位无门户网站，已在政府网统一公开。</w:t>
      </w: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 xml:space="preserve">        </w:t>
      </w:r>
      <w:r>
        <w:rPr>
          <w:rFonts w:eastAsia="仿宋_GB2312"/>
          <w:b/>
          <w:sz w:val="32"/>
          <w:szCs w:val="32"/>
        </w:rPr>
        <w:t>8.机关运行经费：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986C91"/>
    <w:multiLevelType w:val="singleLevel"/>
    <w:tmpl w:val="F8986C91"/>
    <w:lvl w:ilvl="0" w:tentative="0">
      <w:start w:val="7"/>
      <w:numFmt w:val="chineseCounting"/>
      <w:suff w:val="nothing"/>
      <w:lvlText w:val="（%1）"/>
      <w:lvlJc w:val="left"/>
      <w:rPr>
        <w:rFonts w:hint="eastAsia"/>
      </w:rPr>
    </w:lvl>
  </w:abstractNum>
  <w:abstractNum w:abstractNumId="1">
    <w:nsid w:val="6140AF94"/>
    <w:multiLevelType w:val="singleLevel"/>
    <w:tmpl w:val="6140AF9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MjEyZTAzMzIxNTIwMjkyMDkzNzMzNmJkY2EyMDE2NDQifQ=="/>
  </w:docVars>
  <w:rsids>
    <w:rsidRoot w:val="00D84058"/>
    <w:rsid w:val="000505A4"/>
    <w:rsid w:val="001059DC"/>
    <w:rsid w:val="00323B43"/>
    <w:rsid w:val="003D37D8"/>
    <w:rsid w:val="004358AB"/>
    <w:rsid w:val="005553BA"/>
    <w:rsid w:val="006464CA"/>
    <w:rsid w:val="0077734D"/>
    <w:rsid w:val="008B7726"/>
    <w:rsid w:val="00AE2906"/>
    <w:rsid w:val="00B221AD"/>
    <w:rsid w:val="00B87CD9"/>
    <w:rsid w:val="00C76841"/>
    <w:rsid w:val="00CB1E75"/>
    <w:rsid w:val="00CE7B64"/>
    <w:rsid w:val="00D84058"/>
    <w:rsid w:val="00DC3AC0"/>
    <w:rsid w:val="00DD18F0"/>
    <w:rsid w:val="00E315E9"/>
    <w:rsid w:val="00ED50CD"/>
    <w:rsid w:val="08A258B8"/>
    <w:rsid w:val="223C7546"/>
    <w:rsid w:val="22762AE0"/>
    <w:rsid w:val="2A672414"/>
    <w:rsid w:val="2C015AB1"/>
    <w:rsid w:val="377353FE"/>
    <w:rsid w:val="45BB4550"/>
    <w:rsid w:val="499F224D"/>
    <w:rsid w:val="54B651DF"/>
    <w:rsid w:val="58EA0684"/>
    <w:rsid w:val="5B9328E1"/>
    <w:rsid w:val="6E0A22B0"/>
    <w:rsid w:val="6E5A0F25"/>
    <w:rsid w:val="72063ECB"/>
    <w:rsid w:val="75EE7233"/>
    <w:rsid w:val="79645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eastAsia="宋体" w:cs="Times New Roman"/>
      <w:kern w:val="2"/>
      <w:sz w:val="18"/>
      <w:szCs w:val="18"/>
    </w:rPr>
  </w:style>
  <w:style w:type="character" w:customStyle="1" w:styleId="8">
    <w:name w:val="页脚 Char"/>
    <w:basedOn w:val="6"/>
    <w:link w:val="3"/>
    <w:semiHidden/>
    <w:qFormat/>
    <w:uiPriority w:val="99"/>
    <w:rPr>
      <w:rFonts w:ascii="Times New Roman" w:hAnsi="Times New Roman" w:eastAsia="宋体" w:cs="Times New Roman"/>
      <w:kern w:val="2"/>
      <w:sz w:val="18"/>
      <w:szCs w:val="18"/>
    </w:rPr>
  </w:style>
  <w:style w:type="character" w:customStyle="1" w:styleId="9">
    <w:name w:val="批注框文本 Char"/>
    <w:basedOn w:val="6"/>
    <w:link w:val="2"/>
    <w:semiHidden/>
    <w:qFormat/>
    <w:uiPriority w:val="99"/>
    <w:rPr>
      <w:rFonts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7CB4BB-863A-40DC-8DD8-7CBC1F183A27}">
  <ds:schemaRefs/>
</ds:datastoreItem>
</file>

<file path=docProps/app.xml><?xml version="1.0" encoding="utf-8"?>
<Properties xmlns="http://schemas.openxmlformats.org/officeDocument/2006/extended-properties" xmlns:vt="http://schemas.openxmlformats.org/officeDocument/2006/docPropsVTypes">
  <Template>Normal</Template>
  <Pages>9</Pages>
  <Words>2837</Words>
  <Characters>3011</Characters>
  <Lines>22</Lines>
  <Paragraphs>6</Paragraphs>
  <TotalTime>0</TotalTime>
  <ScaleCrop>false</ScaleCrop>
  <LinksUpToDate>false</LinksUpToDate>
  <CharactersWithSpaces>3038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q</cp:lastModifiedBy>
  <dcterms:modified xsi:type="dcterms:W3CDTF">2022-09-12T12:58:35Z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28677F2CDEDB4D00B6A3452120E36F45</vt:lpwstr>
  </property>
</Properties>
</file>