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醴陵市救助管理站</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w:t>
      </w:r>
      <w:r>
        <w:rPr>
          <w:rFonts w:hint="eastAsia" w:hAnsi="仿宋_GB2312" w:eastAsia="仿宋_GB2312"/>
          <w:sz w:val="32"/>
          <w:szCs w:val="32"/>
        </w:rPr>
        <w:t>二</w:t>
      </w:r>
      <w:r>
        <w:rPr>
          <w:rFonts w:hAnsi="仿宋_GB2312" w:eastAsia="仿宋_GB2312"/>
          <w:sz w:val="32"/>
          <w:szCs w:val="32"/>
        </w:rPr>
        <w:t>）国有资产占有情况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w:t>
      </w:r>
      <w:r>
        <w:rPr>
          <w:rFonts w:hint="eastAsia" w:hAnsi="仿宋_GB2312" w:eastAsia="仿宋_GB2312"/>
          <w:sz w:val="32"/>
          <w:szCs w:val="32"/>
        </w:rPr>
        <w:t>三</w:t>
      </w:r>
      <w:r>
        <w:rPr>
          <w:rFonts w:hAnsi="仿宋_GB2312" w:eastAsia="仿宋_GB2312"/>
          <w:sz w:val="32"/>
          <w:szCs w:val="32"/>
        </w:rPr>
        <w:t>）预算绩效目标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w:t>
      </w:r>
      <w:r>
        <w:rPr>
          <w:rFonts w:hint="eastAsia" w:hAnsi="仿宋_GB2312" w:eastAsia="仿宋_GB2312"/>
          <w:sz w:val="32"/>
          <w:szCs w:val="32"/>
        </w:rPr>
        <w:t>四</w:t>
      </w:r>
      <w:r>
        <w:rPr>
          <w:rFonts w:hAnsi="仿宋_GB2312" w:eastAsia="仿宋_GB2312"/>
          <w:sz w:val="32"/>
          <w:szCs w:val="32"/>
        </w:rPr>
        <w:t>）</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360" w:lineRule="auto"/>
        <w:ind w:firstLine="640" w:firstLineChars="200"/>
        <w:rPr>
          <w:rFonts w:eastAsia="仿宋_GB2312"/>
          <w:color w:val="000000"/>
          <w:sz w:val="32"/>
          <w:szCs w:val="32"/>
        </w:rPr>
      </w:pPr>
      <w:r>
        <w:rPr>
          <w:rFonts w:hint="eastAsia" w:eastAsia="仿宋_GB2312"/>
          <w:color w:val="000000"/>
          <w:sz w:val="32"/>
          <w:szCs w:val="32"/>
        </w:rPr>
        <w:t>醴陵市救助管理站是醴陵市民政局下属的正股级全额拨款事业单位，根据城市生活无着的流浪乞讨人员救助管理办法》和《城市生活无着的流浪乞讨人员救助管理办法实施细则》相关文件规定，积极主动做好流浪乞讨人员救助工作。</w:t>
      </w:r>
      <w:r>
        <w:rPr>
          <w:rFonts w:eastAsia="仿宋_GB2312"/>
          <w:color w:val="000000"/>
          <w:sz w:val="32"/>
          <w:szCs w:val="32"/>
        </w:rPr>
        <w:t>主要职责是:</w:t>
      </w:r>
    </w:p>
    <w:p>
      <w:pPr>
        <w:widowControl/>
        <w:spacing w:line="360" w:lineRule="auto"/>
        <w:ind w:firstLine="640" w:firstLineChars="200"/>
        <w:rPr>
          <w:rFonts w:eastAsia="仿宋_GB2312"/>
          <w:color w:val="000000"/>
          <w:sz w:val="32"/>
          <w:szCs w:val="32"/>
        </w:rPr>
      </w:pPr>
      <w:r>
        <w:rPr>
          <w:rFonts w:hint="eastAsia" w:eastAsia="仿宋_GB2312"/>
          <w:color w:val="000000"/>
          <w:sz w:val="32"/>
          <w:szCs w:val="32"/>
        </w:rPr>
        <w:t>按照“管理精细化、服务人性化”的目标，坚持“以人为本，为民解困”的服务宗旨，积极主动做好生活无着流浪乞讨人员救助和流浪未成年人保护工作，接收外县、市、省籍流入我市的流浪乞讨人员和未成年人，并做好入站后的救助管理及护送返乡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 </w:t>
      </w:r>
      <w:r>
        <w:rPr>
          <w:rFonts w:hint="eastAsia" w:eastAsia="仿宋_GB2312"/>
          <w:color w:val="000000"/>
          <w:sz w:val="32"/>
          <w:szCs w:val="32"/>
        </w:rPr>
        <w:t>单位现有事业编制数8个，实有人数8人，无内设股室。</w:t>
      </w:r>
      <w:r>
        <w:rPr>
          <w:rFonts w:hint="eastAsia" w:eastAsia="仿宋_GB2312"/>
          <w:color w:val="000000"/>
          <w:sz w:val="32"/>
          <w:szCs w:val="32"/>
          <w:lang w:eastAsia="zh-CN"/>
        </w:rPr>
        <w:t>本单位无下属预算单位。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eastAsia="zh-CN"/>
        </w:rPr>
        <w:t>包括醴陵市救助管理站本级。</w:t>
      </w:r>
      <w:r>
        <w:rPr>
          <w:rFonts w:eastAsia="仿宋_GB2312"/>
          <w:color w:val="000000"/>
          <w:sz w:val="32"/>
          <w:szCs w:val="32"/>
        </w:rPr>
        <w:t>收入</w:t>
      </w:r>
      <w:r>
        <w:rPr>
          <w:rFonts w:hint="eastAsia" w:eastAsia="仿宋_GB2312"/>
          <w:color w:val="000000"/>
          <w:sz w:val="32"/>
          <w:szCs w:val="32"/>
        </w:rPr>
        <w:t>主要为</w:t>
      </w:r>
      <w:r>
        <w:rPr>
          <w:rFonts w:eastAsia="仿宋_GB2312"/>
          <w:color w:val="000000"/>
          <w:sz w:val="32"/>
          <w:szCs w:val="32"/>
        </w:rPr>
        <w:t>一般公共预算收入</w:t>
      </w:r>
      <w:r>
        <w:rPr>
          <w:rFonts w:hint="eastAsia" w:eastAsia="仿宋_GB2312"/>
          <w:color w:val="000000"/>
          <w:sz w:val="32"/>
          <w:szCs w:val="32"/>
        </w:rPr>
        <w:t>及流浪乞讨救助专项收入经费。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210.45</w:t>
      </w:r>
      <w:r>
        <w:rPr>
          <w:rFonts w:eastAsia="仿宋_GB2312"/>
          <w:color w:val="000000"/>
          <w:sz w:val="32"/>
          <w:szCs w:val="32"/>
        </w:rPr>
        <w:t>万元，其中，</w:t>
      </w:r>
      <w:r>
        <w:rPr>
          <w:rFonts w:hint="eastAsia" w:eastAsia="仿宋_GB2312"/>
          <w:color w:val="000000"/>
          <w:sz w:val="32"/>
          <w:szCs w:val="32"/>
        </w:rPr>
        <w:t>经费拨款64.15</w:t>
      </w:r>
      <w:r>
        <w:rPr>
          <w:rFonts w:eastAsia="仿宋_GB2312"/>
          <w:color w:val="000000"/>
          <w:sz w:val="32"/>
          <w:szCs w:val="32"/>
        </w:rPr>
        <w:t>万元；</w:t>
      </w:r>
      <w:r>
        <w:rPr>
          <w:rFonts w:hint="eastAsia" w:eastAsia="仿宋_GB2312"/>
          <w:color w:val="000000"/>
          <w:sz w:val="32"/>
          <w:szCs w:val="32"/>
        </w:rPr>
        <w:t>流浪乞讨救助专项上级补助收入146.3万元。</w:t>
      </w:r>
      <w:r>
        <w:rPr>
          <w:rFonts w:eastAsia="仿宋_GB2312"/>
          <w:color w:val="000000"/>
          <w:sz w:val="32"/>
          <w:szCs w:val="32"/>
        </w:rPr>
        <w:t>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210.45</w:t>
      </w:r>
      <w:r>
        <w:rPr>
          <w:rFonts w:eastAsia="仿宋_GB2312"/>
          <w:color w:val="000000"/>
          <w:sz w:val="32"/>
          <w:szCs w:val="32"/>
        </w:rPr>
        <w:t>万元，其中，</w:t>
      </w:r>
      <w:r>
        <w:rPr>
          <w:rFonts w:hint="eastAsia" w:eastAsia="仿宋_GB2312"/>
          <w:color w:val="000000"/>
          <w:sz w:val="32"/>
          <w:szCs w:val="32"/>
        </w:rPr>
        <w:t>社会保障和就业支出208.28万元、卫生健康支出2.17万元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FF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59.15</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151.3</w:t>
      </w:r>
      <w:r>
        <w:rPr>
          <w:rFonts w:eastAsia="仿宋_GB2312"/>
          <w:color w:val="000000"/>
          <w:sz w:val="32"/>
          <w:szCs w:val="32"/>
        </w:rPr>
        <w:t>万元，是指</w:t>
      </w:r>
      <w:r>
        <w:rPr>
          <w:rFonts w:hint="eastAsia" w:eastAsia="仿宋_GB2312"/>
          <w:sz w:val="32"/>
          <w:szCs w:val="32"/>
        </w:rPr>
        <w:t>主要用于对流浪乞讨人员进行基本生活救助。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sz w:val="32"/>
          <w:szCs w:val="32"/>
        </w:rPr>
        <w:t>20</w:t>
      </w:r>
      <w:r>
        <w:rPr>
          <w:rFonts w:hint="eastAsia" w:eastAsia="仿宋_GB2312"/>
          <w:sz w:val="32"/>
          <w:szCs w:val="32"/>
        </w:rPr>
        <w:t>21</w:t>
      </w:r>
      <w:r>
        <w:rPr>
          <w:rFonts w:eastAsia="仿宋_GB2312"/>
          <w:sz w:val="32"/>
          <w:szCs w:val="32"/>
        </w:rPr>
        <w:t>年度本单位年初预算数为</w:t>
      </w:r>
      <w:r>
        <w:rPr>
          <w:rFonts w:hint="eastAsia" w:eastAsia="仿宋_GB2312"/>
          <w:sz w:val="32"/>
          <w:szCs w:val="32"/>
        </w:rPr>
        <w:t>210.45</w:t>
      </w:r>
      <w:r>
        <w:rPr>
          <w:rFonts w:eastAsia="仿宋_GB2312"/>
          <w:sz w:val="32"/>
          <w:szCs w:val="32"/>
        </w:rPr>
        <w:t>万元，比上年增加</w:t>
      </w:r>
      <w:r>
        <w:rPr>
          <w:rFonts w:hint="eastAsia" w:eastAsia="仿宋_GB2312"/>
          <w:sz w:val="32"/>
          <w:szCs w:val="32"/>
        </w:rPr>
        <w:t>38.96</w:t>
      </w:r>
      <w:r>
        <w:rPr>
          <w:rFonts w:eastAsia="仿宋_GB2312"/>
          <w:sz w:val="32"/>
          <w:szCs w:val="32"/>
        </w:rPr>
        <w:t>万元，主要原因是</w:t>
      </w:r>
      <w:r>
        <w:rPr>
          <w:rFonts w:hint="eastAsia" w:eastAsia="仿宋_GB2312"/>
          <w:sz w:val="32"/>
          <w:szCs w:val="32"/>
        </w:rPr>
        <w:t>财政适当增加了上级补助资金的增加。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年年初预算运行经费</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9.1</w:t>
      </w:r>
      <w:r>
        <w:rPr>
          <w:rFonts w:eastAsia="仿宋_GB2312"/>
          <w:color w:val="000000"/>
          <w:sz w:val="32"/>
          <w:szCs w:val="32"/>
        </w:rPr>
        <w:t>万元，</w:t>
      </w:r>
      <w:r>
        <w:rPr>
          <w:rFonts w:hint="eastAsia" w:eastAsia="仿宋_GB2312"/>
          <w:color w:val="000000"/>
          <w:sz w:val="32"/>
          <w:szCs w:val="32"/>
        </w:rPr>
        <w:t>同</w:t>
      </w:r>
      <w:r>
        <w:rPr>
          <w:rFonts w:eastAsia="仿宋_GB2312"/>
          <w:color w:val="000000"/>
          <w:sz w:val="32"/>
          <w:szCs w:val="32"/>
        </w:rPr>
        <w:t>上年度预算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w:t>
      </w:r>
      <w:r>
        <w:rPr>
          <w:rFonts w:hint="eastAsia" w:eastAsia="楷体_GB2312"/>
          <w:bCs/>
          <w:color w:val="000000"/>
          <w:sz w:val="32"/>
          <w:szCs w:val="32"/>
        </w:rPr>
        <w:t>二</w:t>
      </w:r>
      <w:r>
        <w:rPr>
          <w:rFonts w:eastAsia="楷体_GB2312"/>
          <w:bCs/>
          <w:color w:val="000000"/>
          <w:sz w:val="32"/>
          <w:szCs w:val="32"/>
        </w:rPr>
        <w:t>）国有资产占有情况：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527.29平方米；无车辆。单位价值200万以上大型设备0套。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w:t>
      </w:r>
      <w:r>
        <w:rPr>
          <w:rFonts w:hint="eastAsia" w:eastAsia="楷体_GB2312"/>
          <w:bCs/>
          <w:color w:val="000000"/>
          <w:sz w:val="32"/>
          <w:szCs w:val="32"/>
        </w:rPr>
        <w:t>三</w:t>
      </w:r>
      <w:r>
        <w:rPr>
          <w:rFonts w:eastAsia="楷体_GB2312"/>
          <w:bCs/>
          <w:color w:val="000000"/>
          <w:sz w:val="32"/>
          <w:szCs w:val="32"/>
        </w:rPr>
        <w:t>）预算绩效目标：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151.3</w:t>
      </w:r>
      <w:r>
        <w:rPr>
          <w:rFonts w:eastAsia="仿宋_GB2312"/>
          <w:color w:val="000000"/>
          <w:sz w:val="32"/>
          <w:szCs w:val="32"/>
        </w:rPr>
        <w:t>万元，其中项目支出</w:t>
      </w:r>
      <w:r>
        <w:rPr>
          <w:rFonts w:hint="eastAsia" w:eastAsia="仿宋_GB2312"/>
          <w:color w:val="000000"/>
          <w:sz w:val="32"/>
          <w:szCs w:val="32"/>
        </w:rPr>
        <w:t>151.3</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w:t>
      </w:r>
      <w:r>
        <w:rPr>
          <w:rFonts w:hint="eastAsia" w:eastAsia="楷体_GB2312"/>
          <w:bCs/>
          <w:color w:val="000000"/>
          <w:sz w:val="32"/>
          <w:szCs w:val="32"/>
        </w:rPr>
        <w:t>四</w:t>
      </w:r>
      <w:r>
        <w:rPr>
          <w:rFonts w:eastAsia="楷体_GB2312"/>
          <w:bCs/>
          <w:color w:val="000000"/>
          <w:sz w:val="32"/>
          <w:szCs w:val="32"/>
        </w:rPr>
        <w:t>)政府采购预算：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11.1</w:t>
      </w:r>
      <w:r>
        <w:rPr>
          <w:rFonts w:eastAsia="仿宋_GB2312"/>
          <w:color w:val="000000"/>
          <w:sz w:val="32"/>
          <w:szCs w:val="32"/>
        </w:rPr>
        <w:t>万元。包含：</w:t>
      </w:r>
      <w:r>
        <w:rPr>
          <w:rFonts w:hint="eastAsia" w:eastAsia="仿宋_GB2312"/>
          <w:color w:val="000000"/>
          <w:sz w:val="32"/>
          <w:szCs w:val="32"/>
        </w:rPr>
        <w:t>货物类2.9</w:t>
      </w:r>
      <w:r>
        <w:rPr>
          <w:rFonts w:eastAsia="仿宋_GB2312"/>
          <w:color w:val="000000"/>
          <w:sz w:val="32"/>
          <w:szCs w:val="32"/>
        </w:rPr>
        <w:t>万元</w:t>
      </w:r>
      <w:r>
        <w:rPr>
          <w:rFonts w:hint="eastAsia" w:eastAsia="仿宋_GB2312"/>
          <w:color w:val="000000"/>
          <w:sz w:val="32"/>
          <w:szCs w:val="32"/>
        </w:rPr>
        <w:t>、服务类8.2</w:t>
      </w:r>
      <w:r>
        <w:rPr>
          <w:rFonts w:eastAsia="仿宋_GB2312"/>
          <w:color w:val="000000"/>
          <w:sz w:val="32"/>
          <w:szCs w:val="32"/>
        </w:rPr>
        <w:t>万元。</w:t>
      </w:r>
    </w:p>
    <w:p>
      <w:pPr>
        <w:pStyle w:val="2"/>
        <w:rPr>
          <w:rFonts w:eastAsia="仿宋_GB2312"/>
          <w:color w:val="000000"/>
          <w:sz w:val="32"/>
          <w:szCs w:val="32"/>
        </w:rPr>
      </w:pPr>
    </w:p>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五</w:t>
      </w:r>
      <w:r>
        <w:rPr>
          <w:rFonts w:eastAsia="楷体_GB2312"/>
          <w:bCs/>
          <w:color w:val="000000"/>
          <w:sz w:val="32"/>
          <w:szCs w:val="32"/>
        </w:rPr>
        <w:t>）“三公”经费预算：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0.6</w:t>
      </w:r>
      <w:r>
        <w:rPr>
          <w:rFonts w:eastAsia="仿宋_GB2312"/>
          <w:color w:val="000000"/>
          <w:sz w:val="32"/>
          <w:szCs w:val="32"/>
        </w:rPr>
        <w:t>万元，其中：公务接待费</w:t>
      </w:r>
      <w:r>
        <w:rPr>
          <w:rFonts w:hint="eastAsia" w:eastAsia="仿宋_GB2312"/>
          <w:color w:val="000000"/>
          <w:sz w:val="32"/>
          <w:szCs w:val="32"/>
        </w:rPr>
        <w:t>0.6</w:t>
      </w:r>
      <w:r>
        <w:rPr>
          <w:rFonts w:eastAsia="仿宋_GB2312"/>
          <w:color w:val="000000"/>
          <w:sz w:val="32"/>
          <w:szCs w:val="32"/>
        </w:rPr>
        <w:t>万元、</w:t>
      </w:r>
      <w:r>
        <w:rPr>
          <w:rFonts w:hint="eastAsia" w:eastAsia="仿宋_GB2312"/>
          <w:color w:val="000000"/>
          <w:sz w:val="32"/>
          <w:szCs w:val="32"/>
        </w:rPr>
        <w:t>公务用车购置费</w:t>
      </w:r>
      <w:r>
        <w:rPr>
          <w:rFonts w:hint="eastAsia" w:eastAsia="仿宋_GB2312"/>
          <w:color w:val="000000"/>
          <w:sz w:val="32"/>
          <w:szCs w:val="32"/>
          <w:lang w:val="en-US" w:eastAsia="zh-CN"/>
        </w:rPr>
        <w:t>0万元、</w:t>
      </w:r>
      <w:bookmarkStart w:id="0" w:name="_GoBack"/>
      <w:bookmarkEnd w:id="0"/>
      <w:r>
        <w:rPr>
          <w:rFonts w:eastAsia="仿宋_GB2312"/>
          <w:color w:val="000000"/>
          <w:sz w:val="32"/>
          <w:szCs w:val="32"/>
        </w:rPr>
        <w:t>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w:t>
      </w:r>
    </w:p>
    <w:p>
      <w:pPr>
        <w:pStyle w:val="2"/>
        <w:rPr>
          <w:rFonts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减少1.4</w:t>
      </w:r>
      <w:r>
        <w:rPr>
          <w:rFonts w:eastAsia="仿宋_GB2312"/>
          <w:color w:val="000000"/>
          <w:sz w:val="32"/>
          <w:szCs w:val="32"/>
        </w:rPr>
        <w:t>万元，主要是</w:t>
      </w:r>
      <w:r>
        <w:rPr>
          <w:rFonts w:hint="eastAsia" w:eastAsia="仿宋_GB2312"/>
          <w:color w:val="000000"/>
          <w:sz w:val="32"/>
          <w:szCs w:val="32"/>
        </w:rPr>
        <w:t>根据财政要求节约开支，规范严格管理“三公”经费预算和开支。</w:t>
      </w:r>
    </w:p>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（六）其他事项：</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和专户收支预算。本单位无门户网站，已在政府网站统一公开。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hint="eastAsia" w:eastAsia="仿宋_GB2312"/>
          <w:b/>
          <w:sz w:val="32"/>
          <w:szCs w:val="32"/>
        </w:rPr>
        <w:t>2</w:t>
      </w:r>
      <w:r>
        <w:rPr>
          <w:rFonts w:eastAsia="仿宋_GB2312"/>
          <w:b/>
          <w:sz w:val="32"/>
          <w:szCs w:val="32"/>
        </w:rPr>
        <w:t>.社会保险基金预算: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hint="eastAsia" w:eastAsia="仿宋_GB2312"/>
          <w:b/>
          <w:sz w:val="32"/>
          <w:szCs w:val="32"/>
        </w:rPr>
        <w:t>3</w:t>
      </w:r>
      <w:r>
        <w:rPr>
          <w:rFonts w:eastAsia="仿宋_GB2312"/>
          <w:b/>
          <w:sz w:val="32"/>
          <w:szCs w:val="32"/>
        </w:rPr>
        <w:t>.基本支出：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hint="eastAsia" w:eastAsia="仿宋_GB2312"/>
          <w:b/>
          <w:sz w:val="32"/>
          <w:szCs w:val="32"/>
        </w:rPr>
        <w:t>4</w:t>
      </w:r>
      <w:r>
        <w:rPr>
          <w:rFonts w:eastAsia="仿宋_GB2312"/>
          <w:b/>
          <w:sz w:val="32"/>
          <w:szCs w:val="32"/>
        </w:rPr>
        <w:t>.项目支出：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hint="eastAsia" w:eastAsia="仿宋_GB2312"/>
          <w:b/>
          <w:sz w:val="32"/>
          <w:szCs w:val="32"/>
        </w:rPr>
        <w:t>5</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hint="eastAsia" w:eastAsia="仿宋_GB2312"/>
          <w:b/>
          <w:sz w:val="32"/>
          <w:szCs w:val="32"/>
        </w:rPr>
        <w:t>6</w:t>
      </w:r>
      <w:r>
        <w:rPr>
          <w:rFonts w:eastAsia="仿宋_GB2312"/>
          <w:b/>
          <w:sz w:val="32"/>
          <w:szCs w:val="32"/>
        </w:rPr>
        <w:t>.运行经费：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1B8C"/>
    <w:multiLevelType w:val="singleLevel"/>
    <w:tmpl w:val="8E5C1B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TcxYjgwZDczMWJkZjIxZjAwMTkyNDdmNDM0YTcifQ=="/>
  </w:docVars>
  <w:rsids>
    <w:rsidRoot w:val="00D84058"/>
    <w:rsid w:val="00323B43"/>
    <w:rsid w:val="003D37D8"/>
    <w:rsid w:val="004358AB"/>
    <w:rsid w:val="00511ED1"/>
    <w:rsid w:val="005528AF"/>
    <w:rsid w:val="005553BA"/>
    <w:rsid w:val="006464CA"/>
    <w:rsid w:val="0077734D"/>
    <w:rsid w:val="008B7726"/>
    <w:rsid w:val="00B221AD"/>
    <w:rsid w:val="00B32378"/>
    <w:rsid w:val="00BD7D7A"/>
    <w:rsid w:val="00C95687"/>
    <w:rsid w:val="00CB1E75"/>
    <w:rsid w:val="00D04F61"/>
    <w:rsid w:val="00D84058"/>
    <w:rsid w:val="00DE3BB8"/>
    <w:rsid w:val="00E315E9"/>
    <w:rsid w:val="00E97ABD"/>
    <w:rsid w:val="00EB37B2"/>
    <w:rsid w:val="03130116"/>
    <w:rsid w:val="0378180C"/>
    <w:rsid w:val="0637616C"/>
    <w:rsid w:val="064C75F3"/>
    <w:rsid w:val="077647D1"/>
    <w:rsid w:val="0B1448C1"/>
    <w:rsid w:val="0B511D15"/>
    <w:rsid w:val="0C48260B"/>
    <w:rsid w:val="0C623059"/>
    <w:rsid w:val="0E085073"/>
    <w:rsid w:val="0F60470E"/>
    <w:rsid w:val="0FB04671"/>
    <w:rsid w:val="128C6D7F"/>
    <w:rsid w:val="12B27917"/>
    <w:rsid w:val="13AA207A"/>
    <w:rsid w:val="13B878D6"/>
    <w:rsid w:val="14942891"/>
    <w:rsid w:val="14B4098C"/>
    <w:rsid w:val="14E133A0"/>
    <w:rsid w:val="14F43330"/>
    <w:rsid w:val="18B211FF"/>
    <w:rsid w:val="1BCA2DB2"/>
    <w:rsid w:val="1EEF3CF3"/>
    <w:rsid w:val="20632ADF"/>
    <w:rsid w:val="218443A2"/>
    <w:rsid w:val="22BC206D"/>
    <w:rsid w:val="23E932C0"/>
    <w:rsid w:val="26176E7E"/>
    <w:rsid w:val="276F6897"/>
    <w:rsid w:val="27C12C2B"/>
    <w:rsid w:val="296C22C9"/>
    <w:rsid w:val="2B3A076C"/>
    <w:rsid w:val="2B836D64"/>
    <w:rsid w:val="2BC8277E"/>
    <w:rsid w:val="2FA60069"/>
    <w:rsid w:val="302D4AE3"/>
    <w:rsid w:val="30360848"/>
    <w:rsid w:val="339B7340"/>
    <w:rsid w:val="351C3AB0"/>
    <w:rsid w:val="357C2CC8"/>
    <w:rsid w:val="35966BF0"/>
    <w:rsid w:val="376E0FE4"/>
    <w:rsid w:val="39EB27DE"/>
    <w:rsid w:val="3BC6541B"/>
    <w:rsid w:val="3C3159F4"/>
    <w:rsid w:val="3D566086"/>
    <w:rsid w:val="3D6E798F"/>
    <w:rsid w:val="3EA93920"/>
    <w:rsid w:val="402571C4"/>
    <w:rsid w:val="405A47E3"/>
    <w:rsid w:val="412D793E"/>
    <w:rsid w:val="43376A24"/>
    <w:rsid w:val="43530FA1"/>
    <w:rsid w:val="44C46B7C"/>
    <w:rsid w:val="450E6678"/>
    <w:rsid w:val="46FF052A"/>
    <w:rsid w:val="498E3C90"/>
    <w:rsid w:val="4D8B062A"/>
    <w:rsid w:val="4DE35714"/>
    <w:rsid w:val="4E205981"/>
    <w:rsid w:val="53517F43"/>
    <w:rsid w:val="54151A4F"/>
    <w:rsid w:val="5707582A"/>
    <w:rsid w:val="57654763"/>
    <w:rsid w:val="57980A77"/>
    <w:rsid w:val="5B0121FB"/>
    <w:rsid w:val="5B6036DC"/>
    <w:rsid w:val="5C3962C0"/>
    <w:rsid w:val="5EB56C59"/>
    <w:rsid w:val="5FBE6756"/>
    <w:rsid w:val="60247A9C"/>
    <w:rsid w:val="60D462D2"/>
    <w:rsid w:val="617366A8"/>
    <w:rsid w:val="61A2307E"/>
    <w:rsid w:val="62015501"/>
    <w:rsid w:val="63FE2C17"/>
    <w:rsid w:val="64B02BD6"/>
    <w:rsid w:val="65216D01"/>
    <w:rsid w:val="668023B6"/>
    <w:rsid w:val="67656F52"/>
    <w:rsid w:val="6A332372"/>
    <w:rsid w:val="6C7C742B"/>
    <w:rsid w:val="6CD72778"/>
    <w:rsid w:val="6DAE55C6"/>
    <w:rsid w:val="6EB074DE"/>
    <w:rsid w:val="6FBE7579"/>
    <w:rsid w:val="71094C82"/>
    <w:rsid w:val="712F236A"/>
    <w:rsid w:val="731A092B"/>
    <w:rsid w:val="73E13918"/>
    <w:rsid w:val="7490661E"/>
    <w:rsid w:val="75823A88"/>
    <w:rsid w:val="75BA46FD"/>
    <w:rsid w:val="77DD5D31"/>
    <w:rsid w:val="78495A50"/>
    <w:rsid w:val="791B2289"/>
    <w:rsid w:val="7AFB7CA2"/>
    <w:rsid w:val="7B0C7C13"/>
    <w:rsid w:val="7C880D00"/>
    <w:rsid w:val="7D7F24B4"/>
    <w:rsid w:val="7DBF3FEB"/>
    <w:rsid w:val="7E51196E"/>
    <w:rsid w:val="7EF878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index 8"/>
    <w:next w:val="1"/>
    <w:qFormat/>
    <w:uiPriority w:val="0"/>
    <w:pPr>
      <w:widowControl w:val="0"/>
      <w:ind w:left="2940"/>
      <w:jc w:val="both"/>
    </w:pPr>
    <w:rPr>
      <w:rFonts w:ascii="Times New Roman" w:hAnsi="Times New Roman" w:eastAsia="宋体" w:cs="Times New Roman"/>
      <w:kern w:val="2"/>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3"/>
    <w:qFormat/>
    <w:uiPriority w:val="0"/>
    <w:pPr>
      <w:widowControl/>
      <w:spacing w:beforeAutospacing="1" w:afterAutospacing="1"/>
      <w:jc w:val="left"/>
    </w:pPr>
    <w:rPr>
      <w:rFonts w:ascii="宋体" w:hAnsi="宋体"/>
      <w:color w:val="000000"/>
      <w:kern w:val="0"/>
      <w:sz w:val="24"/>
    </w:rPr>
  </w:style>
  <w:style w:type="character" w:styleId="9">
    <w:name w:val="Strong"/>
    <w:basedOn w:val="8"/>
    <w:qFormat/>
    <w:uiPriority w:val="22"/>
    <w:rPr>
      <w:b/>
      <w:bCs/>
    </w:rPr>
  </w:style>
  <w:style w:type="character" w:customStyle="1" w:styleId="10">
    <w:name w:val="页眉 字符"/>
    <w:basedOn w:val="8"/>
    <w:link w:val="5"/>
    <w:semiHidden/>
    <w:qFormat/>
    <w:uiPriority w:val="99"/>
    <w:rPr>
      <w:rFonts w:ascii="Times New Roman" w:hAnsi="Times New Roman" w:eastAsia="宋体" w:cs="Times New Roman"/>
      <w:kern w:val="2"/>
      <w:sz w:val="18"/>
      <w:szCs w:val="18"/>
    </w:rPr>
  </w:style>
  <w:style w:type="character" w:customStyle="1" w:styleId="11">
    <w:name w:val="页脚 字符"/>
    <w:basedOn w:val="8"/>
    <w:link w:val="4"/>
    <w:semiHidden/>
    <w:qFormat/>
    <w:uiPriority w:val="99"/>
    <w:rPr>
      <w:rFonts w:ascii="Times New Roman" w:hAnsi="Times New Roman" w:eastAsia="宋体" w:cs="Times New Roman"/>
      <w:kern w:val="2"/>
      <w:sz w:val="18"/>
      <w:szCs w:val="18"/>
    </w:rPr>
  </w:style>
  <w:style w:type="paragraph" w:customStyle="1" w:styleId="12">
    <w:name w:val="Default"/>
    <w:unhideWhenUsed/>
    <w:qFormat/>
    <w:uiPriority w:val="99"/>
    <w:pPr>
      <w:widowControl w:val="0"/>
      <w:autoSpaceDE w:val="0"/>
      <w:autoSpaceDN w:val="0"/>
      <w:adjustRightInd w:val="0"/>
    </w:pPr>
    <w:rPr>
      <w:rFonts w:hint="eastAsia" w:ascii="..ì." w:hAnsi="..ì." w:eastAsia="..ì." w:cs="黑体"/>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7</Pages>
  <Words>2079</Words>
  <Characters>2211</Characters>
  <Lines>17</Lines>
  <Paragraphs>4</Paragraphs>
  <TotalTime>27</TotalTime>
  <ScaleCrop>false</ScaleCrop>
  <LinksUpToDate>false</LinksUpToDate>
  <CharactersWithSpaces>2228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2022-09-13T06:27:45Z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243FF0B2C1D443DFA494C4D4760BA1EB</vt:lpwstr>
  </property>
</Properties>
</file>