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val="en-US" w:eastAsia="zh-CN"/>
        </w:rPr>
        <w:t>社会福利中心</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val="en-US" w:eastAsia="zh-CN"/>
        </w:rPr>
        <w:t>三</w:t>
      </w:r>
      <w:r>
        <w:rPr>
          <w:rFonts w:hAnsi="仿宋_GB2312" w:eastAsia="仿宋_GB2312"/>
          <w:sz w:val="32"/>
          <w:szCs w:val="32"/>
        </w:rPr>
        <w:t>、其他重要事项情况说明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val="en-US" w:eastAsia="zh-CN"/>
        </w:rPr>
        <w:t>四</w:t>
      </w:r>
      <w:r>
        <w:rPr>
          <w:rFonts w:hAnsi="仿宋_GB2312" w:eastAsia="仿宋_GB2312"/>
          <w:sz w:val="32"/>
          <w:szCs w:val="32"/>
        </w:rPr>
        <w:t>、名词解释</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lang w:val="en-US" w:eastAsia="zh-CN"/>
        </w:rPr>
        <w:t>五</w:t>
      </w:r>
      <w:r>
        <w:rPr>
          <w:rFonts w:hAnsi="仿宋_GB2312" w:eastAsia="仿宋_GB2312"/>
          <w:sz w:val="32"/>
          <w:szCs w:val="32"/>
        </w:rPr>
        <w:t>、部门预算公开表格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rPr>
          <w:rFonts w:eastAsia="仿宋_GB2312"/>
          <w:sz w:val="32"/>
          <w:szCs w:val="32"/>
        </w:rPr>
      </w:pPr>
      <w:r>
        <w:rPr>
          <w:rFonts w:hint="eastAsia" w:eastAsia="仿宋_GB2312"/>
          <w:sz w:val="32"/>
          <w:szCs w:val="32"/>
          <w:lang w:val="en-US" w:eastAsia="zh-CN"/>
        </w:rPr>
        <w:t>醴陵市社会福利中心</w:t>
      </w:r>
      <w:r>
        <w:rPr>
          <w:rFonts w:eastAsia="仿宋_GB2312"/>
          <w:sz w:val="32"/>
          <w:szCs w:val="32"/>
        </w:rPr>
        <w:t>贯彻落实党中央关于</w:t>
      </w:r>
      <w:r>
        <w:rPr>
          <w:rFonts w:hAnsi="仿宋_GB2312" w:eastAsia="仿宋_GB2312"/>
          <w:sz w:val="32"/>
          <w:szCs w:val="32"/>
        </w:rPr>
        <w:t>民政</w:t>
      </w:r>
      <w:r>
        <w:rPr>
          <w:rFonts w:eastAsia="仿宋_GB2312"/>
          <w:sz w:val="32"/>
          <w:szCs w:val="32"/>
        </w:rPr>
        <w:t>工作的方针政策和决策部署，全面落实</w:t>
      </w:r>
      <w:r>
        <w:rPr>
          <w:rFonts w:hint="eastAsia" w:eastAsia="仿宋_GB2312"/>
          <w:sz w:val="32"/>
          <w:szCs w:val="32"/>
        </w:rPr>
        <w:t>省委、株洲市委和</w:t>
      </w:r>
      <w:r>
        <w:rPr>
          <w:rFonts w:eastAsia="仿宋_GB2312"/>
          <w:sz w:val="32"/>
          <w:szCs w:val="32"/>
        </w:rPr>
        <w:t>市</w:t>
      </w:r>
      <w:r>
        <w:rPr>
          <w:rFonts w:hint="eastAsia" w:eastAsia="仿宋_GB2312"/>
          <w:sz w:val="32"/>
          <w:szCs w:val="32"/>
          <w:lang w:val="en-US" w:eastAsia="zh-CN"/>
        </w:rPr>
        <w:t>民政局</w:t>
      </w:r>
      <w:r>
        <w:rPr>
          <w:rFonts w:eastAsia="仿宋_GB2312"/>
          <w:sz w:val="32"/>
          <w:szCs w:val="32"/>
        </w:rPr>
        <w:t>的部署要求，在履行职责过程中坚持和加强党对</w:t>
      </w:r>
      <w:r>
        <w:rPr>
          <w:rFonts w:hint="eastAsia" w:hAnsi="仿宋_GB2312" w:eastAsia="仿宋_GB2312"/>
          <w:sz w:val="32"/>
          <w:szCs w:val="32"/>
          <w:lang w:val="en-US" w:eastAsia="zh-CN"/>
        </w:rPr>
        <w:t>福利中心</w:t>
      </w:r>
      <w:r>
        <w:rPr>
          <w:rFonts w:eastAsia="仿宋_GB2312"/>
          <w:sz w:val="32"/>
          <w:szCs w:val="32"/>
        </w:rPr>
        <w:t>工作</w:t>
      </w:r>
      <w:r>
        <w:rPr>
          <w:rFonts w:hint="eastAsia" w:eastAsia="仿宋_GB2312"/>
          <w:sz w:val="32"/>
          <w:szCs w:val="32"/>
        </w:rPr>
        <w:t>的</w:t>
      </w:r>
      <w:r>
        <w:rPr>
          <w:rFonts w:eastAsia="仿宋_GB2312"/>
          <w:sz w:val="32"/>
          <w:szCs w:val="32"/>
        </w:rPr>
        <w:t>集中统一领导。主要职责是:</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（一）负责解决城区5个街道办事处、23个社区、26个村的特困老年人的集中供养问题；负责本单位</w:t>
      </w:r>
      <w:r>
        <w:rPr>
          <w:rFonts w:hint="eastAsia" w:ascii="仿宋_GB2312" w:hAnsi="仿宋_GB2312" w:eastAsia="仿宋_GB2312" w:cs="仿宋_GB2312"/>
          <w:color w:val="000000"/>
          <w:kern w:val="0"/>
          <w:sz w:val="32"/>
          <w:szCs w:val="32"/>
        </w:rPr>
        <w:t>老年人</w:t>
      </w:r>
      <w:r>
        <w:rPr>
          <w:rFonts w:hint="eastAsia" w:ascii="仿宋_GB2312" w:hAnsi="仿宋_GB2312" w:eastAsia="仿宋_GB2312" w:cs="仿宋_GB2312"/>
          <w:color w:val="000000"/>
          <w:kern w:val="0"/>
          <w:sz w:val="32"/>
          <w:szCs w:val="32"/>
          <w:lang w:val="en-US" w:eastAsia="zh-CN"/>
        </w:rPr>
        <w:t>身体健康、</w:t>
      </w:r>
      <w:r>
        <w:rPr>
          <w:rFonts w:hint="eastAsia" w:ascii="仿宋_GB2312" w:hAnsi="仿宋_GB2312" w:eastAsia="仿宋_GB2312" w:cs="仿宋_GB2312"/>
          <w:color w:val="000000"/>
          <w:kern w:val="0"/>
          <w:sz w:val="32"/>
          <w:szCs w:val="32"/>
        </w:rPr>
        <w:t>心理健康与关怀服务等老年健康工作。</w:t>
      </w:r>
    </w:p>
    <w:p>
      <w:pPr>
        <w:pStyle w:val="5"/>
        <w:adjustRightInd w:val="0"/>
        <w:snapToGrid w:val="0"/>
        <w:spacing w:beforeAutospacing="0" w:afterAutospacing="0" w:line="630" w:lineRule="exact"/>
        <w:ind w:firstLine="640" w:firstLineChars="200"/>
        <w:contextualSpacing/>
        <w:rPr>
          <w:rFonts w:ascii="Times New Roman" w:hAnsi="仿宋_GB2312" w:eastAsia="仿宋_GB2312"/>
          <w:sz w:val="32"/>
          <w:szCs w:val="32"/>
        </w:rPr>
      </w:pPr>
      <w:r>
        <w:rPr>
          <w:rFonts w:ascii="Times New Roman" w:hAnsi="仿宋_GB2312" w:eastAsia="仿宋_GB2312"/>
          <w:sz w:val="32"/>
          <w:szCs w:val="32"/>
        </w:rPr>
        <w:t>（</w:t>
      </w:r>
      <w:r>
        <w:rPr>
          <w:rFonts w:hint="eastAsia" w:ascii="Times New Roman" w:hAnsi="仿宋_GB2312" w:eastAsia="仿宋_GB2312"/>
          <w:sz w:val="32"/>
          <w:szCs w:val="32"/>
          <w:lang w:val="en-US" w:eastAsia="zh-CN"/>
        </w:rPr>
        <w:t>二</w:t>
      </w:r>
      <w:r>
        <w:rPr>
          <w:rFonts w:ascii="Times New Roman" w:hAnsi="仿宋_GB2312" w:eastAsia="仿宋_GB2312"/>
          <w:sz w:val="32"/>
          <w:szCs w:val="32"/>
        </w:rPr>
        <w:t>）完成市</w:t>
      </w:r>
      <w:r>
        <w:rPr>
          <w:rFonts w:hint="eastAsia" w:ascii="Times New Roman" w:hAnsi="仿宋_GB2312" w:eastAsia="仿宋_GB2312"/>
          <w:sz w:val="32"/>
          <w:szCs w:val="32"/>
          <w:lang w:val="en-US" w:eastAsia="zh-CN"/>
        </w:rPr>
        <w:t>民政局</w:t>
      </w:r>
      <w:r>
        <w:rPr>
          <w:rFonts w:ascii="Times New Roman" w:hAnsi="仿宋_GB2312" w:eastAsia="仿宋_GB2312"/>
          <w:sz w:val="32"/>
          <w:szCs w:val="32"/>
        </w:rPr>
        <w:t>交办的其他任务。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bCs/>
          <w:color w:val="000000"/>
          <w:sz w:val="32"/>
          <w:szCs w:val="32"/>
        </w:rPr>
        <w:t> </w:t>
      </w:r>
      <w:r>
        <w:rPr>
          <w:rFonts w:eastAsia="仿宋_GB2312"/>
          <w:sz w:val="32"/>
          <w:szCs w:val="32"/>
        </w:rPr>
        <w:t>本部门共有编制人数</w:t>
      </w:r>
      <w:r>
        <w:rPr>
          <w:rFonts w:hint="eastAsia" w:eastAsia="仿宋_GB2312"/>
          <w:sz w:val="32"/>
          <w:szCs w:val="32"/>
          <w:lang w:val="en-US" w:eastAsia="zh-CN"/>
        </w:rPr>
        <w:t>5</w:t>
      </w:r>
      <w:r>
        <w:rPr>
          <w:rFonts w:eastAsia="仿宋_GB2312"/>
          <w:sz w:val="32"/>
          <w:szCs w:val="32"/>
        </w:rPr>
        <w:t>人，实有人数</w:t>
      </w:r>
      <w:r>
        <w:rPr>
          <w:rFonts w:hint="eastAsia" w:eastAsia="仿宋_GB2312"/>
          <w:sz w:val="32"/>
          <w:szCs w:val="32"/>
          <w:lang w:val="en-US" w:eastAsia="zh-CN"/>
        </w:rPr>
        <w:t>11</w:t>
      </w:r>
      <w:r>
        <w:rPr>
          <w:rFonts w:eastAsia="仿宋_GB2312"/>
          <w:sz w:val="32"/>
          <w:szCs w:val="32"/>
        </w:rPr>
        <w:t>人</w:t>
      </w:r>
      <w:r>
        <w:rPr>
          <w:rFonts w:hint="eastAsia" w:eastAsia="仿宋_GB2312"/>
          <w:sz w:val="32"/>
          <w:szCs w:val="32"/>
        </w:rPr>
        <w:t>，</w:t>
      </w:r>
      <w:r>
        <w:rPr>
          <w:rFonts w:hint="eastAsia" w:eastAsia="仿宋_GB2312"/>
          <w:sz w:val="32"/>
          <w:szCs w:val="32"/>
          <w:lang w:val="en-US" w:eastAsia="zh-CN"/>
        </w:rPr>
        <w:t>无内设股室。</w:t>
      </w:r>
      <w:r>
        <w:rPr>
          <w:rFonts w:hint="eastAsia" w:eastAsia="仿宋_GB2312"/>
          <w:color w:val="000000"/>
          <w:sz w:val="32"/>
          <w:szCs w:val="32"/>
          <w:lang w:eastAsia="zh-CN"/>
        </w:rPr>
        <w:t>本单位无下属预算单位。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eastAsia="zh-CN"/>
        </w:rPr>
        <w:t>：</w:t>
      </w:r>
      <w:r>
        <w:rPr>
          <w:rFonts w:hint="eastAsia" w:eastAsia="仿宋_GB2312"/>
          <w:color w:val="000000"/>
          <w:sz w:val="32"/>
          <w:szCs w:val="32"/>
          <w:lang w:val="en-US" w:eastAsia="zh-CN"/>
        </w:rPr>
        <w:t>醴陵市社会福利中心</w:t>
      </w:r>
      <w:r>
        <w:rPr>
          <w:rFonts w:eastAsia="仿宋_GB2312"/>
          <w:color w:val="000000"/>
          <w:sz w:val="32"/>
          <w:szCs w:val="32"/>
        </w:rPr>
        <w:t>。收入</w:t>
      </w:r>
      <w:r>
        <w:rPr>
          <w:rFonts w:hint="eastAsia" w:eastAsia="仿宋_GB2312"/>
          <w:color w:val="000000"/>
          <w:sz w:val="32"/>
          <w:szCs w:val="32"/>
        </w:rPr>
        <w:t>主要为</w:t>
      </w:r>
      <w:r>
        <w:rPr>
          <w:rFonts w:eastAsia="仿宋_GB2312"/>
          <w:color w:val="000000"/>
          <w:sz w:val="32"/>
          <w:szCs w:val="32"/>
        </w:rPr>
        <w:t>一般公共预算收入；支出</w:t>
      </w:r>
      <w:r>
        <w:rPr>
          <w:rFonts w:hint="eastAsia" w:eastAsia="仿宋_GB2312"/>
          <w:color w:val="000000"/>
          <w:sz w:val="32"/>
          <w:szCs w:val="32"/>
          <w:lang w:val="en-US" w:eastAsia="zh-CN"/>
        </w:rPr>
        <w:t>主要为</w:t>
      </w:r>
      <w:r>
        <w:rPr>
          <w:rFonts w:eastAsia="仿宋_GB2312"/>
          <w:color w:val="000000"/>
          <w:sz w:val="32"/>
          <w:szCs w:val="32"/>
        </w:rPr>
        <w:t>保障</w:t>
      </w:r>
      <w:r>
        <w:rPr>
          <w:rFonts w:hint="eastAsia" w:eastAsia="仿宋_GB2312"/>
          <w:color w:val="000000"/>
          <w:sz w:val="32"/>
          <w:szCs w:val="32"/>
          <w:lang w:val="en-US" w:eastAsia="zh-CN"/>
        </w:rPr>
        <w:t>本</w:t>
      </w:r>
      <w:r>
        <w:rPr>
          <w:rFonts w:eastAsia="仿宋_GB2312"/>
          <w:color w:val="000000"/>
          <w:sz w:val="32"/>
          <w:szCs w:val="32"/>
        </w:rPr>
        <w:t>单位基本运行的经费。</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114.96</w:t>
      </w:r>
      <w:r>
        <w:rPr>
          <w:rFonts w:eastAsia="仿宋_GB2312"/>
          <w:color w:val="000000"/>
          <w:sz w:val="32"/>
          <w:szCs w:val="32"/>
        </w:rPr>
        <w:t>万元，其中，一般公共预算拨款</w:t>
      </w:r>
      <w:r>
        <w:rPr>
          <w:rFonts w:hint="eastAsia" w:eastAsia="仿宋_GB2312"/>
          <w:color w:val="000000"/>
          <w:sz w:val="32"/>
          <w:szCs w:val="32"/>
          <w:lang w:val="en-US" w:eastAsia="zh-CN"/>
        </w:rPr>
        <w:t>114.96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r>
        <w:rPr>
          <w:rFonts w:hint="eastAsia" w:eastAsia="仿宋_GB2312"/>
          <w:color w:val="000000"/>
          <w:sz w:val="32"/>
          <w:szCs w:val="32"/>
          <w:lang w:val="en-US" w:eastAsia="zh-CN"/>
        </w:rPr>
        <w:t>收入预算比上年增加50万，增加比例为79%，增加原因为上级补助收入增加。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114.96</w:t>
      </w:r>
      <w:r>
        <w:rPr>
          <w:rFonts w:eastAsia="仿宋_GB2312"/>
          <w:color w:val="000000"/>
          <w:sz w:val="32"/>
          <w:szCs w:val="32"/>
        </w:rPr>
        <w:t>万元，其中，</w:t>
      </w:r>
      <w:r>
        <w:rPr>
          <w:rFonts w:hint="eastAsia" w:eastAsia="仿宋_GB2312"/>
          <w:color w:val="000000"/>
          <w:sz w:val="32"/>
          <w:szCs w:val="32"/>
        </w:rPr>
        <w:t>社会保障和就业支出</w:t>
      </w:r>
      <w:r>
        <w:rPr>
          <w:rFonts w:hint="eastAsia" w:eastAsia="仿宋_GB2312"/>
          <w:color w:val="000000"/>
          <w:sz w:val="32"/>
          <w:szCs w:val="32"/>
          <w:lang w:val="en-US" w:eastAsia="zh-CN"/>
        </w:rPr>
        <w:t>112.46</w:t>
      </w:r>
      <w:r>
        <w:rPr>
          <w:rFonts w:hint="eastAsia" w:eastAsia="仿宋_GB2312"/>
          <w:color w:val="000000"/>
          <w:sz w:val="32"/>
          <w:szCs w:val="32"/>
        </w:rPr>
        <w:t>万元、卫生健康支出</w:t>
      </w:r>
      <w:r>
        <w:rPr>
          <w:rFonts w:hint="eastAsia" w:eastAsia="仿宋_GB2312"/>
          <w:color w:val="000000"/>
          <w:sz w:val="32"/>
          <w:szCs w:val="32"/>
          <w:lang w:val="en-US" w:eastAsia="zh-CN"/>
        </w:rPr>
        <w:t>2.5</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hint="default" w:eastAsia="仿宋_GB2312"/>
          <w:color w:val="000000"/>
          <w:sz w:val="32"/>
          <w:szCs w:val="32"/>
          <w:lang w:val="en-US" w:eastAsia="zh-CN"/>
        </w:rPr>
      </w:pPr>
      <w:r>
        <w:rPr>
          <w:rFonts w:eastAsia="仿宋_GB2312"/>
          <w:b/>
          <w:color w:val="000000"/>
          <w:sz w:val="32"/>
          <w:szCs w:val="32"/>
        </w:rPr>
        <w:t>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114.96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114.96</w:t>
      </w:r>
      <w:r>
        <w:rPr>
          <w:rFonts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 xml:space="preserve">   </w:t>
      </w:r>
    </w:p>
    <w:p>
      <w:pPr>
        <w:tabs>
          <w:tab w:val="left" w:pos="7560"/>
        </w:tabs>
        <w:adjustRightInd w:val="0"/>
        <w:snapToGrid w:val="0"/>
        <w:spacing w:line="560" w:lineRule="exact"/>
        <w:ind w:firstLine="640" w:firstLineChars="200"/>
        <w:jc w:val="left"/>
        <w:rPr>
          <w:rFonts w:hint="default" w:eastAsia="仿宋_GB2312"/>
          <w:sz w:val="32"/>
          <w:szCs w:val="32"/>
          <w:lang w:val="en-US" w:eastAsia="zh-CN"/>
        </w:rPr>
      </w:pPr>
      <w:r>
        <w:rPr>
          <w:rFonts w:eastAsia="楷体_GB2312"/>
          <w:bCs/>
          <w:color w:val="000000"/>
          <w:sz w:val="32"/>
          <w:szCs w:val="32"/>
        </w:rPr>
        <w:t>（</w:t>
      </w:r>
      <w:r>
        <w:rPr>
          <w:rFonts w:hint="eastAsia" w:eastAsia="楷体_GB2312"/>
          <w:bCs/>
          <w:color w:val="000000"/>
          <w:sz w:val="32"/>
          <w:szCs w:val="32"/>
          <w:lang w:val="en-US" w:eastAsia="zh-CN"/>
        </w:rPr>
        <w:t>二</w:t>
      </w:r>
      <w:r>
        <w:rPr>
          <w:rFonts w:eastAsia="楷体_GB2312"/>
          <w:bCs/>
          <w:color w:val="000000"/>
          <w:sz w:val="32"/>
          <w:szCs w:val="32"/>
        </w:rPr>
        <w:t>）</w:t>
      </w:r>
      <w:r>
        <w:rPr>
          <w:rFonts w:hAnsi="仿宋_GB2312" w:eastAsia="仿宋_GB2312"/>
          <w:sz w:val="32"/>
          <w:szCs w:val="32"/>
        </w:rPr>
        <w:t>政府采购预算</w:t>
      </w:r>
      <w:r>
        <w:rPr>
          <w:rFonts w:hint="eastAsia" w:hAnsi="仿宋_GB2312" w:eastAsia="仿宋_GB2312"/>
          <w:sz w:val="32"/>
          <w:szCs w:val="32"/>
          <w:lang w:eastAsia="zh-CN"/>
        </w:rPr>
        <w:t>：</w:t>
      </w:r>
      <w:r>
        <w:rPr>
          <w:rFonts w:hint="eastAsia" w:hAnsi="仿宋_GB2312" w:eastAsia="仿宋_GB2312"/>
          <w:sz w:val="32"/>
          <w:szCs w:val="32"/>
          <w:lang w:val="en-US" w:eastAsia="zh-CN"/>
        </w:rPr>
        <w:t>政府采购预算为17.33万元，服务采购3.6万元，工程采购为0元。</w:t>
      </w:r>
    </w:p>
    <w:p>
      <w:pPr>
        <w:tabs>
          <w:tab w:val="left" w:pos="7560"/>
        </w:tabs>
        <w:adjustRightInd w:val="0"/>
        <w:snapToGrid w:val="0"/>
        <w:spacing w:line="560" w:lineRule="exact"/>
        <w:ind w:firstLine="640" w:firstLineChars="200"/>
        <w:jc w:val="left"/>
        <w:rPr>
          <w:rFonts w:eastAsia="仿宋_GB2312"/>
          <w:color w:val="000000"/>
          <w:sz w:val="32"/>
          <w:szCs w:val="32"/>
          <w:highlight w:val="none"/>
        </w:rPr>
      </w:pPr>
      <w:r>
        <w:rPr>
          <w:rFonts w:eastAsia="楷体_GB2312"/>
          <w:bCs/>
          <w:color w:val="000000"/>
          <w:sz w:val="32"/>
          <w:szCs w:val="32"/>
        </w:rPr>
        <w:t>（</w:t>
      </w:r>
      <w:r>
        <w:rPr>
          <w:rFonts w:hint="eastAsia" w:eastAsia="楷体_GB2312"/>
          <w:bCs/>
          <w:color w:val="000000"/>
          <w:sz w:val="32"/>
          <w:szCs w:val="32"/>
          <w:lang w:val="en-US" w:eastAsia="zh-CN"/>
        </w:rPr>
        <w:t>三</w:t>
      </w:r>
      <w:r>
        <w:rPr>
          <w:rFonts w:eastAsia="楷体_GB2312"/>
          <w:bCs/>
          <w:color w:val="000000"/>
          <w:sz w:val="32"/>
          <w:szCs w:val="32"/>
        </w:rPr>
        <w:t>）国有资产占有情况：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w:t>
      </w:r>
      <w:r>
        <w:rPr>
          <w:rFonts w:eastAsia="仿宋_GB2312"/>
          <w:color w:val="000000"/>
          <w:sz w:val="32"/>
          <w:szCs w:val="32"/>
          <w:highlight w:val="none"/>
        </w:rPr>
        <w:t>共有办公及业务用房</w:t>
      </w:r>
      <w:r>
        <w:rPr>
          <w:rFonts w:hint="eastAsia" w:eastAsia="仿宋_GB2312"/>
          <w:color w:val="000000"/>
          <w:sz w:val="32"/>
          <w:szCs w:val="32"/>
          <w:highlight w:val="none"/>
          <w:lang w:val="en-US" w:eastAsia="zh-CN"/>
        </w:rPr>
        <w:t>7623</w:t>
      </w:r>
      <w:r>
        <w:rPr>
          <w:rFonts w:hint="eastAsia" w:eastAsia="仿宋_GB2312"/>
          <w:color w:val="000000"/>
          <w:sz w:val="32"/>
          <w:szCs w:val="32"/>
          <w:highlight w:val="none"/>
        </w:rPr>
        <w:t>平方米；单位价值200万以上大型设备0套。2021年部门预算安排购置车辆0辆，预算安排购置价值200万以上大型设备0套</w:t>
      </w:r>
      <w:r>
        <w:rPr>
          <w:rFonts w:eastAsia="仿宋_GB2312"/>
          <w:color w:val="000000"/>
          <w:sz w:val="32"/>
          <w:szCs w:val="32"/>
          <w:highlight w:val="none"/>
        </w:rPr>
        <w:t>。</w:t>
      </w:r>
    </w:p>
    <w:p>
      <w:pPr>
        <w:tabs>
          <w:tab w:val="left" w:pos="7560"/>
        </w:tabs>
        <w:adjustRightInd w:val="0"/>
        <w:snapToGrid w:val="0"/>
        <w:spacing w:line="560" w:lineRule="exact"/>
        <w:ind w:firstLine="640" w:firstLineChars="200"/>
        <w:jc w:val="left"/>
        <w:rPr>
          <w:rFonts w:hint="eastAsia" w:hAnsi="仿宋_GB2312" w:eastAsia="仿宋_GB2312"/>
          <w:sz w:val="32"/>
          <w:szCs w:val="32"/>
          <w:highlight w:val="none"/>
          <w:lang w:eastAsia="zh-CN"/>
        </w:rPr>
      </w:pPr>
      <w:r>
        <w:rPr>
          <w:rFonts w:eastAsia="楷体_GB2312"/>
          <w:bCs/>
          <w:color w:val="000000"/>
          <w:sz w:val="32"/>
          <w:szCs w:val="32"/>
          <w:highlight w:val="none"/>
        </w:rPr>
        <w:t>（</w:t>
      </w:r>
      <w:r>
        <w:rPr>
          <w:rFonts w:hint="eastAsia" w:eastAsia="楷体_GB2312"/>
          <w:bCs/>
          <w:color w:val="000000"/>
          <w:sz w:val="32"/>
          <w:szCs w:val="32"/>
          <w:highlight w:val="none"/>
          <w:lang w:val="en-US" w:eastAsia="zh-CN"/>
        </w:rPr>
        <w:t>四</w:t>
      </w:r>
      <w:r>
        <w:rPr>
          <w:rFonts w:eastAsia="楷体_GB2312"/>
          <w:bCs/>
          <w:color w:val="000000"/>
          <w:sz w:val="32"/>
          <w:szCs w:val="32"/>
          <w:highlight w:val="none"/>
        </w:rPr>
        <w:t>）</w:t>
      </w:r>
      <w:r>
        <w:rPr>
          <w:rFonts w:hAnsi="仿宋_GB2312" w:eastAsia="仿宋_GB2312"/>
          <w:sz w:val="32"/>
          <w:szCs w:val="32"/>
          <w:highlight w:val="none"/>
        </w:rPr>
        <w:t>预算绩效目标</w:t>
      </w:r>
      <w:r>
        <w:rPr>
          <w:rFonts w:hint="eastAsia" w:hAnsi="仿宋_GB2312" w:eastAsia="仿宋_GB2312"/>
          <w:sz w:val="32"/>
          <w:szCs w:val="32"/>
          <w:highlight w:val="none"/>
          <w:lang w:eastAsia="zh-CN"/>
        </w:rPr>
        <w:t>：</w:t>
      </w:r>
      <w:bookmarkStart w:id="0" w:name="_GoBack"/>
      <w:bookmarkEnd w:id="0"/>
    </w:p>
    <w:p>
      <w:pPr>
        <w:tabs>
          <w:tab w:val="left" w:pos="7560"/>
        </w:tabs>
        <w:adjustRightInd w:val="0"/>
        <w:snapToGrid w:val="0"/>
        <w:spacing w:line="560" w:lineRule="exact"/>
        <w:ind w:firstLine="640" w:firstLineChars="200"/>
        <w:jc w:val="left"/>
        <w:rPr>
          <w:rFonts w:hint="eastAsia" w:eastAsia="仿宋_GB2312"/>
          <w:sz w:val="32"/>
          <w:szCs w:val="32"/>
          <w:highlight w:val="yellow"/>
          <w:lang w:eastAsia="zh-CN"/>
        </w:rPr>
      </w:pPr>
      <w:r>
        <w:rPr>
          <w:rFonts w:eastAsia="仿宋_GB2312"/>
          <w:color w:val="000000"/>
          <w:sz w:val="32"/>
          <w:szCs w:val="32"/>
          <w:highlight w:val="none"/>
        </w:rPr>
        <w:t>本部门整体支出和项目支出</w:t>
      </w:r>
      <w:r>
        <w:rPr>
          <w:rFonts w:eastAsia="仿宋_GB2312"/>
          <w:color w:val="000000"/>
          <w:sz w:val="32"/>
          <w:szCs w:val="32"/>
        </w:rPr>
        <w:t>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114.96</w:t>
      </w:r>
      <w:r>
        <w:rPr>
          <w:rFonts w:eastAsia="仿宋_GB2312"/>
          <w:color w:val="000000"/>
          <w:sz w:val="32"/>
          <w:szCs w:val="32"/>
        </w:rPr>
        <w:t xml:space="preserve">万元，其中，基本支出 </w:t>
      </w:r>
      <w:r>
        <w:rPr>
          <w:rFonts w:hint="eastAsia" w:eastAsia="仿宋_GB2312"/>
          <w:color w:val="000000"/>
          <w:sz w:val="32"/>
          <w:szCs w:val="32"/>
        </w:rPr>
        <w:t>114.96</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万元（具体绩效目标详见附表）。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lang w:val="en-US" w:eastAsia="zh-CN"/>
        </w:rPr>
        <w:t>五</w:t>
      </w:r>
      <w:r>
        <w:rPr>
          <w:rFonts w:eastAsia="楷体_GB2312"/>
          <w:bCs/>
          <w:color w:val="000000"/>
          <w:sz w:val="32"/>
          <w:szCs w:val="32"/>
        </w:rPr>
        <w:t>）“三公”经费预算：</w:t>
      </w:r>
    </w:p>
    <w:p>
      <w:pPr>
        <w:tabs>
          <w:tab w:val="left" w:pos="7560"/>
        </w:tabs>
        <w:adjustRightInd w:val="0"/>
        <w:snapToGrid w:val="0"/>
        <w:spacing w:line="560" w:lineRule="exact"/>
        <w:ind w:firstLine="640" w:firstLineChars="200"/>
        <w:jc w:val="left"/>
        <w:rPr>
          <w:rFonts w:hint="default" w:eastAsia="仿宋_GB2312"/>
          <w:b w:val="0"/>
          <w:bCs w:val="0"/>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0</w:t>
      </w:r>
      <w:r>
        <w:rPr>
          <w:rFonts w:eastAsia="仿宋_GB2312"/>
          <w:color w:val="000000"/>
          <w:sz w:val="32"/>
          <w:szCs w:val="32"/>
        </w:rPr>
        <w:t>万元，</w:t>
      </w:r>
      <w:r>
        <w:rPr>
          <w:rFonts w:hint="eastAsia" w:eastAsia="仿宋_GB2312"/>
          <w:color w:val="000000"/>
          <w:sz w:val="32"/>
          <w:szCs w:val="32"/>
          <w:lang w:val="en-US" w:eastAsia="zh-CN"/>
        </w:rPr>
        <w:t>原因是为了厉行节约，节约开支。</w:t>
      </w:r>
      <w:r>
        <w:rPr>
          <w:rFonts w:eastAsia="仿宋_GB2312"/>
          <w:color w:val="000000"/>
          <w:sz w:val="32"/>
          <w:szCs w:val="32"/>
        </w:rPr>
        <w:t>其中：公务接待费</w:t>
      </w:r>
      <w:r>
        <w:rPr>
          <w:rFonts w:hint="eastAsia" w:eastAsia="仿宋_GB2312"/>
          <w:color w:val="000000"/>
          <w:sz w:val="32"/>
          <w:szCs w:val="32"/>
          <w:lang w:val="en-US" w:eastAsia="zh-CN"/>
        </w:rPr>
        <w:t>0</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bCs/>
          <w:color w:val="000000"/>
          <w:sz w:val="32"/>
          <w:szCs w:val="32"/>
        </w:rPr>
        <w:t>。</w:t>
      </w:r>
      <w:r>
        <w:rPr>
          <w:rFonts w:hint="eastAsia" w:eastAsia="仿宋_GB2312"/>
          <w:b w:val="0"/>
          <w:bCs w:val="0"/>
          <w:color w:val="000000"/>
          <w:sz w:val="32"/>
          <w:szCs w:val="32"/>
          <w:lang w:val="en-US" w:eastAsia="zh-CN"/>
        </w:rPr>
        <w:t>与上年对比，增加0元，增幅为0%。</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0.2</w:t>
      </w:r>
      <w:r>
        <w:rPr>
          <w:rFonts w:eastAsia="仿宋_GB2312"/>
          <w:color w:val="000000"/>
          <w:sz w:val="32"/>
          <w:szCs w:val="32"/>
        </w:rPr>
        <w:t>万元，主要</w:t>
      </w:r>
      <w:r>
        <w:rPr>
          <w:rFonts w:hint="eastAsia" w:eastAsia="仿宋_GB2312"/>
          <w:color w:val="000000"/>
          <w:sz w:val="32"/>
          <w:szCs w:val="32"/>
          <w:lang w:val="en-US" w:eastAsia="zh-CN"/>
        </w:rPr>
        <w:t>为消防安全业务知识培训</w:t>
      </w:r>
      <w:r>
        <w:rPr>
          <w:rFonts w:eastAsia="仿宋_GB2312"/>
          <w:color w:val="000000"/>
          <w:sz w:val="32"/>
          <w:szCs w:val="32"/>
        </w:rPr>
        <w:t>。</w:t>
      </w:r>
    </w:p>
    <w:p>
      <w:pPr>
        <w:numPr>
          <w:ilvl w:val="0"/>
          <w:numId w:val="2"/>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和</w:t>
      </w:r>
      <w:r>
        <w:rPr>
          <w:rFonts w:hint="eastAsia" w:eastAsia="仿宋_GB2312"/>
          <w:sz w:val="32"/>
          <w:szCs w:val="32"/>
        </w:rPr>
        <w:t>专户收支预算。本单位无门户网站，已在政府网站统一公开</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1B8C"/>
    <w:multiLevelType w:val="singleLevel"/>
    <w:tmpl w:val="8E5C1B8C"/>
    <w:lvl w:ilvl="0" w:tentative="0">
      <w:start w:val="1"/>
      <w:numFmt w:val="chineseCounting"/>
      <w:suff w:val="nothing"/>
      <w:lvlText w:val="%1、"/>
      <w:lvlJc w:val="left"/>
      <w:rPr>
        <w:rFonts w:hint="eastAsia"/>
      </w:rPr>
    </w:lvl>
  </w:abstractNum>
  <w:abstractNum w:abstractNumId="1">
    <w:nsid w:val="C3C0224E"/>
    <w:multiLevelType w:val="singleLevel"/>
    <w:tmpl w:val="C3C0224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TcxYjgwZDczMWJkZjIxZjAwMTkyNDdmNDM0YTcifQ=="/>
  </w:docVars>
  <w:rsids>
    <w:rsidRoot w:val="00D84058"/>
    <w:rsid w:val="00323B43"/>
    <w:rsid w:val="003D37D8"/>
    <w:rsid w:val="004358AB"/>
    <w:rsid w:val="005528AF"/>
    <w:rsid w:val="005553BA"/>
    <w:rsid w:val="006464CA"/>
    <w:rsid w:val="0077734D"/>
    <w:rsid w:val="008B7726"/>
    <w:rsid w:val="00B221AD"/>
    <w:rsid w:val="00B32378"/>
    <w:rsid w:val="00CB1E75"/>
    <w:rsid w:val="00D04F61"/>
    <w:rsid w:val="00D84058"/>
    <w:rsid w:val="00DE3BB8"/>
    <w:rsid w:val="00E315E9"/>
    <w:rsid w:val="00E97ABD"/>
    <w:rsid w:val="00EB37B2"/>
    <w:rsid w:val="03130116"/>
    <w:rsid w:val="03D1333D"/>
    <w:rsid w:val="0637616C"/>
    <w:rsid w:val="073964E0"/>
    <w:rsid w:val="077647D1"/>
    <w:rsid w:val="07EF1B7E"/>
    <w:rsid w:val="088C1F29"/>
    <w:rsid w:val="0961689E"/>
    <w:rsid w:val="0B1448C1"/>
    <w:rsid w:val="0B511D15"/>
    <w:rsid w:val="0E085073"/>
    <w:rsid w:val="0FB04671"/>
    <w:rsid w:val="135B42D4"/>
    <w:rsid w:val="13A01D0E"/>
    <w:rsid w:val="13AA207A"/>
    <w:rsid w:val="13B878D6"/>
    <w:rsid w:val="14B4098C"/>
    <w:rsid w:val="14E133A0"/>
    <w:rsid w:val="16F94C2D"/>
    <w:rsid w:val="178F7340"/>
    <w:rsid w:val="1EF6452E"/>
    <w:rsid w:val="20632ADF"/>
    <w:rsid w:val="22BC206D"/>
    <w:rsid w:val="24713BEA"/>
    <w:rsid w:val="25D24FC7"/>
    <w:rsid w:val="25DC60BE"/>
    <w:rsid w:val="276F6897"/>
    <w:rsid w:val="27C12C2B"/>
    <w:rsid w:val="296C22C9"/>
    <w:rsid w:val="2B3A076C"/>
    <w:rsid w:val="2BC8277E"/>
    <w:rsid w:val="2BFF7ADC"/>
    <w:rsid w:val="2D4A5717"/>
    <w:rsid w:val="2F6F695A"/>
    <w:rsid w:val="302D4AE3"/>
    <w:rsid w:val="30B8300C"/>
    <w:rsid w:val="32091270"/>
    <w:rsid w:val="351C3AB0"/>
    <w:rsid w:val="357C2CC8"/>
    <w:rsid w:val="35966BF0"/>
    <w:rsid w:val="38F06EDE"/>
    <w:rsid w:val="39EB27DE"/>
    <w:rsid w:val="3AE0546B"/>
    <w:rsid w:val="3BC6541B"/>
    <w:rsid w:val="3C17152E"/>
    <w:rsid w:val="3D6E798F"/>
    <w:rsid w:val="402571C4"/>
    <w:rsid w:val="405A47E3"/>
    <w:rsid w:val="43376A24"/>
    <w:rsid w:val="43530FA1"/>
    <w:rsid w:val="43BF2704"/>
    <w:rsid w:val="448732AE"/>
    <w:rsid w:val="450E6678"/>
    <w:rsid w:val="46FF052A"/>
    <w:rsid w:val="47303E36"/>
    <w:rsid w:val="495E079C"/>
    <w:rsid w:val="498E3C90"/>
    <w:rsid w:val="4ADE0CE8"/>
    <w:rsid w:val="4B2639EE"/>
    <w:rsid w:val="4C436EB0"/>
    <w:rsid w:val="4CEF0B8F"/>
    <w:rsid w:val="4D2F41FE"/>
    <w:rsid w:val="4D8B062A"/>
    <w:rsid w:val="4E205981"/>
    <w:rsid w:val="4F455F5A"/>
    <w:rsid w:val="525A1D1D"/>
    <w:rsid w:val="53517F43"/>
    <w:rsid w:val="558306D6"/>
    <w:rsid w:val="5707582A"/>
    <w:rsid w:val="57654763"/>
    <w:rsid w:val="57980A77"/>
    <w:rsid w:val="5B0121FB"/>
    <w:rsid w:val="5B6036DC"/>
    <w:rsid w:val="5F665FC2"/>
    <w:rsid w:val="60D462D2"/>
    <w:rsid w:val="61A2307E"/>
    <w:rsid w:val="62015501"/>
    <w:rsid w:val="63EE6769"/>
    <w:rsid w:val="63FE2C17"/>
    <w:rsid w:val="64B02BD6"/>
    <w:rsid w:val="64BB489D"/>
    <w:rsid w:val="65216D01"/>
    <w:rsid w:val="66522FDF"/>
    <w:rsid w:val="668023B6"/>
    <w:rsid w:val="67656F52"/>
    <w:rsid w:val="67AE3C7F"/>
    <w:rsid w:val="6A332372"/>
    <w:rsid w:val="6DAE55C6"/>
    <w:rsid w:val="6EB074DE"/>
    <w:rsid w:val="6FBE7579"/>
    <w:rsid w:val="712F236A"/>
    <w:rsid w:val="731A092B"/>
    <w:rsid w:val="7365391D"/>
    <w:rsid w:val="73E13918"/>
    <w:rsid w:val="75823A88"/>
    <w:rsid w:val="77DD5D31"/>
    <w:rsid w:val="78495A50"/>
    <w:rsid w:val="791B2289"/>
    <w:rsid w:val="7AFB7CA2"/>
    <w:rsid w:val="7B0C7C13"/>
    <w:rsid w:val="7D7946DC"/>
    <w:rsid w:val="7EF878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8"/>
    <w:next w:val="1"/>
    <w:qFormat/>
    <w:uiPriority w:val="0"/>
    <w:pPr>
      <w:widowControl w:val="0"/>
      <w:ind w:left="2940"/>
      <w:jc w:val="both"/>
    </w:pPr>
    <w:rPr>
      <w:rFonts w:ascii="Times New Roman" w:hAnsi="Times New Roman" w:eastAsia="宋体" w:cs="Times New Roman"/>
      <w:kern w:val="2"/>
      <w:sz w:val="21"/>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next w:val="2"/>
    <w:qFormat/>
    <w:uiPriority w:val="0"/>
    <w:pPr>
      <w:widowControl/>
      <w:spacing w:beforeAutospacing="1" w:afterAutospacing="1"/>
      <w:jc w:val="left"/>
    </w:pPr>
    <w:rPr>
      <w:rFonts w:ascii="宋体" w:hAnsi="宋体"/>
      <w:color w:val="000000"/>
      <w:kern w:val="0"/>
      <w:sz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imes New Roman" w:hAnsi="Times New Roman" w:eastAsia="宋体" w:cs="Times New Roman"/>
      <w:kern w:val="2"/>
      <w:sz w:val="18"/>
      <w:szCs w:val="18"/>
    </w:rPr>
  </w:style>
  <w:style w:type="character" w:customStyle="1" w:styleId="10">
    <w:name w:val="页脚 Char"/>
    <w:basedOn w:val="7"/>
    <w:link w:val="3"/>
    <w:semiHidden/>
    <w:qFormat/>
    <w:uiPriority w:val="99"/>
    <w:rPr>
      <w:rFonts w:ascii="Times New Roman" w:hAnsi="Times New Roman" w:eastAsia="宋体" w:cs="Times New Roman"/>
      <w:kern w:val="2"/>
      <w:sz w:val="18"/>
      <w:szCs w:val="18"/>
    </w:rPr>
  </w:style>
  <w:style w:type="paragraph" w:customStyle="1" w:styleId="11">
    <w:name w:val="Default"/>
    <w:unhideWhenUsed/>
    <w:qFormat/>
    <w:uiPriority w:val="99"/>
    <w:pPr>
      <w:widowControl w:val="0"/>
      <w:autoSpaceDE w:val="0"/>
      <w:autoSpaceDN w:val="0"/>
      <w:adjustRightInd w:val="0"/>
    </w:pPr>
    <w:rPr>
      <w:rFonts w:hint="eastAsia" w:ascii="..ì." w:hAnsi="..ì." w:eastAsia="..ì." w:cs="黑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2233</Words>
  <Characters>2350</Characters>
  <Lines>31</Lines>
  <Paragraphs>8</Paragraphs>
  <TotalTime>0</TotalTime>
  <ScaleCrop>false</ScaleCrop>
  <LinksUpToDate>false</LinksUpToDate>
  <CharactersWithSpaces>2363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2022-09-13T08:19:38Z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63A372F5C5EB44EBAF3D78D62300DF95</vt:lpwstr>
  </property>
</Properties>
</file>