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醴陵市民政</w:t>
      </w:r>
      <w:r>
        <w:rPr>
          <w:rFonts w:eastAsia="方正小标宋简体"/>
          <w:bCs/>
          <w:color w:val="000000"/>
          <w:sz w:val="44"/>
          <w:szCs w:val="44"/>
        </w:rPr>
        <w:t>局2021年部门预算公开说明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numPr>
          <w:ilvl w:val="0"/>
          <w:numId w:val="1"/>
        </w:num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hint="eastAsia"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hAnsi="黑体" w:eastAsia="黑体"/>
          <w:sz w:val="32"/>
          <w:szCs w:val="32"/>
        </w:rPr>
        <w:t>一、部门职能职责</w:t>
      </w:r>
    </w:p>
    <w:p>
      <w:pPr>
        <w:spacing w:line="600" w:lineRule="exact"/>
        <w:ind w:firstLine="640" w:firstLineChars="200"/>
        <w:rPr>
          <w:rFonts w:eastAsia="仿宋_GB2312"/>
          <w:sz w:val="32"/>
          <w:szCs w:val="32"/>
        </w:rPr>
      </w:pPr>
      <w:r>
        <w:rPr>
          <w:rFonts w:hAnsi="仿宋_GB2312" w:eastAsia="仿宋_GB2312"/>
          <w:sz w:val="32"/>
          <w:szCs w:val="32"/>
        </w:rPr>
        <w:t>市民政局</w:t>
      </w:r>
      <w:r>
        <w:rPr>
          <w:rFonts w:eastAsia="仿宋_GB2312"/>
          <w:sz w:val="32"/>
          <w:szCs w:val="32"/>
        </w:rPr>
        <w:t>贯彻落实党中央关于</w:t>
      </w:r>
      <w:r>
        <w:rPr>
          <w:rFonts w:hAnsi="仿宋_GB2312" w:eastAsia="仿宋_GB2312"/>
          <w:sz w:val="32"/>
          <w:szCs w:val="32"/>
        </w:rPr>
        <w:t>民政</w:t>
      </w:r>
      <w:r>
        <w:rPr>
          <w:rFonts w:eastAsia="仿宋_GB2312"/>
          <w:sz w:val="32"/>
          <w:szCs w:val="32"/>
        </w:rPr>
        <w:t>工作的方针政策和决策部署，全面落实</w:t>
      </w:r>
      <w:r>
        <w:rPr>
          <w:rFonts w:hint="eastAsia" w:eastAsia="仿宋_GB2312"/>
          <w:sz w:val="32"/>
          <w:szCs w:val="32"/>
        </w:rPr>
        <w:t>省委、株洲市委和</w:t>
      </w:r>
      <w:r>
        <w:rPr>
          <w:rFonts w:eastAsia="仿宋_GB2312"/>
          <w:sz w:val="32"/>
          <w:szCs w:val="32"/>
        </w:rPr>
        <w:t>市委关于</w:t>
      </w:r>
      <w:r>
        <w:rPr>
          <w:rFonts w:hAnsi="仿宋_GB2312" w:eastAsia="仿宋_GB2312"/>
          <w:sz w:val="32"/>
          <w:szCs w:val="32"/>
        </w:rPr>
        <w:t>民政</w:t>
      </w:r>
      <w:r>
        <w:rPr>
          <w:rFonts w:eastAsia="仿宋_GB2312"/>
          <w:sz w:val="32"/>
          <w:szCs w:val="32"/>
        </w:rPr>
        <w:t>工作的部署要求，在履行职责过程中坚持和加强党对</w:t>
      </w:r>
      <w:r>
        <w:rPr>
          <w:rFonts w:hAnsi="仿宋_GB2312" w:eastAsia="仿宋_GB2312"/>
          <w:sz w:val="32"/>
          <w:szCs w:val="32"/>
        </w:rPr>
        <w:t>民政</w:t>
      </w:r>
      <w:r>
        <w:rPr>
          <w:rFonts w:eastAsia="仿宋_GB2312"/>
          <w:sz w:val="32"/>
          <w:szCs w:val="32"/>
        </w:rPr>
        <w:t>工作</w:t>
      </w:r>
      <w:r>
        <w:rPr>
          <w:rFonts w:hint="eastAsia" w:eastAsia="仿宋_GB2312"/>
          <w:sz w:val="32"/>
          <w:szCs w:val="32"/>
        </w:rPr>
        <w:t>的</w:t>
      </w:r>
      <w:r>
        <w:rPr>
          <w:rFonts w:eastAsia="仿宋_GB2312"/>
          <w:sz w:val="32"/>
          <w:szCs w:val="32"/>
        </w:rPr>
        <w:t>集中统一领导。主要职责是:</w:t>
      </w:r>
    </w:p>
    <w:p>
      <w:pPr>
        <w:pStyle w:val="5"/>
        <w:adjustRightInd w:val="0"/>
        <w:snapToGrid w:val="0"/>
        <w:spacing w:beforeAutospacing="0" w:afterAutospacing="0" w:line="630" w:lineRule="exact"/>
        <w:ind w:firstLine="640" w:firstLineChars="200"/>
        <w:contextualSpacing/>
        <w:rPr>
          <w:rFonts w:ascii="Times New Roman" w:eastAsia="仿宋_GB2312"/>
          <w:sz w:val="32"/>
          <w:szCs w:val="32"/>
        </w:rPr>
      </w:pPr>
      <w:r>
        <w:rPr>
          <w:rFonts w:ascii="Times New Roman" w:hAnsi="仿宋_GB2312" w:eastAsia="仿宋_GB2312"/>
          <w:sz w:val="32"/>
          <w:szCs w:val="32"/>
        </w:rPr>
        <w:t>（一）拟订全市社会救助、行政区划、养老服务、儿童福利、社会事务、慈善事业、社会工作和福利彩票销售等民政事业发展规划并组织实施。</w:t>
      </w:r>
    </w:p>
    <w:p>
      <w:pPr>
        <w:pStyle w:val="5"/>
        <w:adjustRightInd w:val="0"/>
        <w:snapToGrid w:val="0"/>
        <w:spacing w:beforeAutospacing="0" w:afterAutospacing="0" w:line="630" w:lineRule="exact"/>
        <w:ind w:firstLine="640" w:firstLineChars="200"/>
        <w:contextualSpacing/>
        <w:rPr>
          <w:rFonts w:ascii="Times New Roman" w:eastAsia="仿宋_GB2312"/>
          <w:sz w:val="32"/>
          <w:szCs w:val="32"/>
        </w:rPr>
      </w:pPr>
      <w:r>
        <w:rPr>
          <w:rFonts w:ascii="Times New Roman" w:hAnsi="仿宋_GB2312" w:eastAsia="仿宋_GB2312"/>
          <w:sz w:val="32"/>
          <w:szCs w:val="32"/>
        </w:rPr>
        <w:t>（二）负责城乡居民最低生活保障和临时救助工作；负责城乡社会救助体系建设工作；负责城乡居民低收入家庭信息核查工作；负责残疾人两项补贴的</w:t>
      </w:r>
      <w:r>
        <w:rPr>
          <w:rFonts w:hint="eastAsia" w:ascii="Times New Roman" w:hAnsi="仿宋_GB2312" w:eastAsia="仿宋_GB2312"/>
          <w:sz w:val="32"/>
          <w:szCs w:val="32"/>
        </w:rPr>
        <w:t>审批</w:t>
      </w:r>
      <w:r>
        <w:rPr>
          <w:rFonts w:ascii="Times New Roman" w:hAnsi="仿宋_GB2312" w:eastAsia="仿宋_GB2312"/>
          <w:sz w:val="32"/>
          <w:szCs w:val="32"/>
        </w:rPr>
        <w:t>和资金发放工作；负责农村建档立卡贫困户的兜底保障工作；负责管理和分配中央、省</w:t>
      </w:r>
      <w:r>
        <w:rPr>
          <w:rFonts w:hint="eastAsia" w:ascii="Times New Roman" w:hAnsi="仿宋_GB2312" w:eastAsia="仿宋_GB2312"/>
          <w:sz w:val="32"/>
          <w:szCs w:val="32"/>
        </w:rPr>
        <w:t>和本级</w:t>
      </w:r>
      <w:r>
        <w:rPr>
          <w:rFonts w:ascii="Times New Roman" w:hAnsi="仿宋_GB2312" w:eastAsia="仿宋_GB2312"/>
          <w:sz w:val="32"/>
          <w:szCs w:val="32"/>
        </w:rPr>
        <w:t>下拨的救助保障金。</w:t>
      </w:r>
    </w:p>
    <w:p>
      <w:pPr>
        <w:pStyle w:val="5"/>
        <w:adjustRightInd w:val="0"/>
        <w:snapToGrid w:val="0"/>
        <w:spacing w:beforeAutospacing="0" w:afterAutospacing="0" w:line="630" w:lineRule="exact"/>
        <w:ind w:firstLine="640" w:firstLineChars="200"/>
        <w:contextualSpacing/>
        <w:rPr>
          <w:rFonts w:ascii="Times New Roman" w:eastAsia="仿宋_GB2312"/>
          <w:sz w:val="32"/>
          <w:szCs w:val="32"/>
        </w:rPr>
      </w:pPr>
      <w:r>
        <w:rPr>
          <w:rFonts w:ascii="Times New Roman" w:hAnsi="仿宋_GB2312" w:eastAsia="仿宋_GB2312"/>
          <w:sz w:val="32"/>
          <w:szCs w:val="32"/>
        </w:rPr>
        <w:t>（三）负责拟订全市城乡基层群众自治组织建设、社区建设和社区治理相关制度并组织实施；组织指导城乡社区建设和社区治理工作；推动村（居）务公开和基层民主政治建设。</w:t>
      </w:r>
    </w:p>
    <w:p>
      <w:pPr>
        <w:pStyle w:val="5"/>
        <w:adjustRightInd w:val="0"/>
        <w:snapToGrid w:val="0"/>
        <w:spacing w:beforeAutospacing="0" w:afterAutospacing="0" w:line="630" w:lineRule="exact"/>
        <w:ind w:firstLine="640" w:firstLineChars="200"/>
        <w:contextualSpacing/>
        <w:rPr>
          <w:rFonts w:ascii="Times New Roman" w:eastAsia="仿宋_GB2312"/>
          <w:sz w:val="32"/>
          <w:szCs w:val="32"/>
        </w:rPr>
      </w:pPr>
      <w:r>
        <w:rPr>
          <w:rFonts w:ascii="Times New Roman" w:hAnsi="仿宋_GB2312" w:eastAsia="仿宋_GB2312"/>
          <w:sz w:val="32"/>
          <w:szCs w:val="32"/>
        </w:rPr>
        <w:t>（四）依法对全市社会组织进行登记管理和监督，负责公开募捐资格审批和慈善组织认定工作，负责指导社会组织党建工作。</w:t>
      </w:r>
    </w:p>
    <w:p>
      <w:pPr>
        <w:pStyle w:val="5"/>
        <w:adjustRightInd w:val="0"/>
        <w:snapToGrid w:val="0"/>
        <w:spacing w:beforeAutospacing="0" w:afterAutospacing="0" w:line="630" w:lineRule="exact"/>
        <w:ind w:firstLine="640" w:firstLineChars="200"/>
        <w:contextualSpacing/>
        <w:rPr>
          <w:rFonts w:ascii="Times New Roman" w:eastAsia="仿宋_GB2312"/>
          <w:sz w:val="32"/>
          <w:szCs w:val="32"/>
        </w:rPr>
      </w:pPr>
      <w:r>
        <w:rPr>
          <w:rFonts w:ascii="Times New Roman" w:hAnsi="仿宋_GB2312" w:eastAsia="仿宋_GB2312"/>
          <w:sz w:val="32"/>
          <w:szCs w:val="32"/>
        </w:rPr>
        <w:t>（五）负责推行婚俗和殡葬改革</w:t>
      </w:r>
      <w:r>
        <w:rPr>
          <w:rFonts w:hint="eastAsia" w:ascii="Times New Roman" w:hAnsi="仿宋_GB2312" w:eastAsia="仿宋_GB2312"/>
          <w:sz w:val="32"/>
          <w:szCs w:val="32"/>
        </w:rPr>
        <w:t>工作。</w:t>
      </w:r>
      <w:r>
        <w:rPr>
          <w:rFonts w:ascii="Times New Roman" w:hAnsi="仿宋_GB2312" w:eastAsia="仿宋_GB2312"/>
          <w:sz w:val="32"/>
          <w:szCs w:val="32"/>
        </w:rPr>
        <w:t>指导婚姻、殡葬、收养服务机构管理工作；</w:t>
      </w:r>
      <w:r>
        <w:rPr>
          <w:rFonts w:hint="eastAsia" w:ascii="Times New Roman" w:hAnsi="仿宋_GB2312" w:eastAsia="仿宋_GB2312"/>
          <w:sz w:val="32"/>
          <w:szCs w:val="32"/>
        </w:rPr>
        <w:t>负责</w:t>
      </w:r>
      <w:r>
        <w:rPr>
          <w:rFonts w:ascii="Times New Roman" w:hAnsi="仿宋_GB2312" w:eastAsia="仿宋_GB2312"/>
          <w:sz w:val="32"/>
          <w:szCs w:val="32"/>
        </w:rPr>
        <w:t>全市婚姻登记和收养工作；配合有关部门做好反家庭暴力受害人临时庇护救助工作；负责生活无着落人员救助管理站的建设和指导监督工作。</w:t>
      </w:r>
    </w:p>
    <w:p>
      <w:pPr>
        <w:pStyle w:val="5"/>
        <w:adjustRightInd w:val="0"/>
        <w:snapToGrid w:val="0"/>
        <w:spacing w:beforeAutospacing="0" w:afterAutospacing="0" w:line="630" w:lineRule="exact"/>
        <w:ind w:firstLine="640" w:firstLineChars="200"/>
        <w:contextualSpacing/>
        <w:rPr>
          <w:rFonts w:ascii="Times New Roman" w:eastAsia="仿宋_GB2312"/>
          <w:sz w:val="32"/>
          <w:szCs w:val="32"/>
        </w:rPr>
      </w:pPr>
      <w:r>
        <w:rPr>
          <w:rFonts w:ascii="Times New Roman" w:hAnsi="仿宋_GB2312" w:eastAsia="仿宋_GB2312"/>
          <w:sz w:val="32"/>
          <w:szCs w:val="32"/>
        </w:rPr>
        <w:t>（六）负责制定地名管理办法并组织实施；负责行政区域界线的勘定和管理工作；负责全市法定行政区域界线争议的调查和调处工作；负责地名管理工作；组织建立、管理地名信息资料和档案。</w:t>
      </w:r>
    </w:p>
    <w:p>
      <w:pPr>
        <w:pStyle w:val="5"/>
        <w:adjustRightInd w:val="0"/>
        <w:snapToGrid w:val="0"/>
        <w:spacing w:beforeAutospacing="0" w:afterAutospacing="0" w:line="630" w:lineRule="exact"/>
        <w:ind w:firstLine="640" w:firstLineChars="200"/>
        <w:rPr>
          <w:rStyle w:val="8"/>
          <w:rFonts w:ascii="Times New Roman" w:eastAsia="仿宋_GB2312"/>
          <w:b w:val="0"/>
          <w:sz w:val="32"/>
          <w:szCs w:val="32"/>
        </w:rPr>
      </w:pPr>
      <w:r>
        <w:rPr>
          <w:rFonts w:ascii="Times New Roman" w:hAnsi="仿宋_GB2312" w:eastAsia="仿宋_GB2312"/>
          <w:sz w:val="32"/>
          <w:szCs w:val="32"/>
        </w:rPr>
        <w:t>（七）统筹推进、督促指导、监督管理全市养老服务工作，</w:t>
      </w:r>
      <w:r>
        <w:rPr>
          <w:rStyle w:val="8"/>
          <w:rFonts w:ascii="Times New Roman" w:hAnsi="仿宋_GB2312" w:eastAsia="仿宋_GB2312"/>
          <w:b w:val="0"/>
          <w:sz w:val="32"/>
          <w:szCs w:val="32"/>
        </w:rPr>
        <w:t>拟订全市养老服务体系建设规划和标准，承担老年人福利、特殊困难老年人救助工作，指导特困人员供养机构建设与管理工作。</w:t>
      </w:r>
    </w:p>
    <w:p>
      <w:pPr>
        <w:pStyle w:val="5"/>
        <w:adjustRightInd w:val="0"/>
        <w:snapToGrid w:val="0"/>
        <w:spacing w:beforeAutospacing="0" w:afterAutospacing="0" w:line="630" w:lineRule="exact"/>
        <w:ind w:firstLine="732" w:firstLineChars="200"/>
        <w:rPr>
          <w:rFonts w:ascii="Times New Roman" w:eastAsia="仿宋_GB2312"/>
          <w:bCs/>
          <w:spacing w:val="23"/>
          <w:sz w:val="32"/>
          <w:szCs w:val="32"/>
        </w:rPr>
      </w:pPr>
      <w:r>
        <w:rPr>
          <w:rStyle w:val="8"/>
          <w:rFonts w:ascii="Times New Roman" w:hAnsi="仿宋_GB2312" w:eastAsia="仿宋_GB2312"/>
          <w:b w:val="0"/>
          <w:spacing w:val="23"/>
          <w:sz w:val="32"/>
          <w:szCs w:val="32"/>
        </w:rPr>
        <w:t>（八）</w:t>
      </w:r>
      <w:r>
        <w:rPr>
          <w:rFonts w:ascii="Times New Roman" w:hAnsi="仿宋_GB2312" w:eastAsia="仿宋_GB2312"/>
          <w:sz w:val="32"/>
          <w:szCs w:val="32"/>
        </w:rPr>
        <w:t>拟订全市儿童福利事业发展规划并监督实施；负责全市儿童收养和孤儿生活保障工作。健全全市农村留守儿童关爱服务体系和困境儿童保障制度，指导全市儿童福利机构和农村留守儿童、困境儿童关爱保护服务机构建设和管理工作。</w:t>
      </w:r>
    </w:p>
    <w:p>
      <w:pPr>
        <w:pStyle w:val="5"/>
        <w:adjustRightInd w:val="0"/>
        <w:snapToGrid w:val="0"/>
        <w:spacing w:beforeAutospacing="0" w:afterAutospacing="0" w:line="630" w:lineRule="exact"/>
        <w:ind w:firstLine="640" w:firstLineChars="200"/>
        <w:contextualSpacing/>
        <w:jc w:val="both"/>
        <w:rPr>
          <w:rFonts w:ascii="Times New Roman" w:eastAsia="仿宋_GB2312"/>
          <w:sz w:val="32"/>
          <w:szCs w:val="32"/>
        </w:rPr>
      </w:pPr>
      <w:r>
        <w:rPr>
          <w:rFonts w:ascii="Times New Roman" w:hAnsi="仿宋_GB2312" w:eastAsia="仿宋_GB2312"/>
          <w:sz w:val="32"/>
          <w:szCs w:val="32"/>
        </w:rPr>
        <w:t>（九）组织指导全市福利彩票销售工作；负责本级福利彩票公益金的管理和使用。</w:t>
      </w:r>
    </w:p>
    <w:p>
      <w:pPr>
        <w:pStyle w:val="5"/>
        <w:adjustRightInd w:val="0"/>
        <w:snapToGrid w:val="0"/>
        <w:spacing w:beforeAutospacing="0" w:afterAutospacing="0" w:line="630" w:lineRule="exact"/>
        <w:ind w:firstLine="640" w:firstLineChars="200"/>
        <w:contextualSpacing/>
        <w:rPr>
          <w:rFonts w:ascii="Times New Roman" w:eastAsia="仿宋_GB2312"/>
          <w:spacing w:val="-2"/>
          <w:sz w:val="32"/>
          <w:szCs w:val="32"/>
        </w:rPr>
      </w:pPr>
      <w:r>
        <w:rPr>
          <w:rFonts w:ascii="Times New Roman" w:hAnsi="仿宋_GB2312" w:eastAsia="仿宋_GB2312"/>
          <w:sz w:val="32"/>
          <w:szCs w:val="32"/>
        </w:rPr>
        <w:t>（十）</w:t>
      </w:r>
      <w:r>
        <w:rPr>
          <w:rFonts w:ascii="Times New Roman" w:hAnsi="仿宋_GB2312" w:eastAsia="仿宋_GB2312"/>
          <w:spacing w:val="-2"/>
          <w:sz w:val="32"/>
          <w:szCs w:val="32"/>
        </w:rPr>
        <w:t>拟订全市慈善事业促进和社会工作发展规划并组织实施，组织指导社会捐助工作；负责全市社会工作人才队伍建设和相关志愿者队伍建设；负责指导和管理政府购买社会组织服务工作。</w:t>
      </w:r>
    </w:p>
    <w:p>
      <w:pPr>
        <w:pStyle w:val="5"/>
        <w:adjustRightInd w:val="0"/>
        <w:snapToGrid w:val="0"/>
        <w:spacing w:beforeAutospacing="0" w:afterAutospacing="0" w:line="630" w:lineRule="exact"/>
        <w:ind w:firstLine="640" w:firstLineChars="200"/>
        <w:contextualSpacing/>
        <w:rPr>
          <w:rFonts w:hint="eastAsia" w:ascii="Times New Roman" w:hAnsi="仿宋_GB2312" w:eastAsia="仿宋_GB2312"/>
          <w:sz w:val="32"/>
          <w:szCs w:val="32"/>
          <w:lang w:eastAsia="zh-CN"/>
        </w:rPr>
      </w:pPr>
      <w:r>
        <w:rPr>
          <w:rFonts w:ascii="Times New Roman" w:hAnsi="仿宋_GB2312" w:eastAsia="仿宋_GB2312"/>
          <w:sz w:val="32"/>
          <w:szCs w:val="32"/>
        </w:rPr>
        <w:t>（十一）负责指导全市革命老根据地的经济开发工作；负责监督全市革命老根据地开发资金的使用情况。</w:t>
      </w:r>
    </w:p>
    <w:p>
      <w:pPr>
        <w:pStyle w:val="5"/>
        <w:adjustRightInd w:val="0"/>
        <w:snapToGrid w:val="0"/>
        <w:spacing w:beforeAutospacing="0" w:afterAutospacing="0" w:line="630" w:lineRule="exact"/>
        <w:ind w:firstLine="640" w:firstLineChars="200"/>
        <w:contextualSpacing/>
        <w:rPr>
          <w:rFonts w:ascii="Times New Roman" w:eastAsia="仿宋_GB2312"/>
          <w:sz w:val="32"/>
          <w:szCs w:val="32"/>
        </w:rPr>
      </w:pPr>
      <w:r>
        <w:rPr>
          <w:rFonts w:ascii="Times New Roman" w:hAnsi="仿宋_GB2312" w:eastAsia="仿宋_GB2312"/>
          <w:sz w:val="32"/>
          <w:szCs w:val="32"/>
        </w:rPr>
        <w:t>　　（十二）负责全市民政事业经费和国有资产的管理工作；监督全市民政事业经费的管理使用；负责民政统计工作。</w:t>
      </w:r>
    </w:p>
    <w:p>
      <w:pPr>
        <w:pStyle w:val="5"/>
        <w:adjustRightInd w:val="0"/>
        <w:snapToGrid w:val="0"/>
        <w:spacing w:beforeAutospacing="0" w:afterAutospacing="0" w:line="630" w:lineRule="exact"/>
        <w:ind w:firstLine="640" w:firstLineChars="200"/>
        <w:contextualSpacing/>
        <w:rPr>
          <w:rFonts w:ascii="Times New Roman" w:hAnsi="仿宋_GB2312" w:eastAsia="仿宋_GB2312"/>
          <w:sz w:val="32"/>
          <w:szCs w:val="32"/>
        </w:rPr>
      </w:pPr>
      <w:r>
        <w:rPr>
          <w:rFonts w:ascii="Times New Roman" w:hAnsi="仿宋_GB2312" w:eastAsia="仿宋_GB2312"/>
          <w:sz w:val="32"/>
          <w:szCs w:val="32"/>
        </w:rPr>
        <w:t>（十三）完成市委</w:t>
      </w:r>
      <w:r>
        <w:rPr>
          <w:rFonts w:hint="eastAsia" w:ascii="Times New Roman" w:hAnsi="仿宋_GB2312" w:eastAsia="仿宋_GB2312"/>
          <w:sz w:val="32"/>
          <w:szCs w:val="32"/>
        </w:rPr>
        <w:t>和</w:t>
      </w:r>
      <w:r>
        <w:rPr>
          <w:rFonts w:ascii="Times New Roman" w:hAnsi="仿宋_GB2312" w:eastAsia="仿宋_GB2312"/>
          <w:sz w:val="32"/>
          <w:szCs w:val="32"/>
        </w:rPr>
        <w:t>市</w:t>
      </w:r>
      <w:r>
        <w:rPr>
          <w:rFonts w:hint="eastAsia" w:ascii="Times New Roman" w:hAnsi="仿宋_GB2312" w:eastAsia="仿宋_GB2312"/>
          <w:sz w:val="32"/>
          <w:szCs w:val="32"/>
        </w:rPr>
        <w:t>人民</w:t>
      </w:r>
      <w:r>
        <w:rPr>
          <w:rFonts w:ascii="Times New Roman" w:hAnsi="仿宋_GB2312" w:eastAsia="仿宋_GB2312"/>
          <w:sz w:val="32"/>
          <w:szCs w:val="32"/>
        </w:rPr>
        <w:t>政府交办的其他任务。</w:t>
      </w:r>
    </w:p>
    <w:p>
      <w:pPr>
        <w:tabs>
          <w:tab w:val="left" w:pos="7560"/>
        </w:tabs>
        <w:adjustRightInd w:val="0"/>
        <w:snapToGrid w:val="0"/>
        <w:spacing w:line="560" w:lineRule="exact"/>
        <w:ind w:firstLine="640" w:firstLineChars="200"/>
        <w:jc w:val="left"/>
        <w:rPr>
          <w:rFonts w:eastAsia="仿宋_GB2312"/>
          <w:sz w:val="32"/>
          <w:szCs w:val="32"/>
        </w:rPr>
      </w:pPr>
      <w:r>
        <w:rPr>
          <w:rFonts w:hint="eastAsia" w:ascii="仿宋_GB2312" w:hAnsi="仿宋_GB2312" w:eastAsia="仿宋_GB2312" w:cs="仿宋_GB2312"/>
          <w:color w:val="000000"/>
          <w:sz w:val="32"/>
          <w:szCs w:val="32"/>
        </w:rPr>
        <w:t>（十四）</w:t>
      </w:r>
      <w:r>
        <w:rPr>
          <w:rFonts w:hint="eastAsia" w:ascii="仿宋_GB2312" w:hAnsi="仿宋_GB2312" w:eastAsia="仿宋_GB2312" w:cs="仿宋_GB2312"/>
          <w:color w:val="000000"/>
          <w:kern w:val="0"/>
          <w:sz w:val="32"/>
          <w:szCs w:val="32"/>
        </w:rPr>
        <w:t>与市卫生健康局的有关职责分工。市卫生健康局负责拟订应对人口老龄化、医养结合的措施和方法，综合协调、督促指导、组织推进老龄事业发展，承担老年疾病防治、老年人医疗照护、老年人心理健康与关怀服务等老年健康工作。市民政局负责统筹推进、督促指导、监督管理养老服务工作，拟订养老服务体系建设规划和标准并组织实施，承担老年人福利和特殊困难老年人救助工作。</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jc w:val="left"/>
        <w:rPr>
          <w:rFonts w:eastAsia="仿宋_GB2312"/>
          <w:color w:val="FF0000"/>
          <w:sz w:val="32"/>
          <w:szCs w:val="32"/>
        </w:rPr>
      </w:pPr>
      <w:r>
        <w:rPr>
          <w:rFonts w:eastAsia="仿宋_GB2312"/>
          <w:bCs/>
          <w:color w:val="000000"/>
          <w:sz w:val="32"/>
          <w:szCs w:val="32"/>
        </w:rPr>
        <w:t> </w:t>
      </w:r>
      <w:r>
        <w:rPr>
          <w:rFonts w:eastAsia="仿宋_GB2312"/>
          <w:sz w:val="32"/>
          <w:szCs w:val="32"/>
        </w:rPr>
        <w:t>本部门共有编制人数</w:t>
      </w:r>
      <w:r>
        <w:rPr>
          <w:rFonts w:hint="eastAsia" w:eastAsia="仿宋_GB2312"/>
          <w:sz w:val="32"/>
          <w:szCs w:val="32"/>
        </w:rPr>
        <w:t>34</w:t>
      </w:r>
      <w:r>
        <w:rPr>
          <w:rFonts w:eastAsia="仿宋_GB2312"/>
          <w:sz w:val="32"/>
          <w:szCs w:val="32"/>
        </w:rPr>
        <w:t>人，实有人数</w:t>
      </w:r>
      <w:r>
        <w:rPr>
          <w:rFonts w:hint="eastAsia" w:eastAsia="仿宋_GB2312"/>
          <w:sz w:val="32"/>
          <w:szCs w:val="32"/>
        </w:rPr>
        <w:t>34</w:t>
      </w:r>
      <w:r>
        <w:rPr>
          <w:rFonts w:eastAsia="仿宋_GB2312"/>
          <w:sz w:val="32"/>
          <w:szCs w:val="32"/>
        </w:rPr>
        <w:t>人</w:t>
      </w:r>
      <w:r>
        <w:rPr>
          <w:rFonts w:hint="eastAsia" w:eastAsia="仿宋_GB2312"/>
          <w:sz w:val="32"/>
          <w:szCs w:val="32"/>
        </w:rPr>
        <w:t>，</w:t>
      </w:r>
      <w:r>
        <w:rPr>
          <w:rFonts w:eastAsia="仿宋_GB2312"/>
          <w:sz w:val="32"/>
          <w:szCs w:val="32"/>
        </w:rPr>
        <w:t>内设股室</w:t>
      </w:r>
      <w:r>
        <w:rPr>
          <w:rFonts w:hint="eastAsia" w:eastAsia="仿宋_GB2312"/>
          <w:sz w:val="32"/>
          <w:szCs w:val="32"/>
        </w:rPr>
        <w:t>7</w:t>
      </w:r>
      <w:r>
        <w:rPr>
          <w:rFonts w:eastAsia="仿宋_GB2312"/>
          <w:sz w:val="32"/>
          <w:szCs w:val="32"/>
        </w:rPr>
        <w:t>个</w:t>
      </w:r>
      <w:r>
        <w:rPr>
          <w:rFonts w:hint="eastAsia" w:eastAsia="仿宋_GB2312"/>
          <w:sz w:val="32"/>
          <w:szCs w:val="32"/>
        </w:rPr>
        <w:t>，分别为：办公室、计划财务股、</w:t>
      </w:r>
      <w:r>
        <w:rPr>
          <w:rFonts w:hAnsi="仿宋_GB2312" w:eastAsia="仿宋_GB2312"/>
          <w:sz w:val="32"/>
          <w:szCs w:val="32"/>
        </w:rPr>
        <w:t>法规股（行政审批股、社会事务股）</w:t>
      </w:r>
      <w:r>
        <w:rPr>
          <w:rFonts w:hint="eastAsia" w:hAnsi="仿宋_GB2312" w:eastAsia="仿宋_GB2312"/>
          <w:sz w:val="32"/>
          <w:szCs w:val="32"/>
        </w:rPr>
        <w:t>、</w:t>
      </w:r>
      <w:r>
        <w:rPr>
          <w:rFonts w:hAnsi="仿宋_GB2312" w:eastAsia="仿宋_GB2312"/>
          <w:sz w:val="32"/>
          <w:szCs w:val="32"/>
        </w:rPr>
        <w:t>社会救助股</w:t>
      </w:r>
      <w:r>
        <w:rPr>
          <w:rFonts w:hint="eastAsia" w:hAnsi="仿宋_GB2312" w:eastAsia="仿宋_GB2312"/>
          <w:sz w:val="32"/>
          <w:szCs w:val="32"/>
        </w:rPr>
        <w:t>、</w:t>
      </w:r>
      <w:r>
        <w:rPr>
          <w:rFonts w:hAnsi="仿宋_GB2312" w:eastAsia="仿宋_GB2312"/>
          <w:sz w:val="32"/>
          <w:szCs w:val="32"/>
        </w:rPr>
        <w:t>社会组织管理股（慈善事业促进和社会工作股）</w:t>
      </w:r>
      <w:r>
        <w:rPr>
          <w:rFonts w:hint="eastAsia" w:hAnsi="仿宋_GB2312" w:eastAsia="仿宋_GB2312"/>
          <w:sz w:val="32"/>
          <w:szCs w:val="32"/>
        </w:rPr>
        <w:t>、</w:t>
      </w:r>
      <w:r>
        <w:rPr>
          <w:rFonts w:hAnsi="仿宋_GB2312" w:eastAsia="仿宋_GB2312"/>
          <w:sz w:val="32"/>
          <w:szCs w:val="32"/>
        </w:rPr>
        <w:t>养老服务股（儿童福利股）</w:t>
      </w:r>
      <w:r>
        <w:rPr>
          <w:rFonts w:hint="eastAsia" w:hAnsi="仿宋_GB2312" w:eastAsia="仿宋_GB2312"/>
          <w:sz w:val="32"/>
          <w:szCs w:val="32"/>
        </w:rPr>
        <w:t>、</w:t>
      </w:r>
      <w:r>
        <w:rPr>
          <w:rFonts w:hAnsi="仿宋_GB2312" w:eastAsia="仿宋_GB2312"/>
          <w:sz w:val="32"/>
          <w:szCs w:val="32"/>
        </w:rPr>
        <w:t>基层政权和社区治理股（区划地名股）</w:t>
      </w:r>
      <w:r>
        <w:rPr>
          <w:rFonts w:hint="eastAsia" w:hAnsi="仿宋_GB2312"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本部门包含下属二级预算单位</w:t>
      </w:r>
      <w:r>
        <w:rPr>
          <w:rFonts w:hint="eastAsia" w:eastAsia="仿宋_GB2312"/>
          <w:sz w:val="32"/>
          <w:szCs w:val="32"/>
        </w:rPr>
        <w:t>3</w:t>
      </w:r>
      <w:r>
        <w:rPr>
          <w:rFonts w:eastAsia="仿宋_GB2312"/>
          <w:sz w:val="32"/>
          <w:szCs w:val="32"/>
        </w:rPr>
        <w:t>个，分别为</w:t>
      </w:r>
      <w:r>
        <w:rPr>
          <w:rFonts w:hint="eastAsia" w:eastAsia="仿宋_GB2312"/>
          <w:sz w:val="32"/>
          <w:szCs w:val="32"/>
        </w:rPr>
        <w:t>：醴陵市社会福利中心、醴陵市救助管理站和醴陵市殡仪馆</w:t>
      </w:r>
      <w:r>
        <w:rPr>
          <w:rFonts w:hint="eastAsia" w:eastAsia="仿宋_GB2312"/>
          <w:sz w:val="32"/>
          <w:szCs w:val="32"/>
          <w:lang w:eastAsia="zh-CN"/>
        </w:rPr>
        <w:t>，均已单独公开</w:t>
      </w:r>
      <w:r>
        <w:rPr>
          <w:rFonts w:hint="eastAsia" w:eastAsia="仿宋_GB2312"/>
          <w:sz w:val="32"/>
          <w:szCs w:val="32"/>
        </w:rPr>
        <w:t>。</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2021年部门预算编报范围包括局机关及所属二级预算单位。收入</w:t>
      </w:r>
      <w:r>
        <w:rPr>
          <w:rFonts w:hint="eastAsia" w:eastAsia="仿宋_GB2312"/>
          <w:color w:val="000000"/>
          <w:sz w:val="32"/>
          <w:szCs w:val="32"/>
        </w:rPr>
        <w:t>主要为</w:t>
      </w:r>
      <w:r>
        <w:rPr>
          <w:rFonts w:eastAsia="仿宋_GB2312"/>
          <w:color w:val="000000"/>
          <w:sz w:val="32"/>
          <w:szCs w:val="32"/>
        </w:rPr>
        <w:t>一般公共预算收入；支出既包括保障局机关及直属单位基本运行的经费，也包括归口管理、面向全市分配的专项经费。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6506.69</w:t>
      </w:r>
      <w:r>
        <w:rPr>
          <w:rFonts w:eastAsia="仿宋_GB2312"/>
          <w:color w:val="000000"/>
          <w:sz w:val="32"/>
          <w:szCs w:val="32"/>
        </w:rPr>
        <w:t>万元，其中，一般公共预算拨款</w:t>
      </w:r>
      <w:r>
        <w:rPr>
          <w:rFonts w:hint="eastAsia" w:eastAsia="仿宋_GB2312"/>
          <w:color w:val="000000"/>
          <w:sz w:val="32"/>
          <w:szCs w:val="32"/>
        </w:rPr>
        <w:t>6506.69</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6506.69</w:t>
      </w:r>
      <w:r>
        <w:rPr>
          <w:rFonts w:eastAsia="仿宋_GB2312"/>
          <w:color w:val="000000"/>
          <w:sz w:val="32"/>
          <w:szCs w:val="32"/>
        </w:rPr>
        <w:t>万元，其中，</w:t>
      </w:r>
      <w:r>
        <w:rPr>
          <w:rFonts w:hint="eastAsia" w:eastAsia="仿宋_GB2312"/>
          <w:color w:val="000000"/>
          <w:sz w:val="32"/>
          <w:szCs w:val="32"/>
        </w:rPr>
        <w:t>社会保障和就业支出6485.08万元、卫生健康支出21.61万元</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FF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942.99</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5563.7</w:t>
      </w:r>
      <w:r>
        <w:rPr>
          <w:rFonts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慈善救助专项10万元。主要用于对困难群众的慈善救助。</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（2）流浪乞讨人员救助专项151.3万元。主要用于对流浪乞讨人员进行基本生活救助。</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（3）孤儿生活救助专项116万元。主要用于对孤儿和事实无人抚养儿童的生活救助。</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（4）民政转移支付专项4125万元。主要用于困难群众生活救助支出。</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（5）殡葬专项512.4万元。主要用于殡仪馆公墓山维护和各项殡葬支出。</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（6）农村敬老院运转专项261万元。主要用于对全市35所敬老院和16所五保之家的运转支出。</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int="eastAsia" w:eastAsia="仿宋_GB2312"/>
          <w:sz w:val="32"/>
          <w:szCs w:val="32"/>
        </w:rPr>
        <w:t>7</w:t>
      </w:r>
      <w:r>
        <w:rPr>
          <w:rFonts w:eastAsia="仿宋_GB2312"/>
          <w:sz w:val="32"/>
          <w:szCs w:val="32"/>
        </w:rPr>
        <w:t>）</w:t>
      </w:r>
      <w:r>
        <w:rPr>
          <w:rFonts w:hint="eastAsia" w:eastAsia="仿宋_GB2312"/>
          <w:sz w:val="32"/>
          <w:szCs w:val="32"/>
        </w:rPr>
        <w:t>敬老院建设</w:t>
      </w:r>
      <w:r>
        <w:rPr>
          <w:rFonts w:eastAsia="仿宋_GB2312"/>
          <w:sz w:val="32"/>
          <w:szCs w:val="32"/>
        </w:rPr>
        <w:t>专项</w:t>
      </w:r>
      <w:r>
        <w:rPr>
          <w:rFonts w:hint="eastAsia" w:eastAsia="仿宋_GB2312"/>
          <w:sz w:val="32"/>
          <w:szCs w:val="32"/>
        </w:rPr>
        <w:t>388</w:t>
      </w:r>
      <w:r>
        <w:rPr>
          <w:rFonts w:eastAsia="仿宋_GB2312"/>
          <w:sz w:val="32"/>
          <w:szCs w:val="32"/>
        </w:rPr>
        <w:t>万元。主要用于</w:t>
      </w:r>
      <w:r>
        <w:rPr>
          <w:rFonts w:hint="eastAsia" w:eastAsia="仿宋_GB2312"/>
          <w:sz w:val="32"/>
          <w:szCs w:val="32"/>
        </w:rPr>
        <w:t>对各敬老院维修改造支出。</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（三）预算收支增减变化情况说明：</w:t>
      </w:r>
      <w:r>
        <w:rPr>
          <w:rFonts w:eastAsia="仿宋_GB2312"/>
          <w:sz w:val="32"/>
          <w:szCs w:val="32"/>
        </w:rPr>
        <w:t>20</w:t>
      </w:r>
      <w:r>
        <w:rPr>
          <w:rFonts w:hint="eastAsia" w:eastAsia="仿宋_GB2312"/>
          <w:sz w:val="32"/>
          <w:szCs w:val="32"/>
        </w:rPr>
        <w:t>21</w:t>
      </w:r>
      <w:r>
        <w:rPr>
          <w:rFonts w:eastAsia="仿宋_GB2312"/>
          <w:sz w:val="32"/>
          <w:szCs w:val="32"/>
        </w:rPr>
        <w:t>年度本单位年初预算数为</w:t>
      </w:r>
      <w:r>
        <w:rPr>
          <w:rFonts w:hint="eastAsia" w:eastAsia="仿宋_GB2312"/>
          <w:sz w:val="32"/>
          <w:szCs w:val="32"/>
        </w:rPr>
        <w:t>6506.69</w:t>
      </w:r>
      <w:r>
        <w:rPr>
          <w:rFonts w:eastAsia="仿宋_GB2312"/>
          <w:sz w:val="32"/>
          <w:szCs w:val="32"/>
        </w:rPr>
        <w:t>万元，比上年增加</w:t>
      </w:r>
      <w:r>
        <w:rPr>
          <w:rFonts w:hint="eastAsia" w:eastAsia="仿宋_GB2312"/>
          <w:sz w:val="32"/>
          <w:szCs w:val="32"/>
        </w:rPr>
        <w:t>198.09</w:t>
      </w:r>
      <w:r>
        <w:rPr>
          <w:rFonts w:eastAsia="仿宋_GB2312"/>
          <w:sz w:val="32"/>
          <w:szCs w:val="32"/>
        </w:rPr>
        <w:t>万元，主要原因是</w:t>
      </w:r>
      <w:r>
        <w:rPr>
          <w:rFonts w:hint="eastAsia" w:eastAsia="仿宋_GB2312"/>
          <w:sz w:val="32"/>
          <w:szCs w:val="32"/>
        </w:rPr>
        <w:t>财政适当增加了</w:t>
      </w:r>
      <w:r>
        <w:rPr>
          <w:rFonts w:eastAsia="仿宋_GB2312"/>
          <w:sz w:val="32"/>
          <w:szCs w:val="32"/>
        </w:rPr>
        <w:t>人员经费和运转经</w:t>
      </w:r>
      <w:r>
        <w:rPr>
          <w:rFonts w:hint="eastAsia" w:eastAsia="仿宋_GB2312"/>
          <w:sz w:val="32"/>
          <w:szCs w:val="32"/>
        </w:rPr>
        <w:t>费 并且上级补助资金也有增加。</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color w:val="C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461.63</w:t>
      </w:r>
      <w:r>
        <w:rPr>
          <w:rFonts w:eastAsia="仿宋_GB2312"/>
          <w:color w:val="000000"/>
          <w:sz w:val="32"/>
          <w:szCs w:val="32"/>
        </w:rPr>
        <w:t>万元，比上年度预算增加</w:t>
      </w:r>
      <w:r>
        <w:rPr>
          <w:rFonts w:hint="eastAsia" w:eastAsia="仿宋_GB2312"/>
          <w:color w:val="000000"/>
          <w:sz w:val="32"/>
          <w:szCs w:val="32"/>
        </w:rPr>
        <w:t>117.82</w:t>
      </w:r>
      <w:r>
        <w:rPr>
          <w:rFonts w:eastAsia="仿宋_GB2312"/>
          <w:color w:val="000000"/>
          <w:sz w:val="32"/>
          <w:szCs w:val="32"/>
        </w:rPr>
        <w:t>万元</w:t>
      </w:r>
      <w:r>
        <w:rPr>
          <w:rFonts w:eastAsia="仿宋_GB2312"/>
          <w:sz w:val="32"/>
          <w:szCs w:val="32"/>
        </w:rPr>
        <w:t>，</w:t>
      </w:r>
      <w:r>
        <w:rPr>
          <w:rFonts w:eastAsia="仿宋_GB2312"/>
          <w:bCs/>
          <w:sz w:val="32"/>
          <w:szCs w:val="32"/>
        </w:rPr>
        <w:t>增加的</w:t>
      </w:r>
      <w:r>
        <w:rPr>
          <w:rFonts w:eastAsia="仿宋_GB2312"/>
          <w:sz w:val="32"/>
          <w:szCs w:val="32"/>
        </w:rPr>
        <w:t>主要原因是</w:t>
      </w:r>
      <w:r>
        <w:rPr>
          <w:rFonts w:hint="eastAsia" w:eastAsia="仿宋_GB2312"/>
          <w:sz w:val="32"/>
          <w:szCs w:val="32"/>
        </w:rPr>
        <w:t>财政根据单位实际情况适当增加了各项</w:t>
      </w:r>
      <w:r>
        <w:rPr>
          <w:rFonts w:eastAsia="仿宋_GB2312"/>
          <w:sz w:val="32"/>
          <w:szCs w:val="32"/>
        </w:rPr>
        <w:t>人员经费和运转经费</w:t>
      </w:r>
      <w:r>
        <w:rPr>
          <w:rFonts w:hint="eastAsia" w:eastAsia="仿宋_GB2312"/>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2163.84</w:t>
      </w:r>
      <w:r>
        <w:rPr>
          <w:rFonts w:eastAsia="仿宋_GB2312"/>
          <w:color w:val="000000"/>
          <w:sz w:val="32"/>
          <w:szCs w:val="32"/>
        </w:rPr>
        <w:t>万元。包含：</w:t>
      </w:r>
      <w:r>
        <w:rPr>
          <w:rFonts w:hint="eastAsia" w:eastAsia="仿宋_GB2312"/>
          <w:color w:val="000000"/>
          <w:sz w:val="32"/>
          <w:szCs w:val="32"/>
        </w:rPr>
        <w:t>货物类496.84</w:t>
      </w:r>
      <w:r>
        <w:rPr>
          <w:rFonts w:eastAsia="仿宋_GB2312"/>
          <w:color w:val="000000"/>
          <w:sz w:val="32"/>
          <w:szCs w:val="32"/>
        </w:rPr>
        <w:t>万元、</w:t>
      </w:r>
      <w:r>
        <w:rPr>
          <w:rFonts w:hint="eastAsia" w:eastAsia="仿宋_GB2312"/>
          <w:color w:val="000000"/>
          <w:sz w:val="32"/>
          <w:szCs w:val="32"/>
        </w:rPr>
        <w:t>工程类771万元、服务类896</w:t>
      </w:r>
      <w:r>
        <w:rPr>
          <w:rFonts w:eastAsia="仿宋_GB2312"/>
          <w:color w:val="00000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rPr>
        <w:t>15987.29平方米；车辆3辆，其中一般公务用车0辆、一般执法执勤用车0辆、货币化用车0辆、特种专业技术用车3辆；单位价值200万以上大型设备0套。2021年部门预算安排购置车辆0辆，预算安排购置价值200万以上大型设备0套</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rPr>
        <w:t>5563.7</w:t>
      </w:r>
      <w:r>
        <w:rPr>
          <w:rFonts w:eastAsia="仿宋_GB2312"/>
          <w:color w:val="000000"/>
          <w:sz w:val="32"/>
          <w:szCs w:val="32"/>
        </w:rPr>
        <w:t>万元，其中项目支出</w:t>
      </w:r>
      <w:r>
        <w:rPr>
          <w:rFonts w:hint="eastAsia" w:eastAsia="仿宋_GB2312"/>
          <w:color w:val="000000"/>
          <w:sz w:val="32"/>
          <w:szCs w:val="32"/>
        </w:rPr>
        <w:t>5563.7</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lang w:val="en-US" w:eastAsia="zh-CN"/>
        </w:rPr>
        <w:t>4</w:t>
      </w:r>
      <w:r>
        <w:rPr>
          <w:rFonts w:eastAsia="仿宋_GB2312"/>
          <w:color w:val="000000"/>
          <w:sz w:val="32"/>
          <w:szCs w:val="32"/>
        </w:rPr>
        <w:t>万元，其中：公务接待费</w:t>
      </w:r>
      <w:r>
        <w:rPr>
          <w:rFonts w:hint="eastAsia" w:eastAsia="仿宋_GB2312"/>
          <w:color w:val="000000"/>
          <w:sz w:val="32"/>
          <w:szCs w:val="32"/>
          <w:lang w:val="en-US" w:eastAsia="zh-CN"/>
        </w:rPr>
        <w:t>4</w:t>
      </w:r>
      <w:r>
        <w:rPr>
          <w:rFonts w:eastAsia="仿宋_GB2312"/>
          <w:color w:val="000000"/>
          <w:sz w:val="32"/>
          <w:szCs w:val="32"/>
        </w:rPr>
        <w:t>万元、公务用车购置费</w:t>
      </w:r>
      <w:r>
        <w:rPr>
          <w:rFonts w:hint="eastAsia" w:eastAsia="仿宋_GB2312"/>
          <w:color w:val="000000"/>
          <w:sz w:val="32"/>
          <w:szCs w:val="32"/>
          <w:lang w:val="en-US" w:eastAsia="zh-CN"/>
        </w:rPr>
        <w:t>0</w:t>
      </w:r>
      <w:r>
        <w:rPr>
          <w:rFonts w:eastAsia="仿宋_GB2312"/>
          <w:color w:val="000000"/>
          <w:sz w:val="32"/>
          <w:szCs w:val="32"/>
        </w:rPr>
        <w:t>万元，公务用车运行费</w:t>
      </w:r>
      <w:r>
        <w:rPr>
          <w:rFonts w:hint="eastAsia" w:eastAsia="仿宋_GB2312"/>
          <w:color w:val="000000"/>
          <w:sz w:val="32"/>
          <w:szCs w:val="32"/>
          <w:lang w:val="en-US" w:eastAsia="zh-CN"/>
        </w:rPr>
        <w:t>0</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lang w:val="en-US" w:eastAsia="zh-CN"/>
        </w:rPr>
        <w:t>0</w:t>
      </w:r>
      <w:r>
        <w:rPr>
          <w:rFonts w:eastAsia="仿宋_GB2312"/>
          <w:color w:val="000000"/>
          <w:sz w:val="32"/>
          <w:szCs w:val="32"/>
        </w:rPr>
        <w:t>台</w:t>
      </w:r>
      <w:r>
        <w:rPr>
          <w:rFonts w:eastAsia="仿宋_GB2312"/>
          <w:b/>
          <w:bCs/>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年增加</w:t>
      </w:r>
      <w:r>
        <w:rPr>
          <w:rFonts w:hint="eastAsia" w:eastAsia="仿宋_GB2312"/>
          <w:color w:val="000000"/>
          <w:sz w:val="32"/>
          <w:szCs w:val="32"/>
          <w:lang w:val="en-US" w:eastAsia="zh-CN"/>
        </w:rPr>
        <w:t>0</w:t>
      </w:r>
      <w:r>
        <w:rPr>
          <w:rFonts w:eastAsia="仿宋_GB2312"/>
          <w:color w:val="000000"/>
          <w:sz w:val="32"/>
          <w:szCs w:val="32"/>
        </w:rPr>
        <w:t>万元</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3</w:t>
      </w:r>
      <w:r>
        <w:rPr>
          <w:rFonts w:eastAsia="仿宋_GB2312"/>
          <w:color w:val="000000"/>
          <w:sz w:val="32"/>
          <w:szCs w:val="32"/>
        </w:rPr>
        <w:t>万元，主要是</w:t>
      </w:r>
      <w:r>
        <w:rPr>
          <w:rFonts w:hint="eastAsia" w:eastAsia="仿宋_GB2312"/>
          <w:color w:val="000000"/>
          <w:sz w:val="32"/>
          <w:szCs w:val="32"/>
        </w:rPr>
        <w:t>为安排相关工</w:t>
      </w:r>
      <w:bookmarkStart w:id="0" w:name="_GoBack"/>
      <w:bookmarkEnd w:id="0"/>
      <w:r>
        <w:rPr>
          <w:rFonts w:hint="eastAsia" w:eastAsia="仿宋_GB2312"/>
          <w:color w:val="000000"/>
          <w:sz w:val="32"/>
          <w:szCs w:val="32"/>
        </w:rPr>
        <w:t>作而开展的各类会议全年预计需召开4次</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4.2</w:t>
      </w:r>
      <w:r>
        <w:rPr>
          <w:rFonts w:eastAsia="仿宋_GB2312"/>
          <w:color w:val="000000"/>
          <w:sz w:val="32"/>
          <w:szCs w:val="32"/>
        </w:rPr>
        <w:t>万元，主要包括</w:t>
      </w:r>
      <w:r>
        <w:rPr>
          <w:rFonts w:hint="eastAsia" w:eastAsia="仿宋_GB2312"/>
          <w:color w:val="000000"/>
          <w:sz w:val="32"/>
          <w:szCs w:val="32"/>
        </w:rPr>
        <w:t>各类民政工作业务培训，预计全年需安排各项培训约10场次</w:t>
      </w:r>
      <w:r>
        <w:rPr>
          <w:rFonts w:eastAsia="仿宋_GB2312"/>
          <w:color w:val="000000"/>
          <w:sz w:val="32"/>
          <w:szCs w:val="32"/>
        </w:rPr>
        <w:t>。</w:t>
      </w:r>
    </w:p>
    <w:p>
      <w:pPr>
        <w:numPr>
          <w:ilvl w:val="0"/>
          <w:numId w:val="2"/>
        </w:num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其他事项。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本单位2021年预算未安排政府性基金收支预算</w:t>
      </w:r>
      <w:r>
        <w:rPr>
          <w:rFonts w:hint="eastAsia" w:eastAsia="仿宋_GB2312"/>
          <w:color w:val="000000"/>
          <w:sz w:val="32"/>
          <w:szCs w:val="32"/>
        </w:rPr>
        <w:t>和</w:t>
      </w:r>
      <w:r>
        <w:rPr>
          <w:rFonts w:hint="eastAsia" w:eastAsia="仿宋_GB2312"/>
          <w:sz w:val="32"/>
          <w:szCs w:val="32"/>
        </w:rPr>
        <w:t>专户收支预算。本单位无门户网站，已在政府网站统一公开</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8.机关运行经费：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C1B8C"/>
    <w:multiLevelType w:val="singleLevel"/>
    <w:tmpl w:val="8E5C1B8C"/>
    <w:lvl w:ilvl="0" w:tentative="0">
      <w:start w:val="1"/>
      <w:numFmt w:val="chineseCounting"/>
      <w:suff w:val="nothing"/>
      <w:lvlText w:val="%1、"/>
      <w:lvlJc w:val="left"/>
      <w:rPr>
        <w:rFonts w:hint="eastAsia"/>
      </w:rPr>
    </w:lvl>
  </w:abstractNum>
  <w:abstractNum w:abstractNumId="1">
    <w:nsid w:val="C3C0224E"/>
    <w:multiLevelType w:val="singleLevel"/>
    <w:tmpl w:val="C3C0224E"/>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MGM2MTcxYjgwZDczMWJkZjIxZjAwMTkyNDdmNDM0YTcifQ=="/>
  </w:docVars>
  <w:rsids>
    <w:rsidRoot w:val="00D84058"/>
    <w:rsid w:val="00323B43"/>
    <w:rsid w:val="003D37D8"/>
    <w:rsid w:val="004358AB"/>
    <w:rsid w:val="005528AF"/>
    <w:rsid w:val="005553BA"/>
    <w:rsid w:val="006464CA"/>
    <w:rsid w:val="0077734D"/>
    <w:rsid w:val="008B7726"/>
    <w:rsid w:val="00B221AD"/>
    <w:rsid w:val="00B32378"/>
    <w:rsid w:val="00CB1E75"/>
    <w:rsid w:val="00D04F61"/>
    <w:rsid w:val="00D84058"/>
    <w:rsid w:val="00DE3BB8"/>
    <w:rsid w:val="00E315E9"/>
    <w:rsid w:val="00E97ABD"/>
    <w:rsid w:val="00EB37B2"/>
    <w:rsid w:val="03130116"/>
    <w:rsid w:val="0637616C"/>
    <w:rsid w:val="077647D1"/>
    <w:rsid w:val="0B1448C1"/>
    <w:rsid w:val="0B511D15"/>
    <w:rsid w:val="0E085073"/>
    <w:rsid w:val="0FB04671"/>
    <w:rsid w:val="13AA207A"/>
    <w:rsid w:val="13B878D6"/>
    <w:rsid w:val="14B4098C"/>
    <w:rsid w:val="14E133A0"/>
    <w:rsid w:val="14E51555"/>
    <w:rsid w:val="20632ADF"/>
    <w:rsid w:val="22BC206D"/>
    <w:rsid w:val="276F6897"/>
    <w:rsid w:val="27C12C2B"/>
    <w:rsid w:val="296C22C9"/>
    <w:rsid w:val="2B3A076C"/>
    <w:rsid w:val="2BC8277E"/>
    <w:rsid w:val="302D4AE3"/>
    <w:rsid w:val="351C3AB0"/>
    <w:rsid w:val="357C2CC8"/>
    <w:rsid w:val="35966BF0"/>
    <w:rsid w:val="39EB27DE"/>
    <w:rsid w:val="3BC6541B"/>
    <w:rsid w:val="3D6E798F"/>
    <w:rsid w:val="402571C4"/>
    <w:rsid w:val="405A47E3"/>
    <w:rsid w:val="43376A24"/>
    <w:rsid w:val="43530FA1"/>
    <w:rsid w:val="450E6678"/>
    <w:rsid w:val="46FF052A"/>
    <w:rsid w:val="498E3C90"/>
    <w:rsid w:val="4D8B062A"/>
    <w:rsid w:val="4E205981"/>
    <w:rsid w:val="50F7762D"/>
    <w:rsid w:val="53517F43"/>
    <w:rsid w:val="5707582A"/>
    <w:rsid w:val="57654763"/>
    <w:rsid w:val="57980A77"/>
    <w:rsid w:val="5B0121FB"/>
    <w:rsid w:val="5B6036DC"/>
    <w:rsid w:val="60D462D2"/>
    <w:rsid w:val="61A2307E"/>
    <w:rsid w:val="62015501"/>
    <w:rsid w:val="63FE2C17"/>
    <w:rsid w:val="64B02BD6"/>
    <w:rsid w:val="65216D01"/>
    <w:rsid w:val="668023B6"/>
    <w:rsid w:val="67656F52"/>
    <w:rsid w:val="6A332372"/>
    <w:rsid w:val="6DAE55C6"/>
    <w:rsid w:val="6EB074DE"/>
    <w:rsid w:val="6FBE7579"/>
    <w:rsid w:val="712F236A"/>
    <w:rsid w:val="731A092B"/>
    <w:rsid w:val="73E13918"/>
    <w:rsid w:val="75823A88"/>
    <w:rsid w:val="77DD5D31"/>
    <w:rsid w:val="78495A50"/>
    <w:rsid w:val="791B2289"/>
    <w:rsid w:val="7AFB7CA2"/>
    <w:rsid w:val="7B0C7C13"/>
    <w:rsid w:val="7EF878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index 8"/>
    <w:next w:val="1"/>
    <w:qFormat/>
    <w:uiPriority w:val="0"/>
    <w:pPr>
      <w:widowControl w:val="0"/>
      <w:ind w:left="2940"/>
      <w:jc w:val="both"/>
    </w:pPr>
    <w:rPr>
      <w:rFonts w:ascii="Times New Roman" w:hAnsi="Times New Roman" w:eastAsia="宋体" w:cs="Times New Roman"/>
      <w:kern w:val="2"/>
      <w:sz w:val="21"/>
      <w:lang w:val="en-US" w:eastAsia="zh-CN" w:bidi="ar-SA"/>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next w:val="2"/>
    <w:qFormat/>
    <w:uiPriority w:val="0"/>
    <w:pPr>
      <w:widowControl/>
      <w:spacing w:beforeAutospacing="1" w:afterAutospacing="1"/>
      <w:jc w:val="left"/>
    </w:pPr>
    <w:rPr>
      <w:rFonts w:ascii="宋体" w:hAnsi="宋体"/>
      <w:color w:val="000000"/>
      <w:kern w:val="0"/>
      <w:sz w:val="24"/>
    </w:rPr>
  </w:style>
  <w:style w:type="character" w:styleId="8">
    <w:name w:val="Strong"/>
    <w:basedOn w:val="7"/>
    <w:qFormat/>
    <w:uiPriority w:val="22"/>
    <w:rPr>
      <w:b/>
      <w:bCs/>
    </w:rPr>
  </w:style>
  <w:style w:type="character" w:customStyle="1" w:styleId="9">
    <w:name w:val="页眉 Char"/>
    <w:basedOn w:val="7"/>
    <w:link w:val="4"/>
    <w:semiHidden/>
    <w:qFormat/>
    <w:uiPriority w:val="99"/>
    <w:rPr>
      <w:rFonts w:ascii="Times New Roman" w:hAnsi="Times New Roman" w:eastAsia="宋体" w:cs="Times New Roman"/>
      <w:kern w:val="2"/>
      <w:sz w:val="18"/>
      <w:szCs w:val="18"/>
    </w:rPr>
  </w:style>
  <w:style w:type="character" w:customStyle="1" w:styleId="10">
    <w:name w:val="页脚 Char"/>
    <w:basedOn w:val="7"/>
    <w:link w:val="3"/>
    <w:semiHidden/>
    <w:qFormat/>
    <w:uiPriority w:val="99"/>
    <w:rPr>
      <w:rFonts w:ascii="Times New Roman" w:hAnsi="Times New Roman" w:eastAsia="宋体" w:cs="Times New Roman"/>
      <w:kern w:val="2"/>
      <w:sz w:val="18"/>
      <w:szCs w:val="18"/>
    </w:rPr>
  </w:style>
  <w:style w:type="paragraph" w:customStyle="1" w:styleId="11">
    <w:name w:val="Default"/>
    <w:unhideWhenUsed/>
    <w:qFormat/>
    <w:uiPriority w:val="99"/>
    <w:pPr>
      <w:widowControl w:val="0"/>
      <w:autoSpaceDE w:val="0"/>
      <w:autoSpaceDN w:val="0"/>
      <w:adjustRightInd w:val="0"/>
    </w:pPr>
    <w:rPr>
      <w:rFonts w:hint="eastAsia" w:ascii="..ì." w:hAnsi="..ì." w:eastAsia="..ì." w:cs="黑体"/>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4023</Words>
  <Characters>4256</Characters>
  <Lines>31</Lines>
  <Paragraphs>8</Paragraphs>
  <TotalTime>4</TotalTime>
  <ScaleCrop>false</ScaleCrop>
  <LinksUpToDate>false</LinksUpToDate>
  <CharactersWithSpaces>4270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Administrator</cp:lastModifiedBy>
  <dcterms:modified xsi:type="dcterms:W3CDTF">2022-09-13T06:24:05Z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0FDAE7945AB148F3B0CFAC688D721C97</vt:lpwstr>
  </property>
</Properties>
</file>