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醴陵市军队离休退休干部休养所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hAnsi="黑体" w:eastAsia="黑体"/>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rPr>
          <w:rFonts w:eastAsia="方正小标宋简体"/>
          <w:bCs/>
          <w:color w:val="000000"/>
          <w:sz w:val="44"/>
          <w:szCs w:val="44"/>
        </w:rPr>
      </w:pPr>
    </w:p>
    <w:p>
      <w:pPr>
        <w:tabs>
          <w:tab w:val="left" w:pos="7560"/>
        </w:tabs>
        <w:adjustRightInd w:val="0"/>
        <w:snapToGrid w:val="0"/>
        <w:spacing w:line="560" w:lineRule="exact"/>
        <w:rPr>
          <w:rFonts w:eastAsia="方正小标宋简体"/>
          <w:bCs/>
          <w:color w:val="000000"/>
          <w:sz w:val="44"/>
          <w:szCs w:val="44"/>
        </w:rPr>
      </w:pPr>
    </w:p>
    <w:p>
      <w:pPr>
        <w:spacing w:line="560" w:lineRule="exact"/>
        <w:rPr>
          <w:rFonts w:hAnsi="仿宋_GB2312" w:eastAsia="仿宋_GB2312"/>
          <w:sz w:val="32"/>
          <w:szCs w:val="32"/>
        </w:rPr>
      </w:pPr>
    </w:p>
    <w:p>
      <w:pPr>
        <w:spacing w:line="560" w:lineRule="exact"/>
        <w:ind w:firstLine="640" w:firstLineChars="200"/>
        <w:rPr>
          <w:rFonts w:ascii="仿宋" w:hAnsi="仿宋" w:eastAsia="仿宋" w:cs="仿宋"/>
          <w:sz w:val="32"/>
        </w:rPr>
      </w:pPr>
      <w:r>
        <w:rPr>
          <w:rFonts w:hint="eastAsia" w:ascii="黑体" w:hAnsi="黑体" w:eastAsia="黑体" w:cs="黑体"/>
          <w:sz w:val="32"/>
          <w:szCs w:val="32"/>
        </w:rPr>
        <w:t>一</w:t>
      </w:r>
      <w:r>
        <w:rPr>
          <w:rFonts w:hint="eastAsia" w:hAnsi="仿宋_GB2312" w:eastAsia="仿宋_GB2312"/>
          <w:sz w:val="32"/>
          <w:szCs w:val="32"/>
        </w:rPr>
        <w:t>、</w:t>
      </w:r>
      <w:r>
        <w:rPr>
          <w:rFonts w:hint="eastAsia" w:ascii="黑体" w:hAnsi="黑体" w:eastAsia="黑体" w:cs="黑体"/>
          <w:sz w:val="32"/>
          <w:szCs w:val="32"/>
        </w:rPr>
        <w:t>部门职能职责</w:t>
      </w:r>
    </w:p>
    <w:p>
      <w:pPr>
        <w:spacing w:line="560" w:lineRule="exact"/>
        <w:ind w:firstLine="627" w:firstLineChars="196"/>
        <w:rPr>
          <w:rFonts w:ascii="仿宋" w:hAnsi="仿宋" w:eastAsia="仿宋"/>
          <w:sz w:val="32"/>
        </w:rPr>
      </w:pPr>
      <w:r>
        <w:rPr>
          <w:rFonts w:hint="eastAsia" w:ascii="仿宋" w:hAnsi="仿宋" w:eastAsia="仿宋"/>
          <w:sz w:val="32"/>
        </w:rPr>
        <w:t>负责全市军队转业干部、复员干部、离休退休干部、退役士兵和无军籍退休退职职工的移交安置工作。</w:t>
      </w:r>
    </w:p>
    <w:p>
      <w:pPr>
        <w:spacing w:line="560" w:lineRule="exact"/>
        <w:ind w:firstLine="627" w:firstLineChars="196"/>
        <w:rPr>
          <w:rFonts w:ascii="仿宋" w:hAnsi="仿宋" w:eastAsia="仿宋"/>
          <w:sz w:val="32"/>
        </w:rPr>
      </w:pPr>
      <w:r>
        <w:rPr>
          <w:rFonts w:hint="eastAsia" w:ascii="仿宋" w:hAnsi="仿宋" w:eastAsia="仿宋"/>
          <w:sz w:val="32"/>
        </w:rPr>
        <w:t>组织协调落实全市移交地方的离休退休军人、符合条件的其他退役军人和无军籍退休退职职工的住房保障工作，以及退役军人医疗保障、社会保险等待遇保障工作。</w:t>
      </w:r>
    </w:p>
    <w:p>
      <w:pPr>
        <w:spacing w:line="560" w:lineRule="exact"/>
        <w:ind w:firstLine="627" w:firstLineChars="196"/>
        <w:rPr>
          <w:rFonts w:ascii="仿宋" w:hAnsi="仿宋" w:eastAsia="仿宋"/>
          <w:sz w:val="32"/>
        </w:rPr>
      </w:pPr>
      <w:r>
        <w:rPr>
          <w:rFonts w:hint="eastAsia" w:ascii="黑体" w:hAnsi="黑体" w:eastAsia="黑体" w:cs="黑体"/>
          <w:sz w:val="32"/>
          <w:szCs w:val="32"/>
        </w:rPr>
        <w:t>二、机构设置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本单位共有编制数6人，实有人数5人；内设部门3个，分别为：办公室、财务室、接待室。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w:t>
      </w:r>
      <w:r>
        <w:rPr>
          <w:rFonts w:hint="eastAsia" w:ascii="仿宋" w:hAnsi="仿宋" w:eastAsia="仿宋" w:cs="仿宋"/>
          <w:sz w:val="32"/>
          <w:szCs w:val="32"/>
          <w:lang w:eastAsia="zh-CN"/>
        </w:rPr>
        <w:t>为</w:t>
      </w:r>
      <w:r>
        <w:rPr>
          <w:rFonts w:hint="eastAsia" w:ascii="仿宋" w:hAnsi="仿宋" w:eastAsia="仿宋" w:cs="仿宋"/>
          <w:sz w:val="32"/>
          <w:szCs w:val="32"/>
        </w:rPr>
        <w:t>二级机构</w:t>
      </w:r>
      <w:r>
        <w:rPr>
          <w:rFonts w:hint="eastAsia" w:ascii="仿宋" w:hAnsi="仿宋" w:eastAsia="仿宋" w:cs="仿宋"/>
          <w:sz w:val="32"/>
          <w:szCs w:val="32"/>
          <w:lang w:eastAsia="zh-CN"/>
        </w:rPr>
        <w:t>，</w:t>
      </w:r>
      <w:r>
        <w:rPr>
          <w:rFonts w:hint="eastAsia" w:ascii="仿宋" w:hAnsi="仿宋" w:eastAsia="仿宋" w:cs="仿宋"/>
          <w:sz w:val="32"/>
          <w:szCs w:val="32"/>
        </w:rPr>
        <w:t>无下设三级机构。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三、部门收支概况</w:t>
      </w:r>
    </w:p>
    <w:p>
      <w:pPr>
        <w:spacing w:line="560" w:lineRule="exact"/>
        <w:ind w:firstLine="640" w:firstLineChars="200"/>
        <w:rPr>
          <w:rFonts w:ascii="黑体" w:hAnsi="黑体" w:eastAsia="黑体" w:cs="黑体"/>
          <w:sz w:val="32"/>
          <w:szCs w:val="32"/>
        </w:rPr>
      </w:pPr>
      <w:r>
        <w:rPr>
          <w:rFonts w:hint="eastAsia" w:ascii="仿宋" w:hAnsi="仿宋" w:eastAsia="仿宋" w:cs="仿宋"/>
          <w:color w:val="000000"/>
          <w:sz w:val="32"/>
          <w:szCs w:val="32"/>
        </w:rPr>
        <w:t>2021年部门预算编报范围包括局机关及所属二级预算单位。收入包括一般公共预算收入、政府性基金收入、事业单位经营服务等收入；支出既包括保障单位基本运行的经费，也包括归口管理的专项经费。</w:t>
      </w:r>
    </w:p>
    <w:p>
      <w:pPr>
        <w:spacing w:line="560" w:lineRule="exact"/>
        <w:ind w:firstLine="640" w:firstLineChars="200"/>
        <w:rPr>
          <w:rFonts w:ascii="楷体" w:hAnsi="楷体" w:eastAsia="楷体" w:cs="楷体"/>
          <w:sz w:val="32"/>
          <w:szCs w:val="32"/>
        </w:rPr>
      </w:pPr>
      <w:r>
        <w:rPr>
          <w:rFonts w:eastAsia="楷体_GB2312"/>
          <w:bCs/>
          <w:color w:val="000000"/>
          <w:sz w:val="32"/>
          <w:szCs w:val="32"/>
        </w:rPr>
        <w:t>（一）收入预算：</w:t>
      </w:r>
      <w:r>
        <w:rPr>
          <w:rFonts w:hint="eastAsia" w:ascii="仿宋" w:hAnsi="仿宋" w:eastAsia="仿宋" w:cs="仿宋"/>
          <w:kern w:val="0"/>
          <w:sz w:val="32"/>
          <w:szCs w:val="32"/>
        </w:rPr>
        <w:t>2021年年初预算数365.36万元，其中，一般公共预算拨款365.36万元；</w:t>
      </w:r>
      <w:r>
        <w:rPr>
          <w:rFonts w:hint="eastAsia" w:ascii="仿宋" w:hAnsi="仿宋" w:eastAsia="仿宋" w:cs="仿宋"/>
          <w:color w:val="000000"/>
          <w:sz w:val="32"/>
          <w:szCs w:val="32"/>
        </w:rPr>
        <w:t>政府性基金拨款0万元；财政专户管理的非税收入拨款0万元；其他收入0万元。因上年结转数暂未最终确定，本年度收支预算中均不含上年结转数字。</w:t>
      </w:r>
    </w:p>
    <w:p>
      <w:pPr>
        <w:spacing w:line="560" w:lineRule="exact"/>
        <w:ind w:firstLine="640" w:firstLineChars="200"/>
        <w:rPr>
          <w:rFonts w:ascii="仿宋" w:hAnsi="仿宋" w:eastAsia="仿宋" w:cs="仿宋"/>
          <w:color w:val="000000"/>
          <w:kern w:val="0"/>
          <w:sz w:val="32"/>
          <w:szCs w:val="32"/>
        </w:rPr>
      </w:pPr>
      <w:r>
        <w:rPr>
          <w:rFonts w:eastAsia="楷体_GB2312"/>
          <w:bCs/>
          <w:color w:val="000000"/>
          <w:sz w:val="32"/>
          <w:szCs w:val="32"/>
        </w:rPr>
        <w:t>（二）支出预算：</w:t>
      </w:r>
      <w:r>
        <w:rPr>
          <w:rFonts w:hint="eastAsia" w:ascii="仿宋" w:hAnsi="仿宋" w:eastAsia="仿宋" w:cs="仿宋"/>
          <w:color w:val="000000"/>
          <w:kern w:val="0"/>
          <w:sz w:val="32"/>
          <w:szCs w:val="32"/>
        </w:rPr>
        <w:t>2021年年初预算数365.36万元，其中，</w:t>
      </w:r>
      <w:r>
        <w:rPr>
          <w:rFonts w:hint="eastAsia" w:ascii="仿宋" w:hAnsi="仿宋" w:eastAsia="仿宋" w:cs="仿宋"/>
          <w:color w:val="000000"/>
          <w:sz w:val="32"/>
          <w:szCs w:val="32"/>
        </w:rPr>
        <w:t>一般公共服务支出</w:t>
      </w:r>
      <w:r>
        <w:rPr>
          <w:rFonts w:hint="eastAsia" w:ascii="仿宋" w:hAnsi="仿宋" w:eastAsia="仿宋" w:cs="仿宋"/>
          <w:color w:val="000000"/>
          <w:kern w:val="0"/>
          <w:sz w:val="32"/>
          <w:szCs w:val="32"/>
        </w:rPr>
        <w:t>365.36</w:t>
      </w:r>
      <w:r>
        <w:rPr>
          <w:rFonts w:hint="eastAsia" w:ascii="仿宋" w:hAnsi="仿宋" w:eastAsia="仿宋" w:cs="仿宋"/>
          <w:color w:val="000000"/>
          <w:sz w:val="32"/>
          <w:szCs w:val="32"/>
        </w:rPr>
        <w:t>万元。</w:t>
      </w:r>
    </w:p>
    <w:p>
      <w:pPr>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具体安排如下：</w:t>
      </w:r>
    </w:p>
    <w:p>
      <w:pPr>
        <w:spacing w:line="560"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1</w:t>
      </w:r>
      <w:r>
        <w:rPr>
          <w:rFonts w:hint="eastAsia" w:ascii="仿宋" w:hAnsi="仿宋" w:eastAsia="仿宋" w:cs="仿宋"/>
          <w:color w:val="000000"/>
          <w:kern w:val="0"/>
          <w:sz w:val="32"/>
          <w:szCs w:val="32"/>
        </w:rPr>
        <w:t>．</w:t>
      </w:r>
      <w:r>
        <w:rPr>
          <w:rFonts w:hint="eastAsia" w:ascii="仿宋" w:hAnsi="仿宋" w:eastAsia="仿宋" w:cs="仿宋"/>
          <w:b/>
          <w:bCs/>
          <w:color w:val="000000"/>
          <w:kern w:val="0"/>
          <w:sz w:val="32"/>
          <w:szCs w:val="32"/>
        </w:rPr>
        <w:t>基本支出</w:t>
      </w:r>
      <w:r>
        <w:rPr>
          <w:rFonts w:hint="eastAsia" w:ascii="仿宋" w:hAnsi="仿宋" w:eastAsia="仿宋" w:cs="仿宋"/>
          <w:color w:val="000000"/>
          <w:kern w:val="0"/>
          <w:sz w:val="32"/>
          <w:szCs w:val="32"/>
        </w:rPr>
        <w:t>：2021年年初预算数为365.36万元，</w:t>
      </w:r>
      <w:r>
        <w:rPr>
          <w:rFonts w:hint="eastAsia" w:ascii="仿宋" w:hAnsi="仿宋" w:eastAsia="仿宋" w:cs="仿宋"/>
          <w:color w:val="000000"/>
          <w:sz w:val="32"/>
          <w:szCs w:val="32"/>
        </w:rPr>
        <w:t>是指为保障单位机构正常运转、完成日常工作任务而发生的各项支出，包括用于基本工资、津贴补贴等人员经费以及日常公用经费、工作性专项。</w:t>
      </w:r>
      <w:bookmarkStart w:id="0" w:name="_GoBack"/>
      <w:bookmarkEnd w:id="0"/>
    </w:p>
    <w:p>
      <w:pPr>
        <w:pStyle w:val="5"/>
        <w:spacing w:line="560" w:lineRule="exact"/>
        <w:ind w:firstLine="643"/>
        <w:rPr>
          <w:rFonts w:hint="default" w:ascii="仿宋" w:hAnsi="仿宋" w:eastAsia="仿宋" w:cs="仿宋"/>
          <w:sz w:val="32"/>
          <w:szCs w:val="32"/>
        </w:rPr>
      </w:pPr>
      <w:r>
        <w:rPr>
          <w:rFonts w:ascii="仿宋" w:hAnsi="仿宋" w:eastAsia="仿宋" w:cs="仿宋"/>
          <w:b/>
          <w:bCs/>
          <w:color w:val="000000"/>
          <w:kern w:val="0"/>
          <w:sz w:val="32"/>
          <w:szCs w:val="32"/>
        </w:rPr>
        <w:t>2</w:t>
      </w:r>
      <w:r>
        <w:rPr>
          <w:rFonts w:ascii="仿宋" w:hAnsi="仿宋" w:eastAsia="仿宋" w:cs="仿宋"/>
          <w:color w:val="000000"/>
          <w:kern w:val="0"/>
          <w:sz w:val="32"/>
          <w:szCs w:val="32"/>
        </w:rPr>
        <w:t>．</w:t>
      </w:r>
      <w:r>
        <w:rPr>
          <w:rFonts w:ascii="仿宋" w:hAnsi="仿宋" w:eastAsia="仿宋" w:cs="仿宋"/>
          <w:b/>
          <w:bCs/>
          <w:color w:val="000000"/>
          <w:kern w:val="0"/>
          <w:sz w:val="32"/>
          <w:szCs w:val="32"/>
        </w:rPr>
        <w:t>项目支出</w:t>
      </w:r>
      <w:r>
        <w:rPr>
          <w:rFonts w:ascii="仿宋" w:hAnsi="仿宋" w:eastAsia="仿宋" w:cs="仿宋"/>
          <w:color w:val="000000"/>
          <w:kern w:val="0"/>
          <w:sz w:val="32"/>
          <w:szCs w:val="32"/>
        </w:rPr>
        <w:t>：2021年年初预算数为0万元，</w:t>
      </w:r>
      <w:r>
        <w:rPr>
          <w:rFonts w:ascii="仿宋" w:hAnsi="仿宋" w:eastAsia="仿宋" w:cs="仿宋"/>
          <w:color w:val="000000"/>
          <w:sz w:val="32"/>
          <w:szCs w:val="32"/>
        </w:rPr>
        <w:t>是指单位为完成特定行政工作任务或事业发展目标而发生的支出，包括有关事业发展专项、基本建设支出、资本性支出等。</w:t>
      </w:r>
    </w:p>
    <w:p>
      <w:pPr>
        <w:pStyle w:val="5"/>
        <w:spacing w:line="560" w:lineRule="exact"/>
        <w:ind w:firstLine="640"/>
        <w:rPr>
          <w:rFonts w:hint="default" w:ascii="楷体" w:hAnsi="楷体" w:eastAsia="楷体" w:cs="楷体"/>
          <w:sz w:val="32"/>
          <w:szCs w:val="32"/>
        </w:rPr>
      </w:pPr>
      <w:r>
        <w:rPr>
          <w:rFonts w:ascii="楷体" w:hAnsi="楷体" w:eastAsia="楷体" w:cs="楷体"/>
          <w:sz w:val="32"/>
          <w:szCs w:val="32"/>
        </w:rPr>
        <w:t>（三）预算收支增减变化情况说明</w:t>
      </w:r>
    </w:p>
    <w:p>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2021年度本单位年初预算数为365.36万元，比上年减少了51.84万元，主要原因是减少了上级补助军休机构经费的预算支出</w:t>
      </w:r>
      <w:r>
        <w:rPr>
          <w:rFonts w:hint="eastAsia" w:ascii="仿宋" w:hAnsi="仿宋" w:eastAsia="仿宋" w:cs="仿宋"/>
          <w:sz w:val="32"/>
          <w:szCs w:val="32"/>
        </w:rPr>
        <w:t>。</w:t>
      </w:r>
    </w:p>
    <w:p>
      <w:pPr>
        <w:tabs>
          <w:tab w:val="left" w:pos="7560"/>
        </w:tabs>
        <w:adjustRightInd w:val="0"/>
        <w:snapToGrid w:val="0"/>
        <w:spacing w:line="560" w:lineRule="exact"/>
        <w:ind w:firstLine="640" w:firstLineChars="200"/>
        <w:jc w:val="left"/>
        <w:rPr>
          <w:rFonts w:ascii="仿宋" w:hAnsi="仿宋" w:eastAsia="仿宋" w:cs="仿宋"/>
          <w:kern w:val="0"/>
          <w:sz w:val="32"/>
          <w:szCs w:val="32"/>
        </w:rPr>
      </w:pPr>
      <w:r>
        <w:rPr>
          <w:rFonts w:hint="eastAsia" w:ascii="黑体" w:hAnsi="黑体" w:eastAsia="黑体" w:cs="黑体"/>
          <w:sz w:val="32"/>
          <w:szCs w:val="32"/>
        </w:rPr>
        <w:t>四、其他重要事项情况说明</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（一）机关运行经费：</w:t>
      </w:r>
      <w:r>
        <w:rPr>
          <w:rFonts w:hint="eastAsia" w:ascii="仿宋" w:hAnsi="仿宋" w:eastAsia="仿宋" w:cs="仿宋"/>
          <w:color w:val="000000"/>
          <w:sz w:val="32"/>
          <w:szCs w:val="32"/>
        </w:rPr>
        <w:t>本部门2021年年初预算单位运行经费共安排330万元，比上年度预算减少了43万元，减少</w:t>
      </w:r>
      <w:r>
        <w:rPr>
          <w:rFonts w:hint="eastAsia" w:ascii="仿宋" w:hAnsi="仿宋" w:eastAsia="仿宋" w:cs="仿宋"/>
          <w:bCs/>
          <w:color w:val="000000"/>
          <w:sz w:val="32"/>
          <w:szCs w:val="32"/>
        </w:rPr>
        <w:t>的主要原因是：上级补助军休机构经费的减少。</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eastAsia="楷体_GB2312"/>
          <w:bCs/>
          <w:color w:val="000000"/>
          <w:sz w:val="32"/>
          <w:szCs w:val="32"/>
        </w:rPr>
        <w:t>（二)政府采购预算：</w:t>
      </w:r>
      <w:r>
        <w:rPr>
          <w:rFonts w:hint="eastAsia" w:ascii="仿宋" w:hAnsi="仿宋" w:eastAsia="仿宋" w:cs="仿宋"/>
          <w:color w:val="000000"/>
          <w:sz w:val="32"/>
          <w:szCs w:val="32"/>
        </w:rPr>
        <w:t>2021年年初预算数为8万元。包含：货物类4万元、工程类0万元、服务类4万元、其他服务类0万元。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hint="eastAsia" w:ascii="仿宋" w:hAnsi="仿宋" w:eastAsia="仿宋" w:cs="仿宋"/>
          <w:color w:val="000000"/>
          <w:sz w:val="32"/>
          <w:szCs w:val="32"/>
        </w:rPr>
        <w:t>截止2020年12月31日，本部门共有办公及业务用房244平方米；车辆1 辆，其中一般公务用车1辆、一般执法执勤用车0辆、货币化用车0辆；单位价值200万以上大型设备  0套。2021年部门预算安排购置车辆0辆，预算安排购置价值200万以上大型设备0套。</w:t>
      </w:r>
    </w:p>
    <w:p>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eastAsia="楷体_GB2312"/>
          <w:bCs/>
          <w:color w:val="000000"/>
          <w:sz w:val="32"/>
          <w:szCs w:val="32"/>
        </w:rPr>
        <w:t>（四）预算绩效目标：</w:t>
      </w:r>
      <w:r>
        <w:rPr>
          <w:rFonts w:hint="eastAsia" w:ascii="仿宋" w:hAnsi="仿宋" w:eastAsia="仿宋" w:cs="仿宋"/>
          <w:color w:val="000000"/>
          <w:sz w:val="32"/>
          <w:szCs w:val="32"/>
        </w:rPr>
        <w:t>本部门整体支出和项目支出实行绩效目标管理，纳入2021年部门整体支出绩效目标的金额为365.36万元，其中，基本支出365.36万元，项目支出0万元。（具体绩效目标详见附表）。 </w:t>
      </w:r>
    </w:p>
    <w:p>
      <w:pPr>
        <w:tabs>
          <w:tab w:val="left" w:pos="7560"/>
        </w:tabs>
        <w:adjustRightInd w:val="0"/>
        <w:snapToGrid w:val="0"/>
        <w:spacing w:line="560" w:lineRule="exact"/>
        <w:ind w:firstLine="640" w:firstLineChars="200"/>
        <w:jc w:val="left"/>
        <w:rPr>
          <w:rFonts w:ascii="楷体" w:hAnsi="楷体" w:eastAsia="楷体" w:cs="楷体"/>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五）“三公”经费预算：</w:t>
      </w:r>
    </w:p>
    <w:p>
      <w:pPr>
        <w:tabs>
          <w:tab w:val="left" w:pos="7560"/>
        </w:tabs>
        <w:adjustRightInd w:val="0"/>
        <w:snapToGrid w:val="0"/>
        <w:spacing w:line="560" w:lineRule="exact"/>
        <w:ind w:firstLine="640" w:firstLineChars="200"/>
        <w:jc w:val="left"/>
        <w:rPr>
          <w:rFonts w:ascii="仿宋" w:hAnsi="仿宋" w:eastAsia="仿宋" w:cs="仿宋"/>
          <w:b/>
          <w:bCs/>
          <w:color w:val="000000"/>
          <w:sz w:val="32"/>
          <w:szCs w:val="32"/>
        </w:rPr>
      </w:pPr>
      <w:r>
        <w:rPr>
          <w:rFonts w:hint="eastAsia" w:ascii="仿宋" w:hAnsi="仿宋" w:eastAsia="仿宋" w:cs="仿宋"/>
          <w:color w:val="000000"/>
          <w:sz w:val="32"/>
          <w:szCs w:val="32"/>
        </w:rPr>
        <w:t>2021年“三公”经费预算数4.8万元，其中：公务接待费0.8万元、公务用车购置费0万元，公务用车运行费4万元，因公出国（境）费0万元。2021年公务用车购置数0台。</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2021年“三公”经费预算数比2020年减少0万元。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w:t>
      </w:r>
      <w:r>
        <w:rPr>
          <w:rFonts w:hint="eastAsia" w:ascii="楷体" w:hAnsi="楷体" w:eastAsia="楷体" w:cs="楷体"/>
          <w:bCs/>
          <w:color w:val="000000"/>
          <w:sz w:val="32"/>
          <w:szCs w:val="32"/>
        </w:rPr>
        <w:t>六）会议费、培训费预算</w:t>
      </w:r>
      <w:r>
        <w:rPr>
          <w:rFonts w:eastAsia="楷体_GB2312"/>
          <w:bCs/>
          <w:color w:val="000000"/>
          <w:sz w:val="32"/>
          <w:szCs w:val="32"/>
        </w:rPr>
        <w:t>：</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2021年预算安排会议费0万元。</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2021年预算安排培训费0万元。</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ascii="楷体" w:hAnsi="楷体" w:eastAsia="楷体" w:cs="楷体"/>
          <w:bCs/>
          <w:color w:val="000000"/>
          <w:sz w:val="32"/>
          <w:szCs w:val="32"/>
        </w:rPr>
        <w:t>其他事项</w:t>
      </w:r>
      <w:r>
        <w:rPr>
          <w:rFonts w:eastAsia="楷体_GB2312"/>
          <w:bCs/>
          <w:color w:val="000000"/>
          <w:sz w:val="32"/>
          <w:szCs w:val="32"/>
        </w:rPr>
        <w:t>。</w:t>
      </w:r>
    </w:p>
    <w:p>
      <w:pPr>
        <w:tabs>
          <w:tab w:val="left" w:pos="7560"/>
        </w:tabs>
        <w:adjustRightInd w:val="0"/>
        <w:snapToGrid w:val="0"/>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本单位2021年预算未安排政府性基金收支预算、未安排纳入专户管理的非税收入拨款预算。本单位无门户网站，已在政府网站统一公开。</w:t>
      </w:r>
    </w:p>
    <w:p>
      <w:pPr>
        <w:tabs>
          <w:tab w:val="left" w:pos="7560"/>
        </w:tabs>
        <w:adjustRightInd w:val="0"/>
        <w:snapToGrid w:val="0"/>
        <w:spacing w:line="560" w:lineRule="exact"/>
        <w:ind w:firstLine="640" w:firstLineChars="200"/>
        <w:jc w:val="left"/>
        <w:rPr>
          <w:rFonts w:ascii="仿宋" w:hAnsi="仿宋" w:eastAsia="仿宋" w:cs="仿宋"/>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spacing w:line="560" w:lineRule="exac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3411"/>
    <w:multiLevelType w:val="singleLevel"/>
    <w:tmpl w:val="BAB1341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MTcxYjgwZDczMWJkZjIxZjAwMTkyNDdmNDM0YTcifQ=="/>
  </w:docVars>
  <w:rsids>
    <w:rsidRoot w:val="00D84058"/>
    <w:rsid w:val="00056CC9"/>
    <w:rsid w:val="00323B43"/>
    <w:rsid w:val="003D37D8"/>
    <w:rsid w:val="004358AB"/>
    <w:rsid w:val="005553BA"/>
    <w:rsid w:val="006464CA"/>
    <w:rsid w:val="00656DC9"/>
    <w:rsid w:val="0077734D"/>
    <w:rsid w:val="007A2585"/>
    <w:rsid w:val="008B7726"/>
    <w:rsid w:val="009F44EE"/>
    <w:rsid w:val="00A53D53"/>
    <w:rsid w:val="00AD4EA7"/>
    <w:rsid w:val="00B221AD"/>
    <w:rsid w:val="00BA5DE5"/>
    <w:rsid w:val="00CB1E75"/>
    <w:rsid w:val="00D84058"/>
    <w:rsid w:val="00DD78B3"/>
    <w:rsid w:val="00E0231B"/>
    <w:rsid w:val="00E315E9"/>
    <w:rsid w:val="00E67BFD"/>
    <w:rsid w:val="06576B9B"/>
    <w:rsid w:val="10FC36F0"/>
    <w:rsid w:val="121A3DDC"/>
    <w:rsid w:val="171C59EF"/>
    <w:rsid w:val="306B485C"/>
    <w:rsid w:val="33B83177"/>
    <w:rsid w:val="464A6528"/>
    <w:rsid w:val="4B0B1C14"/>
    <w:rsid w:val="4D080ED0"/>
    <w:rsid w:val="5CE24758"/>
    <w:rsid w:val="63531F3E"/>
    <w:rsid w:val="6B6C4580"/>
    <w:rsid w:val="79BA190B"/>
    <w:rsid w:val="7AB53F48"/>
    <w:rsid w:val="7C2A1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line="360" w:lineRule="auto"/>
      <w:ind w:firstLine="600" w:firstLineChars="200"/>
    </w:pPr>
    <w:rPr>
      <w:rFonts w:hint="eastAsia" w:ascii="方正仿宋_GBK" w:eastAsia="方正仿宋_GBK"/>
      <w:sz w:val="3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spacing w:line="240" w:lineRule="auto"/>
      <w:ind w:firstLine="420"/>
    </w:pPr>
    <w:rPr>
      <w:sz w:val="21"/>
    </w:rPr>
  </w:style>
  <w:style w:type="character" w:customStyle="1" w:styleId="8">
    <w:name w:val="页眉 字符"/>
    <w:basedOn w:val="7"/>
    <w:link w:val="4"/>
    <w:semiHidden/>
    <w:qFormat/>
    <w:uiPriority w:val="99"/>
    <w:rPr>
      <w:rFonts w:ascii="Times New Roman" w:hAnsi="Times New Roman" w:eastAsia="宋体" w:cs="Times New Roman"/>
      <w:kern w:val="2"/>
      <w:sz w:val="18"/>
      <w:szCs w:val="18"/>
    </w:rPr>
  </w:style>
  <w:style w:type="character" w:customStyle="1" w:styleId="9">
    <w:name w:val="页脚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Pages>8</Pages>
  <Words>2475</Words>
  <Characters>2619</Characters>
  <Lines>19</Lines>
  <Paragraphs>5</Paragraphs>
  <TotalTime>4</TotalTime>
  <ScaleCrop>false</ScaleCrop>
  <LinksUpToDate>false</LinksUpToDate>
  <CharactersWithSpaces>2632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2022-09-13T06:18:34Z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1F1CF97000C346F398190071188DAE15</vt:lpwstr>
  </property>
</Properties>
</file>