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醴陵市烈士陵园管理所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hAnsi="黑体" w:eastAsia="黑体"/>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rPr>
          <w:rFonts w:eastAsia="方正小标宋简体"/>
          <w:bCs/>
          <w:color w:val="000000"/>
          <w:sz w:val="44"/>
          <w:szCs w:val="44"/>
        </w:rPr>
      </w:pPr>
    </w:p>
    <w:p>
      <w:pPr>
        <w:tabs>
          <w:tab w:val="left" w:pos="7560"/>
        </w:tabs>
        <w:adjustRightInd w:val="0"/>
        <w:snapToGrid w:val="0"/>
        <w:spacing w:line="560" w:lineRule="exact"/>
        <w:rPr>
          <w:rFonts w:eastAsia="方正小标宋简体"/>
          <w:bCs/>
          <w:color w:val="000000"/>
          <w:sz w:val="44"/>
          <w:szCs w:val="44"/>
        </w:rPr>
      </w:pPr>
    </w:p>
    <w:p>
      <w:pPr>
        <w:spacing w:line="560" w:lineRule="exact"/>
        <w:rPr>
          <w:rFonts w:hAnsi="仿宋_GB2312" w:eastAsia="仿宋_GB2312"/>
          <w:sz w:val="32"/>
          <w:szCs w:val="32"/>
        </w:rPr>
      </w:pPr>
    </w:p>
    <w:p>
      <w:pPr>
        <w:spacing w:line="560" w:lineRule="exact"/>
        <w:ind w:firstLine="640" w:firstLineChars="200"/>
        <w:rPr>
          <w:rFonts w:ascii="仿宋" w:hAnsi="仿宋" w:eastAsia="仿宋" w:cs="仿宋"/>
          <w:sz w:val="32"/>
        </w:rPr>
      </w:pPr>
      <w:r>
        <w:rPr>
          <w:rFonts w:hint="eastAsia" w:ascii="黑体" w:hAnsi="黑体" w:eastAsia="黑体" w:cs="黑体"/>
          <w:sz w:val="32"/>
          <w:szCs w:val="32"/>
        </w:rPr>
        <w:t>一</w:t>
      </w:r>
      <w:r>
        <w:rPr>
          <w:rFonts w:hint="eastAsia" w:hAnsi="仿宋_GB2312" w:eastAsia="仿宋_GB2312"/>
          <w:sz w:val="32"/>
          <w:szCs w:val="32"/>
        </w:rPr>
        <w:t>、</w:t>
      </w:r>
      <w:r>
        <w:rPr>
          <w:rFonts w:hint="eastAsia" w:ascii="黑体" w:hAnsi="黑体" w:eastAsia="黑体" w:cs="黑体"/>
          <w:sz w:val="32"/>
          <w:szCs w:val="32"/>
        </w:rPr>
        <w:t>部门职能职责</w:t>
      </w:r>
    </w:p>
    <w:p>
      <w:pPr>
        <w:spacing w:line="560" w:lineRule="exact"/>
        <w:ind w:firstLine="640" w:firstLineChars="200"/>
        <w:rPr>
          <w:rFonts w:ascii="仿宋" w:hAnsi="仿宋" w:eastAsia="仿宋"/>
          <w:sz w:val="32"/>
        </w:rPr>
      </w:pPr>
      <w:r>
        <w:rPr>
          <w:rFonts w:hint="eastAsia" w:ascii="仿宋" w:hAnsi="仿宋" w:eastAsia="仿宋"/>
          <w:sz w:val="32"/>
        </w:rPr>
        <w:t>负责全市烈士及退役军人荣誉奖励、军人公墓管理维护、纪念活动等工作，依法承担英雄烈士保护相关工作，负责列入全省重点保护单位的烈士纪念建筑物名录的申报工作，总结表彰和宣扬退役军人、退役军人工作单位和个人先进典型事迹。</w:t>
      </w:r>
    </w:p>
    <w:p>
      <w:pPr>
        <w:spacing w:line="560" w:lineRule="exact"/>
        <w:ind w:firstLine="627" w:firstLineChars="196"/>
        <w:rPr>
          <w:rFonts w:ascii="仿宋" w:hAnsi="仿宋" w:eastAsia="仿宋"/>
          <w:sz w:val="32"/>
        </w:rPr>
      </w:pPr>
      <w:r>
        <w:rPr>
          <w:rFonts w:hint="eastAsia" w:ascii="黑体" w:hAnsi="黑体" w:eastAsia="黑体" w:cs="黑体"/>
          <w:sz w:val="32"/>
          <w:szCs w:val="32"/>
        </w:rPr>
        <w:t>二、机构设置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本单位共有事业编制数3人，实有人数3人，内设部门有3个，分别是办公室、财务室和接待室。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w:t>
      </w:r>
      <w:r>
        <w:rPr>
          <w:rFonts w:hint="eastAsia" w:ascii="仿宋" w:hAnsi="仿宋" w:eastAsia="仿宋" w:cs="仿宋"/>
          <w:sz w:val="32"/>
          <w:szCs w:val="32"/>
          <w:lang w:eastAsia="zh-CN"/>
        </w:rPr>
        <w:t>为</w:t>
      </w:r>
      <w:r>
        <w:rPr>
          <w:rFonts w:hint="eastAsia" w:ascii="仿宋" w:hAnsi="仿宋" w:eastAsia="仿宋" w:cs="仿宋"/>
          <w:sz w:val="32"/>
          <w:szCs w:val="32"/>
        </w:rPr>
        <w:t>二级机构</w:t>
      </w:r>
      <w:r>
        <w:rPr>
          <w:rFonts w:hint="eastAsia" w:ascii="仿宋" w:hAnsi="仿宋" w:eastAsia="仿宋" w:cs="仿宋"/>
          <w:sz w:val="32"/>
          <w:szCs w:val="32"/>
          <w:lang w:eastAsia="zh-CN"/>
        </w:rPr>
        <w:t>，</w:t>
      </w:r>
      <w:r>
        <w:rPr>
          <w:rFonts w:hint="eastAsia" w:ascii="仿宋" w:hAnsi="仿宋" w:eastAsia="仿宋" w:cs="仿宋"/>
          <w:sz w:val="32"/>
          <w:szCs w:val="32"/>
        </w:rPr>
        <w:t>无下设三级机构。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三、部门收支概况</w:t>
      </w:r>
    </w:p>
    <w:p>
      <w:pPr>
        <w:spacing w:line="560" w:lineRule="exact"/>
        <w:ind w:firstLine="640" w:firstLineChars="200"/>
        <w:rPr>
          <w:rFonts w:ascii="黑体" w:hAnsi="黑体" w:eastAsia="黑体" w:cs="黑体"/>
          <w:sz w:val="32"/>
          <w:szCs w:val="32"/>
        </w:rPr>
      </w:pPr>
      <w:r>
        <w:rPr>
          <w:rFonts w:hint="eastAsia" w:ascii="仿宋" w:hAnsi="仿宋" w:eastAsia="仿宋" w:cs="仿宋"/>
          <w:color w:val="000000"/>
          <w:sz w:val="32"/>
          <w:szCs w:val="32"/>
        </w:rPr>
        <w:t>2021年部门预算编报范围为烈士陵园管理所。收入包括一般公共预算收入、政府性基金收入、事业单位经营服务等收入；支出既包括保障单位基本运行的经费，也包括归口管理、面向全市分配的专项经费。</w:t>
      </w:r>
    </w:p>
    <w:p>
      <w:pPr>
        <w:spacing w:line="560" w:lineRule="exact"/>
        <w:ind w:firstLine="640" w:firstLineChars="200"/>
        <w:rPr>
          <w:rFonts w:ascii="楷体" w:hAnsi="楷体" w:eastAsia="楷体" w:cs="楷体"/>
          <w:sz w:val="32"/>
          <w:szCs w:val="32"/>
        </w:rPr>
      </w:pPr>
      <w:r>
        <w:rPr>
          <w:rFonts w:eastAsia="楷体_GB2312"/>
          <w:bCs/>
          <w:color w:val="000000"/>
          <w:sz w:val="32"/>
          <w:szCs w:val="32"/>
        </w:rPr>
        <w:t>（一）收入预算：</w:t>
      </w:r>
      <w:r>
        <w:rPr>
          <w:rFonts w:hint="eastAsia" w:ascii="仿宋" w:hAnsi="仿宋" w:eastAsia="仿宋" w:cs="仿宋"/>
          <w:kern w:val="0"/>
          <w:sz w:val="32"/>
          <w:szCs w:val="32"/>
        </w:rPr>
        <w:t>2021年年初预算数41.65万元，其中，一般公共预算拨款41.65万元；</w:t>
      </w:r>
      <w:r>
        <w:rPr>
          <w:rFonts w:hint="eastAsia" w:ascii="仿宋" w:hAnsi="仿宋" w:eastAsia="仿宋" w:cs="仿宋"/>
          <w:color w:val="000000"/>
          <w:sz w:val="32"/>
          <w:szCs w:val="32"/>
        </w:rPr>
        <w:t>政府性基金拨款0万元；财政专户管理的非税收入拨款0万元；其他收入0万元。因上年结转数暂未最终确定，本年度收支预算中均不含上年结转数字。</w:t>
      </w:r>
    </w:p>
    <w:p>
      <w:pPr>
        <w:spacing w:line="560" w:lineRule="exact"/>
        <w:ind w:firstLine="640" w:firstLineChars="200"/>
        <w:rPr>
          <w:rFonts w:ascii="仿宋" w:hAnsi="仿宋" w:eastAsia="仿宋" w:cs="仿宋"/>
          <w:color w:val="000000"/>
          <w:kern w:val="0"/>
          <w:sz w:val="32"/>
          <w:szCs w:val="32"/>
        </w:rPr>
      </w:pPr>
      <w:r>
        <w:rPr>
          <w:rFonts w:eastAsia="楷体_GB2312"/>
          <w:bCs/>
          <w:color w:val="000000"/>
          <w:sz w:val="32"/>
          <w:szCs w:val="32"/>
        </w:rPr>
        <w:t>（二）支出预算：</w:t>
      </w:r>
      <w:r>
        <w:rPr>
          <w:rFonts w:hint="eastAsia" w:ascii="仿宋" w:hAnsi="仿宋" w:eastAsia="仿宋" w:cs="仿宋"/>
          <w:color w:val="000000"/>
          <w:kern w:val="0"/>
          <w:sz w:val="32"/>
          <w:szCs w:val="32"/>
        </w:rPr>
        <w:t>2021年年初预算数41.65万元，其中，</w:t>
      </w:r>
      <w:r>
        <w:rPr>
          <w:rFonts w:hint="eastAsia" w:ascii="仿宋" w:hAnsi="仿宋" w:eastAsia="仿宋" w:cs="仿宋"/>
          <w:color w:val="000000"/>
          <w:sz w:val="32"/>
          <w:szCs w:val="32"/>
        </w:rPr>
        <w:t>社会保障和就业支出40.58万元</w:t>
      </w:r>
      <w:r>
        <w:rPr>
          <w:rFonts w:hint="eastAsia" w:ascii="仿宋" w:hAnsi="仿宋" w:eastAsia="仿宋" w:cs="仿宋"/>
          <w:color w:val="000000"/>
          <w:sz w:val="32"/>
          <w:szCs w:val="32"/>
          <w:lang w:eastAsia="zh-CN"/>
        </w:rPr>
        <w:t>，卫生健康支出1.07</w:t>
      </w:r>
      <w:r>
        <w:rPr>
          <w:rFonts w:hint="eastAsia" w:ascii="仿宋" w:hAnsi="仿宋" w:eastAsia="仿宋" w:cs="仿宋"/>
          <w:color w:val="000000"/>
          <w:sz w:val="32"/>
          <w:szCs w:val="32"/>
          <w:lang w:val="en-US" w:eastAsia="zh-CN"/>
        </w:rPr>
        <w:t>万元</w:t>
      </w:r>
      <w:r>
        <w:rPr>
          <w:rFonts w:hint="eastAsia" w:ascii="仿宋" w:hAnsi="仿宋" w:eastAsia="仿宋" w:cs="仿宋"/>
          <w:color w:val="000000"/>
          <w:sz w:val="32"/>
          <w:szCs w:val="32"/>
        </w:rPr>
        <w:t>。</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具体安排如下：</w:t>
      </w:r>
    </w:p>
    <w:p>
      <w:pPr>
        <w:spacing w:line="560"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1</w:t>
      </w:r>
      <w:r>
        <w:rPr>
          <w:rFonts w:hint="eastAsia" w:ascii="仿宋" w:hAnsi="仿宋" w:eastAsia="仿宋" w:cs="仿宋"/>
          <w:color w:val="000000"/>
          <w:kern w:val="0"/>
          <w:sz w:val="32"/>
          <w:szCs w:val="32"/>
        </w:rPr>
        <w:t>．</w:t>
      </w:r>
      <w:r>
        <w:rPr>
          <w:rFonts w:hint="eastAsia" w:ascii="仿宋" w:hAnsi="仿宋" w:eastAsia="仿宋" w:cs="仿宋"/>
          <w:b/>
          <w:bCs/>
          <w:color w:val="000000"/>
          <w:kern w:val="0"/>
          <w:sz w:val="32"/>
          <w:szCs w:val="32"/>
        </w:rPr>
        <w:t>基本支出</w:t>
      </w:r>
      <w:r>
        <w:rPr>
          <w:rFonts w:hint="eastAsia" w:ascii="仿宋" w:hAnsi="仿宋" w:eastAsia="仿宋" w:cs="仿宋"/>
          <w:color w:val="000000"/>
          <w:kern w:val="0"/>
          <w:sz w:val="32"/>
          <w:szCs w:val="32"/>
        </w:rPr>
        <w:t>：2021年年初预算数为34.65万元，</w:t>
      </w:r>
      <w:r>
        <w:rPr>
          <w:rFonts w:hint="eastAsia" w:ascii="仿宋" w:hAnsi="仿宋" w:eastAsia="仿宋" w:cs="仿宋"/>
          <w:color w:val="000000"/>
          <w:sz w:val="32"/>
          <w:szCs w:val="32"/>
        </w:rPr>
        <w:t>是指为保障单位机构正常运转、完成日常工作任务而发生的各项支出，包括用于基本工资、津贴补贴等人员经费以及日常公用经费、工作性专项。</w:t>
      </w:r>
      <w:bookmarkStart w:id="0" w:name="_GoBack"/>
      <w:bookmarkEnd w:id="0"/>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kern w:val="0"/>
          <w:sz w:val="32"/>
          <w:szCs w:val="32"/>
        </w:rPr>
        <w:t>2</w:t>
      </w:r>
      <w:r>
        <w:rPr>
          <w:rFonts w:hint="eastAsia" w:ascii="仿宋" w:hAnsi="仿宋" w:eastAsia="仿宋" w:cs="仿宋"/>
          <w:color w:val="000000"/>
          <w:kern w:val="0"/>
          <w:sz w:val="32"/>
          <w:szCs w:val="32"/>
        </w:rPr>
        <w:t>．</w:t>
      </w:r>
      <w:r>
        <w:rPr>
          <w:rFonts w:hint="eastAsia" w:ascii="仿宋" w:hAnsi="仿宋" w:eastAsia="仿宋" w:cs="仿宋"/>
          <w:b/>
          <w:bCs/>
          <w:color w:val="000000"/>
          <w:kern w:val="0"/>
          <w:sz w:val="32"/>
          <w:szCs w:val="32"/>
        </w:rPr>
        <w:t>项目支出</w:t>
      </w:r>
      <w:r>
        <w:rPr>
          <w:rFonts w:hint="eastAsia" w:ascii="仿宋" w:hAnsi="仿宋" w:eastAsia="仿宋" w:cs="仿宋"/>
          <w:color w:val="000000"/>
          <w:kern w:val="0"/>
          <w:sz w:val="32"/>
          <w:szCs w:val="32"/>
        </w:rPr>
        <w:t>：2021年年初预算数为7万元，</w:t>
      </w:r>
      <w:r>
        <w:rPr>
          <w:rFonts w:hint="eastAsia" w:ascii="仿宋" w:hAnsi="仿宋" w:eastAsia="仿宋" w:cs="仿宋"/>
          <w:color w:val="000000"/>
          <w:sz w:val="32"/>
          <w:szCs w:val="32"/>
        </w:rPr>
        <w:t>是指单位为完成特定行政工作任务或事业发展目标而发生的支出，包括有关事业发展专项、基本建设支出、资本性支出等。其中：</w:t>
      </w:r>
    </w:p>
    <w:p>
      <w:pPr>
        <w:spacing w:line="560" w:lineRule="exact"/>
        <w:ind w:firstLine="640" w:firstLineChars="200"/>
        <w:rPr>
          <w:rFonts w:ascii="仿宋" w:hAnsi="仿宋" w:eastAsia="仿宋" w:cs="仿宋"/>
          <w:color w:val="000000"/>
          <w:sz w:val="32"/>
          <w:szCs w:val="32"/>
        </w:rPr>
      </w:pPr>
      <w:r>
        <w:rPr>
          <w:rFonts w:ascii="仿宋" w:hAnsi="仿宋" w:eastAsia="仿宋" w:cs="仿宋"/>
          <w:sz w:val="32"/>
          <w:szCs w:val="32"/>
        </w:rPr>
        <w:t>（</w:t>
      </w:r>
      <w:r>
        <w:rPr>
          <w:rFonts w:hint="eastAsia" w:ascii="仿宋" w:hAnsi="仿宋" w:eastAsia="仿宋" w:cs="仿宋"/>
          <w:sz w:val="32"/>
          <w:szCs w:val="32"/>
        </w:rPr>
        <w:t>1</w:t>
      </w:r>
      <w:r>
        <w:rPr>
          <w:rFonts w:ascii="仿宋" w:hAnsi="仿宋" w:eastAsia="仿宋" w:cs="仿宋"/>
          <w:sz w:val="32"/>
          <w:szCs w:val="32"/>
        </w:rPr>
        <w:t>）烈士公祭专项5万元，主要用于2021年9月30日烈士公祭日烈士陵园开展全市烈士公祭活动费用支出。</w:t>
      </w:r>
    </w:p>
    <w:p>
      <w:pPr>
        <w:pStyle w:val="5"/>
        <w:spacing w:line="560" w:lineRule="exact"/>
        <w:ind w:firstLine="640"/>
        <w:rPr>
          <w:rFonts w:hint="default" w:ascii="仿宋" w:hAnsi="仿宋" w:eastAsia="仿宋" w:cs="仿宋"/>
          <w:sz w:val="32"/>
          <w:szCs w:val="32"/>
        </w:rPr>
      </w:pPr>
      <w:r>
        <w:rPr>
          <w:rFonts w:ascii="仿宋" w:hAnsi="仿宋" w:eastAsia="仿宋" w:cs="仿宋"/>
          <w:sz w:val="32"/>
          <w:szCs w:val="32"/>
        </w:rPr>
        <w:t>（2）公厕维护专项2万元，主要用于2021年烈士陵园公厕卫生及设施维修费用。</w:t>
      </w:r>
    </w:p>
    <w:p>
      <w:pPr>
        <w:pStyle w:val="5"/>
        <w:spacing w:line="560" w:lineRule="exact"/>
        <w:ind w:firstLine="640"/>
        <w:rPr>
          <w:rFonts w:hint="default" w:ascii="楷体" w:hAnsi="楷体" w:eastAsia="楷体" w:cs="楷体"/>
          <w:sz w:val="32"/>
          <w:szCs w:val="32"/>
        </w:rPr>
      </w:pPr>
      <w:r>
        <w:rPr>
          <w:rFonts w:ascii="楷体" w:hAnsi="楷体" w:eastAsia="楷体" w:cs="楷体"/>
          <w:sz w:val="32"/>
          <w:szCs w:val="32"/>
        </w:rPr>
        <w:t>（三）预算收支增减变化情况说明</w:t>
      </w:r>
    </w:p>
    <w:p>
      <w:pPr>
        <w:tabs>
          <w:tab w:val="left" w:pos="7560"/>
        </w:tabs>
        <w:adjustRightInd w:val="0"/>
        <w:snapToGrid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2021年度本单位年初预算数为41.65万元，比上年增加0.17万元，主要原因是增加人员工资福利经费</w:t>
      </w:r>
      <w:r>
        <w:rPr>
          <w:rFonts w:hint="eastAsia" w:ascii="仿宋" w:hAnsi="仿宋" w:eastAsia="仿宋" w:cs="仿宋"/>
          <w:sz w:val="32"/>
          <w:szCs w:val="32"/>
        </w:rPr>
        <w:t>。</w:t>
      </w:r>
    </w:p>
    <w:p>
      <w:pPr>
        <w:tabs>
          <w:tab w:val="left" w:pos="7560"/>
        </w:tabs>
        <w:adjustRightInd w:val="0"/>
        <w:snapToGrid w:val="0"/>
        <w:spacing w:line="560" w:lineRule="exact"/>
        <w:ind w:firstLine="640" w:firstLineChars="200"/>
        <w:jc w:val="left"/>
        <w:rPr>
          <w:rFonts w:ascii="仿宋" w:hAnsi="仿宋" w:eastAsia="仿宋" w:cs="仿宋"/>
          <w:kern w:val="0"/>
          <w:sz w:val="32"/>
          <w:szCs w:val="32"/>
        </w:rPr>
      </w:pPr>
      <w:r>
        <w:rPr>
          <w:rFonts w:hint="eastAsia" w:ascii="黑体" w:hAnsi="黑体" w:eastAsia="黑体" w:cs="黑体"/>
          <w:sz w:val="32"/>
          <w:szCs w:val="32"/>
        </w:rPr>
        <w:t>四、其他重要事项情况说明</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eastAsia="楷体_GB2312"/>
          <w:bCs/>
          <w:color w:val="000000"/>
          <w:sz w:val="32"/>
          <w:szCs w:val="32"/>
        </w:rPr>
        <w:t>（一）机关运行经费：</w:t>
      </w:r>
      <w:r>
        <w:rPr>
          <w:rFonts w:hint="eastAsia" w:ascii="仿宋" w:hAnsi="仿宋" w:eastAsia="仿宋" w:cs="仿宋"/>
          <w:color w:val="000000"/>
          <w:sz w:val="32"/>
          <w:szCs w:val="32"/>
        </w:rPr>
        <w:t>本部门2021年年初预算单位运行经费共安排9.15万元，比上年度预算增加0.24万元，</w:t>
      </w:r>
      <w:r>
        <w:rPr>
          <w:rFonts w:hint="eastAsia" w:ascii="仿宋" w:hAnsi="仿宋" w:eastAsia="仿宋" w:cs="仿宋"/>
          <w:bCs/>
          <w:color w:val="000000"/>
          <w:sz w:val="32"/>
          <w:szCs w:val="32"/>
        </w:rPr>
        <w:t>增加的主要原因是：增加了水电费、零星维修费用等日常运转经费支出。</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eastAsia="楷体_GB2312"/>
          <w:bCs/>
          <w:color w:val="000000"/>
          <w:sz w:val="32"/>
          <w:szCs w:val="32"/>
        </w:rPr>
        <w:t>（二)政府采购预算：</w:t>
      </w:r>
      <w:r>
        <w:rPr>
          <w:rFonts w:hint="eastAsia" w:ascii="仿宋" w:hAnsi="仿宋" w:eastAsia="仿宋" w:cs="仿宋"/>
          <w:color w:val="000000"/>
          <w:sz w:val="32"/>
          <w:szCs w:val="32"/>
        </w:rPr>
        <w:t>2021年年初预算数为61.53万元。包含：货物类14.33万元、工程类45万元、服务类2.2万元、其他服务类0万元。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hint="eastAsia" w:ascii="仿宋" w:hAnsi="仿宋" w:eastAsia="仿宋" w:cs="仿宋"/>
          <w:color w:val="000000"/>
          <w:sz w:val="32"/>
          <w:szCs w:val="32"/>
        </w:rPr>
        <w:t>截止2020年12月31日，本部门共有办公及业务用房200平方米；车辆0辆，其中一般公务用车0辆、一般执法执勤用车0辆、货币化用车0辆；单位价值200万以上大型设备  0套。2021年部门预算安排购置车辆0辆，预算安排购置价值200万以上大型设备0套。</w:t>
      </w:r>
    </w:p>
    <w:p>
      <w:pPr>
        <w:tabs>
          <w:tab w:val="left" w:pos="7560"/>
        </w:tabs>
        <w:adjustRightInd w:val="0"/>
        <w:snapToGrid w:val="0"/>
        <w:spacing w:line="560" w:lineRule="exact"/>
        <w:ind w:firstLine="640" w:firstLineChars="200"/>
        <w:jc w:val="left"/>
        <w:rPr>
          <w:rFonts w:ascii="仿宋" w:hAnsi="仿宋" w:eastAsia="仿宋" w:cs="仿宋"/>
          <w:b/>
          <w:bCs/>
          <w:color w:val="000000"/>
          <w:sz w:val="32"/>
          <w:szCs w:val="32"/>
        </w:rPr>
      </w:pPr>
      <w:r>
        <w:rPr>
          <w:rFonts w:eastAsia="楷体_GB2312"/>
          <w:bCs/>
          <w:color w:val="000000"/>
          <w:sz w:val="32"/>
          <w:szCs w:val="32"/>
        </w:rPr>
        <w:t>（四）预算绩效目标：</w:t>
      </w:r>
      <w:r>
        <w:rPr>
          <w:rFonts w:hint="eastAsia" w:ascii="仿宋" w:hAnsi="仿宋" w:eastAsia="仿宋" w:cs="仿宋"/>
          <w:color w:val="000000"/>
          <w:sz w:val="32"/>
          <w:szCs w:val="32"/>
        </w:rPr>
        <w:t>本部门整体支出和项目支出实行绩效目标管理，纳入2021年部门整体支出绩效目标的金额为41.65万元，其中，基本支出34.65万元，项目支出7万元。（具体绩效目标详见附表）。 </w:t>
      </w:r>
    </w:p>
    <w:p>
      <w:pPr>
        <w:tabs>
          <w:tab w:val="left" w:pos="7560"/>
        </w:tabs>
        <w:adjustRightInd w:val="0"/>
        <w:snapToGrid w:val="0"/>
        <w:spacing w:line="560" w:lineRule="exact"/>
        <w:ind w:firstLine="640" w:firstLineChars="200"/>
        <w:jc w:val="left"/>
        <w:rPr>
          <w:rFonts w:ascii="楷体" w:hAnsi="楷体" w:eastAsia="楷体" w:cs="楷体"/>
          <w:bCs/>
          <w:color w:val="000000"/>
          <w:sz w:val="32"/>
          <w:szCs w:val="32"/>
        </w:rPr>
      </w:pPr>
      <w:r>
        <w:rPr>
          <w:rFonts w:eastAsia="楷体_GB2312"/>
          <w:bCs/>
          <w:color w:val="000000"/>
          <w:sz w:val="32"/>
          <w:szCs w:val="32"/>
        </w:rPr>
        <w:t>（</w:t>
      </w:r>
      <w:r>
        <w:rPr>
          <w:rFonts w:hint="eastAsia" w:ascii="楷体" w:hAnsi="楷体" w:eastAsia="楷体" w:cs="楷体"/>
          <w:bCs/>
          <w:color w:val="000000"/>
          <w:sz w:val="32"/>
          <w:szCs w:val="32"/>
        </w:rPr>
        <w:t>五）“三公”经费预算：</w:t>
      </w:r>
    </w:p>
    <w:p>
      <w:pPr>
        <w:tabs>
          <w:tab w:val="left" w:pos="7560"/>
        </w:tabs>
        <w:adjustRightInd w:val="0"/>
        <w:snapToGrid w:val="0"/>
        <w:spacing w:line="560" w:lineRule="exact"/>
        <w:ind w:firstLine="640" w:firstLineChars="200"/>
        <w:jc w:val="left"/>
        <w:rPr>
          <w:rFonts w:ascii="仿宋" w:hAnsi="仿宋" w:eastAsia="仿宋" w:cs="仿宋"/>
          <w:b/>
          <w:bCs/>
          <w:color w:val="000000"/>
          <w:sz w:val="32"/>
          <w:szCs w:val="32"/>
        </w:rPr>
      </w:pPr>
      <w:r>
        <w:rPr>
          <w:rFonts w:hint="eastAsia" w:ascii="仿宋" w:hAnsi="仿宋" w:eastAsia="仿宋" w:cs="仿宋"/>
          <w:color w:val="000000"/>
          <w:sz w:val="32"/>
          <w:szCs w:val="32"/>
        </w:rPr>
        <w:t>2021年“三公”经费预算数0.52万元，其中：公务接待费0.52万元、公务用车购置费0万元，公务用车运行费0万元，因公出国（境）费0万元。2021年公务用车购置数0台。</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2021年“三公”经费预算数比2020年减少0.08万元，主要是因为减少公务接待费用0.08万元。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ascii="楷体" w:hAnsi="楷体" w:eastAsia="楷体" w:cs="楷体"/>
          <w:bCs/>
          <w:color w:val="000000"/>
          <w:sz w:val="32"/>
          <w:szCs w:val="32"/>
        </w:rPr>
        <w:t>六）会议费、培训费预算</w:t>
      </w:r>
      <w:r>
        <w:rPr>
          <w:rFonts w:eastAsia="楷体_GB2312"/>
          <w:bCs/>
          <w:color w:val="000000"/>
          <w:sz w:val="32"/>
          <w:szCs w:val="32"/>
        </w:rPr>
        <w:t>：</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2021年预算安排会议费0万元。</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2021年预算安排培训费0万元。</w:t>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ascii="楷体" w:hAnsi="楷体" w:eastAsia="楷体" w:cs="楷体"/>
          <w:bCs/>
          <w:color w:val="000000"/>
          <w:sz w:val="32"/>
          <w:szCs w:val="32"/>
        </w:rPr>
        <w:t>其他事项</w:t>
      </w:r>
      <w:r>
        <w:rPr>
          <w:rFonts w:eastAsia="楷体_GB2312"/>
          <w:bCs/>
          <w:color w:val="000000"/>
          <w:sz w:val="32"/>
          <w:szCs w:val="32"/>
        </w:rPr>
        <w:t>。</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本单位2021年预算未安排政府性基金收支预算、未安排纳入专户管理的非税收入拨款预算。本单位无门户网站，已在政府网站统一公开。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spacing w:line="560" w:lineRule="exac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3411"/>
    <w:multiLevelType w:val="singleLevel"/>
    <w:tmpl w:val="BAB1341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MTcxYjgwZDczMWJkZjIxZjAwMTkyNDdmNDM0YTcifQ=="/>
  </w:docVars>
  <w:rsids>
    <w:rsidRoot w:val="00D84058"/>
    <w:rsid w:val="0023065D"/>
    <w:rsid w:val="00323B43"/>
    <w:rsid w:val="003D37D8"/>
    <w:rsid w:val="004358AB"/>
    <w:rsid w:val="00545C5C"/>
    <w:rsid w:val="005553BA"/>
    <w:rsid w:val="006464CA"/>
    <w:rsid w:val="00656DC9"/>
    <w:rsid w:val="0077734D"/>
    <w:rsid w:val="007A2585"/>
    <w:rsid w:val="008B7726"/>
    <w:rsid w:val="009F44EE"/>
    <w:rsid w:val="00A53D53"/>
    <w:rsid w:val="00B221AD"/>
    <w:rsid w:val="00BA5DE5"/>
    <w:rsid w:val="00BC5308"/>
    <w:rsid w:val="00CB1E75"/>
    <w:rsid w:val="00D84058"/>
    <w:rsid w:val="00DD78B3"/>
    <w:rsid w:val="00E0231B"/>
    <w:rsid w:val="00E315E9"/>
    <w:rsid w:val="00E70087"/>
    <w:rsid w:val="06576B9B"/>
    <w:rsid w:val="10FC36F0"/>
    <w:rsid w:val="2E6F62B5"/>
    <w:rsid w:val="33B83177"/>
    <w:rsid w:val="4B0B1C14"/>
    <w:rsid w:val="4F9E5262"/>
    <w:rsid w:val="538D253C"/>
    <w:rsid w:val="53EB17EF"/>
    <w:rsid w:val="5CE24758"/>
    <w:rsid w:val="63531F3E"/>
    <w:rsid w:val="63D03C7D"/>
    <w:rsid w:val="67650EA2"/>
    <w:rsid w:val="6B6C4580"/>
    <w:rsid w:val="79BA190B"/>
    <w:rsid w:val="7C2A1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360" w:lineRule="auto"/>
      <w:ind w:firstLine="600" w:firstLineChars="200"/>
    </w:pPr>
    <w:rPr>
      <w:rFonts w:hint="eastAsia" w:ascii="方正仿宋_GBK" w:eastAsia="方正仿宋_GBK"/>
      <w:sz w:val="3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spacing w:line="240" w:lineRule="auto"/>
      <w:ind w:firstLine="420"/>
    </w:pPr>
    <w:rPr>
      <w:sz w:val="21"/>
    </w:rPr>
  </w:style>
  <w:style w:type="character" w:customStyle="1" w:styleId="8">
    <w:name w:val="页眉 字符"/>
    <w:basedOn w:val="7"/>
    <w:link w:val="4"/>
    <w:semiHidden/>
    <w:qFormat/>
    <w:uiPriority w:val="99"/>
    <w:rPr>
      <w:rFonts w:ascii="Times New Roman" w:hAnsi="Times New Roman" w:eastAsia="宋体" w:cs="Times New Roman"/>
      <w:kern w:val="2"/>
      <w:sz w:val="18"/>
      <w:szCs w:val="18"/>
    </w:rPr>
  </w:style>
  <w:style w:type="character" w:customStyle="1" w:styleId="9">
    <w:name w:val="页脚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8</Pages>
  <Words>2568</Words>
  <Characters>2735</Characters>
  <Lines>20</Lines>
  <Paragraphs>5</Paragraphs>
  <TotalTime>3</TotalTime>
  <ScaleCrop>false</ScaleCrop>
  <LinksUpToDate>false</LinksUpToDate>
  <CharactersWithSpaces>2747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2022-09-13T06:17:35Z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8652DBAE085141DB8E27AAB8552625C5</vt:lpwstr>
  </property>
</Properties>
</file>