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hAnsi="黑体" w:eastAsia="黑体"/>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醴陵</w:t>
      </w:r>
      <w:r>
        <w:rPr>
          <w:rFonts w:hint="eastAsia" w:ascii="方正小标宋简体" w:hAnsi="方正小标宋简体" w:eastAsia="方正小标宋简体" w:cs="方正小标宋简体"/>
          <w:bCs/>
          <w:color w:val="000000"/>
          <w:sz w:val="44"/>
          <w:szCs w:val="44"/>
        </w:rPr>
        <w:t>市委政法委2021年部门预算公开说明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rPr>
          <w:rFonts w:hAnsi="黑体" w:eastAsia="黑体"/>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jc w:val="left"/>
        <w:rPr>
          <w:rFonts w:eastAsia="仿宋_GB2312"/>
          <w:sz w:val="32"/>
          <w:szCs w:val="32"/>
        </w:rPr>
      </w:pPr>
    </w:p>
    <w:p>
      <w:pPr>
        <w:numPr>
          <w:ilvl w:val="0"/>
          <w:numId w:val="2"/>
        </w:numPr>
        <w:tabs>
          <w:tab w:val="left" w:pos="7560"/>
        </w:tabs>
        <w:adjustRightInd w:val="0"/>
        <w:snapToGrid w:val="0"/>
        <w:spacing w:line="560" w:lineRule="exact"/>
        <w:ind w:firstLine="640" w:firstLineChars="200"/>
        <w:rPr>
          <w:rFonts w:hAnsi="黑体" w:eastAsia="黑体"/>
          <w:sz w:val="32"/>
          <w:szCs w:val="32"/>
        </w:rPr>
      </w:pPr>
      <w:r>
        <w:rPr>
          <w:rFonts w:hAnsi="黑体" w:eastAsia="黑体"/>
          <w:sz w:val="32"/>
          <w:szCs w:val="32"/>
        </w:rPr>
        <w:t>部门职能职责</w:t>
      </w:r>
    </w:p>
    <w:p>
      <w:pPr>
        <w:spacing w:line="540" w:lineRule="exact"/>
        <w:ind w:firstLine="640" w:firstLineChars="200"/>
        <w:rPr>
          <w:rFonts w:ascii="仿宋" w:hAnsi="仿宋" w:eastAsia="仿宋_GB2312"/>
          <w:sz w:val="32"/>
          <w:szCs w:val="32"/>
        </w:rPr>
      </w:pPr>
      <w:r>
        <w:rPr>
          <w:rFonts w:hint="eastAsia" w:ascii="仿宋" w:hAnsi="仿宋" w:eastAsia="仿宋_GB2312"/>
          <w:sz w:val="32"/>
          <w:szCs w:val="32"/>
        </w:rPr>
        <w:t>（一）深入贯彻习近平新时代中国特色社会主义思想，深入贯彻党的路线方针政策和决策部署，统一政法各部门思想和行动，坚持党对政法工作的绝对领导，坚决维护党中央权威和集中统一领导。</w:t>
      </w:r>
    </w:p>
    <w:p>
      <w:pPr>
        <w:spacing w:line="540" w:lineRule="exact"/>
        <w:ind w:firstLine="640" w:firstLineChars="200"/>
        <w:rPr>
          <w:rFonts w:ascii="仿宋" w:hAnsi="仿宋" w:eastAsia="仿宋_GB2312"/>
          <w:sz w:val="32"/>
          <w:szCs w:val="32"/>
        </w:rPr>
      </w:pPr>
      <w:r>
        <w:rPr>
          <w:rFonts w:hint="eastAsia" w:ascii="仿宋" w:hAnsi="仿宋" w:eastAsia="仿宋_GB2312"/>
          <w:sz w:val="32"/>
          <w:szCs w:val="32"/>
        </w:rPr>
        <w:t>（二）深入贯彻党中央决定和省委、市委、醴陵市委决策，对全市政法工作研究提出全局性部署，坚持推进平安醴陵、法治醴陵建设，加强过硬队伍建设，深化智能化建设，坚决维护国家政治安全、确保社会大局稳定、促进社会公平正义、保障人民安居乐业。</w:t>
      </w:r>
    </w:p>
    <w:p>
      <w:pPr>
        <w:spacing w:line="540" w:lineRule="exact"/>
        <w:ind w:firstLine="645"/>
        <w:rPr>
          <w:rFonts w:ascii="仿宋" w:hAnsi="仿宋" w:eastAsia="仿宋_GB2312"/>
          <w:sz w:val="32"/>
          <w:szCs w:val="32"/>
        </w:rPr>
      </w:pPr>
      <w:r>
        <w:rPr>
          <w:rFonts w:hint="eastAsia" w:ascii="仿宋" w:hAnsi="仿宋" w:eastAsia="仿宋_GB2312"/>
          <w:sz w:val="32"/>
          <w:szCs w:val="32"/>
        </w:rPr>
        <w:t>（三）了解掌握和分析研判政法工作情况动态，分析社会稳定形势，创新完善多部门参与的综治维稳工作机制，协调推动预防、化解影响稳定的社会矛盾和风险，协调应对和处置重大突发事件。</w:t>
      </w:r>
    </w:p>
    <w:p>
      <w:pPr>
        <w:spacing w:line="540" w:lineRule="exact"/>
        <w:ind w:firstLine="630"/>
        <w:rPr>
          <w:rFonts w:ascii="仿宋" w:hAnsi="仿宋" w:eastAsia="仿宋_GB2312"/>
          <w:sz w:val="32"/>
          <w:szCs w:val="32"/>
        </w:rPr>
      </w:pPr>
      <w:r>
        <w:rPr>
          <w:rFonts w:hint="eastAsia" w:ascii="仿宋" w:hAnsi="仿宋" w:eastAsia="仿宋_GB2312"/>
          <w:sz w:val="32"/>
          <w:szCs w:val="32"/>
        </w:rPr>
        <w:t>（四）组织开展政法领域的调查研究，加强对政法工作的督查，统筹协调社会治安综合治理、维护社会稳定、反邪教有关法律法规政策的实施工作。</w:t>
      </w:r>
    </w:p>
    <w:p>
      <w:pPr>
        <w:spacing w:line="540" w:lineRule="exact"/>
        <w:ind w:firstLine="630"/>
        <w:rPr>
          <w:rFonts w:ascii="仿宋" w:hAnsi="仿宋" w:eastAsia="仿宋_GB2312"/>
          <w:sz w:val="32"/>
          <w:szCs w:val="32"/>
        </w:rPr>
      </w:pPr>
      <w:r>
        <w:rPr>
          <w:rFonts w:hint="eastAsia" w:ascii="仿宋" w:hAnsi="仿宋" w:eastAsia="仿宋_GB2312"/>
          <w:sz w:val="32"/>
          <w:szCs w:val="32"/>
        </w:rPr>
        <w:t>（五）掌握分析政法舆情动态，指导协调政法部门媒体网络宣传工作，指导政法部门做好涉及政法工作的重大宣传工作。</w:t>
      </w:r>
    </w:p>
    <w:p>
      <w:pPr>
        <w:spacing w:line="540" w:lineRule="exact"/>
        <w:ind w:firstLine="630"/>
        <w:rPr>
          <w:rFonts w:ascii="仿宋" w:hAnsi="仿宋" w:eastAsia="仿宋_GB2312"/>
          <w:sz w:val="32"/>
          <w:szCs w:val="32"/>
        </w:rPr>
      </w:pPr>
      <w:r>
        <w:rPr>
          <w:rFonts w:hint="eastAsia" w:ascii="仿宋" w:hAnsi="仿宋" w:eastAsia="仿宋_GB2312"/>
          <w:sz w:val="32"/>
          <w:szCs w:val="32"/>
        </w:rPr>
        <w:t>（六）监督和支持政法各部门依法行使职权，指导和协调政法各部门密切配合，研究和协调重大、疑难案件，推进严格执法、公正司法。</w:t>
      </w:r>
    </w:p>
    <w:p>
      <w:pPr>
        <w:spacing w:line="540" w:lineRule="exact"/>
        <w:ind w:firstLine="630"/>
        <w:rPr>
          <w:rFonts w:ascii="仿宋" w:hAnsi="仿宋" w:eastAsia="仿宋_GB2312"/>
          <w:sz w:val="32"/>
          <w:szCs w:val="32"/>
        </w:rPr>
      </w:pPr>
      <w:r>
        <w:rPr>
          <w:rFonts w:hint="eastAsia" w:ascii="仿宋" w:hAnsi="仿宋" w:eastAsia="仿宋_GB2312"/>
          <w:sz w:val="32"/>
          <w:szCs w:val="32"/>
        </w:rPr>
        <w:t>（七）指导推动政法系统党的建设和政法队伍建设；协助市委及其组织部门考察、管理政法部门的领导和干部队伍，组织查处政法系统领导干部、干警中有重大影响的违法违纪案件。</w:t>
      </w:r>
    </w:p>
    <w:p>
      <w:pPr>
        <w:spacing w:line="540" w:lineRule="exact"/>
        <w:ind w:firstLine="630"/>
        <w:rPr>
          <w:rFonts w:ascii="仿宋" w:hAnsi="仿宋" w:eastAsia="仿宋_GB2312"/>
          <w:sz w:val="32"/>
          <w:szCs w:val="32"/>
        </w:rPr>
      </w:pPr>
      <w:r>
        <w:rPr>
          <w:rFonts w:hint="eastAsia" w:ascii="仿宋" w:hAnsi="仿宋" w:eastAsia="仿宋_GB2312"/>
          <w:sz w:val="32"/>
          <w:szCs w:val="32"/>
        </w:rPr>
        <w:t>（八）完成市委交办的其他任务。</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widowControl/>
        <w:shd w:val="clear" w:color="auto" w:fill="FFFFFF"/>
        <w:spacing w:line="560" w:lineRule="exact"/>
        <w:ind w:left="319" w:leftChars="152" w:firstLine="320" w:firstLineChars="100"/>
        <w:outlineLvl w:val="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23</w:t>
      </w:r>
      <w:r>
        <w:rPr>
          <w:rFonts w:eastAsia="仿宋_GB2312"/>
          <w:color w:val="000000"/>
          <w:sz w:val="32"/>
          <w:szCs w:val="32"/>
        </w:rPr>
        <w:t>人，实有人数</w:t>
      </w:r>
      <w:r>
        <w:rPr>
          <w:rFonts w:hint="eastAsia" w:eastAsia="仿宋_GB2312"/>
          <w:color w:val="000000"/>
          <w:sz w:val="32"/>
          <w:szCs w:val="32"/>
        </w:rPr>
        <w:t>19</w:t>
      </w:r>
      <w:r>
        <w:rPr>
          <w:rFonts w:eastAsia="仿宋_GB2312"/>
          <w:color w:val="000000"/>
          <w:sz w:val="32"/>
          <w:szCs w:val="32"/>
        </w:rPr>
        <w:t>人。</w:t>
      </w:r>
      <w:r>
        <w:rPr>
          <w:rFonts w:hint="eastAsia" w:eastAsia="仿宋_GB2312"/>
          <w:bCs/>
          <w:color w:val="000000"/>
          <w:kern w:val="0"/>
          <w:sz w:val="32"/>
          <w:szCs w:val="32"/>
        </w:rPr>
        <w:t>内设7个科室，分别为</w:t>
      </w:r>
      <w:r>
        <w:rPr>
          <w:rFonts w:eastAsia="仿宋_GB2312"/>
          <w:bCs/>
          <w:color w:val="000000"/>
          <w:kern w:val="0"/>
          <w:sz w:val="32"/>
          <w:szCs w:val="32"/>
        </w:rPr>
        <w:t>办公室、政工室、</w:t>
      </w:r>
      <w:r>
        <w:rPr>
          <w:rFonts w:hint="eastAsia" w:eastAsia="仿宋_GB2312"/>
          <w:bCs/>
          <w:color w:val="000000"/>
          <w:kern w:val="0"/>
          <w:sz w:val="32"/>
          <w:szCs w:val="32"/>
        </w:rPr>
        <w:t>综治督导室、基层社会治理室、维稳指导室、</w:t>
      </w:r>
      <w:r>
        <w:rPr>
          <w:rFonts w:eastAsia="仿宋_GB2312"/>
          <w:bCs/>
          <w:color w:val="000000"/>
          <w:kern w:val="0"/>
          <w:sz w:val="32"/>
          <w:szCs w:val="32"/>
        </w:rPr>
        <w:t>执法监督室</w:t>
      </w:r>
      <w:r>
        <w:rPr>
          <w:rFonts w:hint="eastAsia" w:eastAsia="仿宋_GB2312"/>
          <w:bCs/>
          <w:color w:val="000000"/>
          <w:kern w:val="0"/>
          <w:sz w:val="32"/>
          <w:szCs w:val="32"/>
        </w:rPr>
        <w:t>、反邪教协调室。</w:t>
      </w:r>
      <w:r>
        <w:rPr>
          <w:rFonts w:eastAsia="仿宋_GB2312"/>
          <w:bCs/>
          <w:color w:val="000000"/>
          <w:kern w:val="0"/>
          <w:sz w:val="32"/>
          <w:szCs w:val="32"/>
        </w:rPr>
        <w:t>下设机构有正</w:t>
      </w:r>
      <w:r>
        <w:rPr>
          <w:rFonts w:hint="eastAsia" w:eastAsia="仿宋_GB2312"/>
          <w:bCs/>
          <w:color w:val="000000"/>
          <w:kern w:val="0"/>
          <w:sz w:val="32"/>
          <w:szCs w:val="32"/>
        </w:rPr>
        <w:t>股</w:t>
      </w:r>
      <w:r>
        <w:rPr>
          <w:rFonts w:eastAsia="仿宋_GB2312"/>
          <w:bCs/>
          <w:color w:val="000000"/>
          <w:kern w:val="0"/>
          <w:sz w:val="32"/>
          <w:szCs w:val="32"/>
        </w:rPr>
        <w:t>级</w:t>
      </w:r>
      <w:r>
        <w:rPr>
          <w:rFonts w:hint="eastAsia" w:eastAsia="仿宋_GB2312"/>
          <w:bCs/>
          <w:color w:val="000000"/>
          <w:kern w:val="0"/>
          <w:sz w:val="32"/>
          <w:szCs w:val="32"/>
        </w:rPr>
        <w:t>全额拨款</w:t>
      </w:r>
      <w:r>
        <w:rPr>
          <w:rFonts w:eastAsia="仿宋_GB2312"/>
          <w:bCs/>
          <w:color w:val="000000"/>
          <w:kern w:val="0"/>
          <w:sz w:val="32"/>
          <w:szCs w:val="32"/>
        </w:rPr>
        <w:t>事业单位</w:t>
      </w:r>
      <w:r>
        <w:rPr>
          <w:rFonts w:hint="eastAsia" w:eastAsia="仿宋_GB2312"/>
          <w:bCs/>
          <w:color w:val="000000"/>
          <w:kern w:val="0"/>
          <w:sz w:val="32"/>
          <w:szCs w:val="32"/>
        </w:rPr>
        <w:t>：醴陵市社会风险评估服务中心。</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为市委政法委，本单位无下属二级预算单位。</w:t>
      </w:r>
      <w:r>
        <w:rPr>
          <w:rFonts w:eastAsia="仿宋_GB2312"/>
          <w:color w:val="000000"/>
          <w:sz w:val="32"/>
          <w:szCs w:val="32"/>
        </w:rPr>
        <w:t>收入包括一般公共预算收入</w:t>
      </w:r>
      <w:r>
        <w:rPr>
          <w:rFonts w:hint="eastAsia" w:eastAsia="仿宋_GB2312"/>
          <w:color w:val="000000"/>
          <w:sz w:val="32"/>
          <w:szCs w:val="32"/>
        </w:rPr>
        <w:t>。</w:t>
      </w:r>
      <w:r>
        <w:rPr>
          <w:rFonts w:eastAsia="仿宋_GB2312"/>
          <w:color w:val="000000"/>
          <w:sz w:val="32"/>
          <w:szCs w:val="32"/>
        </w:rPr>
        <w:t>支出既包括保障局机关及直属单位基本运行的经费，也包括归口管理、面向全市分配的专项经费</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608.51</w:t>
      </w:r>
      <w:r>
        <w:rPr>
          <w:rFonts w:eastAsia="仿宋_GB2312"/>
          <w:color w:val="000000"/>
          <w:sz w:val="32"/>
          <w:szCs w:val="32"/>
        </w:rPr>
        <w:t>万元，其中，一般公共预算拨款</w:t>
      </w:r>
      <w:r>
        <w:rPr>
          <w:rFonts w:hint="eastAsia" w:eastAsia="仿宋_GB2312"/>
          <w:color w:val="000000"/>
          <w:sz w:val="32"/>
          <w:szCs w:val="32"/>
        </w:rPr>
        <w:t>608.51</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w:t>
      </w:r>
      <w:r>
        <w:rPr>
          <w:rFonts w:hint="eastAsia" w:eastAsia="仿宋_GB2312"/>
          <w:color w:val="000000"/>
          <w:sz w:val="32"/>
          <w:szCs w:val="32"/>
        </w:rPr>
        <w:t>上</w:t>
      </w:r>
      <w:r>
        <w:rPr>
          <w:rFonts w:eastAsia="仿宋_GB2312"/>
          <w:color w:val="000000"/>
          <w:sz w:val="32"/>
          <w:szCs w:val="32"/>
        </w:rPr>
        <w:t>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608.51</w:t>
      </w:r>
      <w:r>
        <w:rPr>
          <w:rFonts w:eastAsia="仿宋_GB2312"/>
          <w:color w:val="000000"/>
          <w:sz w:val="32"/>
          <w:szCs w:val="32"/>
        </w:rPr>
        <w:t>万元，其中，一般公共服务支出</w:t>
      </w:r>
      <w:r>
        <w:rPr>
          <w:rFonts w:hint="eastAsia" w:eastAsia="仿宋_GB2312"/>
          <w:color w:val="000000"/>
          <w:sz w:val="32"/>
          <w:szCs w:val="32"/>
        </w:rPr>
        <w:t>601.23</w:t>
      </w:r>
      <w:r>
        <w:rPr>
          <w:rFonts w:eastAsia="仿宋_GB2312"/>
          <w:color w:val="000000"/>
          <w:sz w:val="32"/>
          <w:szCs w:val="32"/>
        </w:rPr>
        <w:t>万元，</w:t>
      </w:r>
      <w:r>
        <w:rPr>
          <w:rFonts w:hint="eastAsia" w:eastAsia="仿宋_GB2312"/>
          <w:color w:val="000000"/>
          <w:sz w:val="32"/>
          <w:szCs w:val="32"/>
        </w:rPr>
        <w:t>卫生健康支出7.28万元。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highlight w:val="red"/>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289.01</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319.5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涉法涉诉救助资金7</w:t>
      </w:r>
      <w:r>
        <w:rPr>
          <w:rFonts w:eastAsia="仿宋_GB2312"/>
          <w:color w:val="000000"/>
          <w:sz w:val="32"/>
          <w:szCs w:val="32"/>
        </w:rPr>
        <w:t>万元。主要用于</w:t>
      </w:r>
      <w:r>
        <w:rPr>
          <w:rFonts w:hint="eastAsia" w:eastAsia="仿宋_GB2312"/>
          <w:color w:val="000000"/>
          <w:sz w:val="32"/>
          <w:szCs w:val="32"/>
        </w:rPr>
        <w:t>指导和协调政法各部门在依法相互制约的同时密切配合，督促大案要案的查处工作，研究、协调有争议的重大、疑难案件；</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扫黑除恶</w:t>
      </w:r>
      <w:r>
        <w:rPr>
          <w:rFonts w:eastAsia="仿宋_GB2312"/>
          <w:color w:val="000000"/>
          <w:sz w:val="32"/>
          <w:szCs w:val="32"/>
        </w:rPr>
        <w:t>专项</w:t>
      </w:r>
      <w:r>
        <w:rPr>
          <w:rFonts w:hint="eastAsia" w:eastAsia="仿宋_GB2312"/>
          <w:color w:val="000000"/>
          <w:sz w:val="32"/>
          <w:szCs w:val="32"/>
        </w:rPr>
        <w:t>50</w:t>
      </w:r>
      <w:r>
        <w:rPr>
          <w:rFonts w:eastAsia="仿宋_GB2312"/>
          <w:color w:val="000000"/>
          <w:sz w:val="32"/>
          <w:szCs w:val="32"/>
        </w:rPr>
        <w:t>万元。主要用于</w:t>
      </w:r>
      <w:r>
        <w:rPr>
          <w:rFonts w:hint="eastAsia" w:eastAsia="仿宋_GB2312"/>
          <w:color w:val="000000"/>
          <w:sz w:val="32"/>
          <w:szCs w:val="32"/>
        </w:rPr>
        <w:t>鼓励公民提供黑恶势力犯罪线索，强化对黑恶势力的打击力度，调动办案单位和个人积极性，确保扫黑除恶专项斗争工作效果；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（3）反邪教警示教育宣传专项16万元。主要用于对全市进行反邪教警示教育宣传；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（4）社会综合治理专项85万元。主要用于组织贯彻落实市社会管理综合治理委员会提出的工作方针政策，指导、督促基层各单位落实综治工作措施，考核基层社会管理综合治理工作；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国安办专项20万元。主要用于指导和协调政法各部门在依法相互制约的同时密切配合，督促大案要案的查处工作，研究、协调有争议的重配合上级部门开展基础调研及相关案件侦办，对全市进行国家安全人民防线的宣传教育工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（6）民意调查专项42.50万元。主要用于进行民意调查工作的宣传，与省民调中心衔接业务工作，综治民意调查的对象的相关信息的更新、收集、维护，聘请民意调查话务员，对其进行培训上岗；</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（7）“见义勇为”基金5万元。主要用于表彰当年度的见义勇为人员，慰问往年困难的见义勇为人员；</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（8）信访维稳专项94万元。主要用于检查维护稳定情况，组织开展全市性不稳定因素的排查，贯彻落实市维稳领导小组的工作部署和要求。</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608.51</w:t>
      </w:r>
      <w:r>
        <w:rPr>
          <w:rFonts w:eastAsia="仿宋_GB2312"/>
          <w:color w:val="000000"/>
          <w:sz w:val="32"/>
          <w:szCs w:val="32"/>
        </w:rPr>
        <w:t>万元，比上年增加</w:t>
      </w:r>
      <w:r>
        <w:rPr>
          <w:rFonts w:hint="eastAsia" w:eastAsia="仿宋_GB2312"/>
          <w:color w:val="000000"/>
          <w:sz w:val="32"/>
          <w:szCs w:val="32"/>
        </w:rPr>
        <w:t>2.89</w:t>
      </w:r>
      <w:r>
        <w:rPr>
          <w:rFonts w:eastAsia="仿宋_GB2312"/>
          <w:color w:val="000000"/>
          <w:sz w:val="32"/>
          <w:szCs w:val="32"/>
        </w:rPr>
        <w:t>万元，主要原因是</w:t>
      </w:r>
      <w:r>
        <w:rPr>
          <w:rFonts w:hint="eastAsia" w:eastAsia="仿宋_GB2312"/>
          <w:color w:val="000000"/>
          <w:sz w:val="32"/>
          <w:szCs w:val="32"/>
        </w:rPr>
        <w:t>单位干部工资上涨导致基本工资增加。</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95.96</w:t>
      </w:r>
      <w:r>
        <w:rPr>
          <w:rFonts w:eastAsia="仿宋_GB2312"/>
          <w:color w:val="000000"/>
          <w:sz w:val="32"/>
          <w:szCs w:val="32"/>
        </w:rPr>
        <w:t>万元，比上年度预算减少</w:t>
      </w:r>
      <w:r>
        <w:rPr>
          <w:rFonts w:hint="eastAsia" w:eastAsia="仿宋_GB2312"/>
          <w:color w:val="000000"/>
          <w:sz w:val="32"/>
          <w:szCs w:val="32"/>
        </w:rPr>
        <w:t>1.88</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bCs/>
          <w:color w:val="000000"/>
          <w:sz w:val="32"/>
          <w:szCs w:val="32"/>
        </w:rPr>
        <w:t>为落实勤俭节约的原则，福利费减少。</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w:t>
      </w:r>
      <w:r>
        <w:rPr>
          <w:rFonts w:hint="eastAsia" w:eastAsia="楷体_GB2312"/>
          <w:bCs/>
          <w:color w:val="000000"/>
          <w:sz w:val="32"/>
          <w:szCs w:val="32"/>
        </w:rPr>
        <w:t>）</w:t>
      </w:r>
      <w:r>
        <w:rPr>
          <w:rFonts w:eastAsia="楷体_GB2312"/>
          <w:bCs/>
          <w:color w:val="000000"/>
          <w:sz w:val="32"/>
          <w:szCs w:val="32"/>
        </w:rPr>
        <w:t>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w:t>
      </w:r>
      <w:r>
        <w:rPr>
          <w:rFonts w:hint="eastAsia" w:eastAsia="楷体_GB2312"/>
          <w:bCs/>
          <w:color w:val="000000"/>
          <w:sz w:val="32"/>
          <w:szCs w:val="32"/>
        </w:rPr>
        <w:t>）</w:t>
      </w:r>
      <w:r>
        <w:rPr>
          <w:rFonts w:eastAsia="楷体_GB2312"/>
          <w:bCs/>
          <w:color w:val="000000"/>
          <w:sz w:val="32"/>
          <w:szCs w:val="32"/>
        </w:rPr>
        <w:t>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319.5</w:t>
      </w:r>
      <w:r>
        <w:rPr>
          <w:rFonts w:eastAsia="仿宋_GB2312"/>
          <w:color w:val="000000"/>
          <w:sz w:val="32"/>
          <w:szCs w:val="32"/>
        </w:rPr>
        <w:t>万元，其中，基本支出</w:t>
      </w:r>
      <w:r>
        <w:rPr>
          <w:rFonts w:hint="eastAsia" w:eastAsia="仿宋_GB2312"/>
          <w:color w:val="000000"/>
          <w:sz w:val="32"/>
          <w:szCs w:val="32"/>
        </w:rPr>
        <w:t>0</w:t>
      </w:r>
      <w:r>
        <w:rPr>
          <w:rFonts w:eastAsia="仿宋_GB2312"/>
          <w:color w:val="000000"/>
          <w:sz w:val="32"/>
          <w:szCs w:val="32"/>
        </w:rPr>
        <w:t>万元，项目支出</w:t>
      </w:r>
      <w:r>
        <w:rPr>
          <w:rFonts w:hint="eastAsia" w:eastAsia="仿宋_GB2312"/>
          <w:color w:val="000000"/>
          <w:sz w:val="32"/>
          <w:szCs w:val="32"/>
        </w:rPr>
        <w:t>319.5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w:t>
      </w:r>
      <w:r>
        <w:rPr>
          <w:rFonts w:eastAsia="仿宋_GB2312"/>
          <w:color w:val="000000"/>
          <w:sz w:val="32"/>
          <w:szCs w:val="32"/>
        </w:rPr>
        <w:t>万元，其中：公务接待费</w:t>
      </w:r>
      <w:r>
        <w:rPr>
          <w:rFonts w:hint="eastAsia" w:eastAsia="仿宋_GB2312"/>
          <w:color w:val="000000"/>
          <w:sz w:val="32"/>
          <w:szCs w:val="32"/>
        </w:rPr>
        <w:t>2</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跟</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持平。</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3.2</w:t>
      </w:r>
      <w:r>
        <w:rPr>
          <w:rFonts w:eastAsia="仿宋_GB2312"/>
          <w:color w:val="000000"/>
          <w:sz w:val="32"/>
          <w:szCs w:val="32"/>
        </w:rPr>
        <w:t>万元，主要</w:t>
      </w:r>
      <w:r>
        <w:rPr>
          <w:rFonts w:hint="eastAsia" w:eastAsia="仿宋_GB2312"/>
          <w:color w:val="000000"/>
          <w:sz w:val="32"/>
          <w:szCs w:val="32"/>
        </w:rPr>
        <w:t>政法队伍教育整顿会议</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pPr>
      <w:r>
        <w:rPr>
          <w:rFonts w:hint="eastAsia" w:eastAsia="仿宋_GB2312"/>
          <w:sz w:val="32"/>
          <w:szCs w:val="32"/>
        </w:rPr>
        <w:t xml:space="preserve"> 本单位2021年预算未安排政府性基金收入预算、纳入专户管理的非税收入拨款部门收入预算。</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841CC"/>
    <w:multiLevelType w:val="singleLevel"/>
    <w:tmpl w:val="8B4841CC"/>
    <w:lvl w:ilvl="0" w:tentative="0">
      <w:start w:val="1"/>
      <w:numFmt w:val="chineseCounting"/>
      <w:suff w:val="space"/>
      <w:lvlText w:val="%1、"/>
      <w:lvlJc w:val="left"/>
      <w:rPr>
        <w:rFonts w:hint="eastAsia"/>
      </w:rPr>
    </w:lvl>
  </w:abstractNum>
  <w:abstractNum w:abstractNumId="1">
    <w:nsid w:val="F5FA7A87"/>
    <w:multiLevelType w:val="singleLevel"/>
    <w:tmpl w:val="F5FA7A8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3129B7"/>
    <w:rsid w:val="00323B43"/>
    <w:rsid w:val="003D37D8"/>
    <w:rsid w:val="004358AB"/>
    <w:rsid w:val="00443115"/>
    <w:rsid w:val="005553BA"/>
    <w:rsid w:val="0057148F"/>
    <w:rsid w:val="006464CA"/>
    <w:rsid w:val="0077734D"/>
    <w:rsid w:val="00883D42"/>
    <w:rsid w:val="008B7726"/>
    <w:rsid w:val="00B13902"/>
    <w:rsid w:val="00B221AD"/>
    <w:rsid w:val="00CB1E75"/>
    <w:rsid w:val="00D84058"/>
    <w:rsid w:val="00E315E9"/>
    <w:rsid w:val="143B0446"/>
    <w:rsid w:val="15F1568F"/>
    <w:rsid w:val="21706CF0"/>
    <w:rsid w:val="21D50FFD"/>
    <w:rsid w:val="2276194E"/>
    <w:rsid w:val="234819E3"/>
    <w:rsid w:val="3DBF79C6"/>
    <w:rsid w:val="42952296"/>
    <w:rsid w:val="4C064D5A"/>
    <w:rsid w:val="4C103E02"/>
    <w:rsid w:val="4EBC1B2C"/>
    <w:rsid w:val="53E84AD2"/>
    <w:rsid w:val="59014A55"/>
    <w:rsid w:val="628018A5"/>
    <w:rsid w:val="6A85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FABA-2518-4EC5-A98F-8875D734966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3490</Words>
  <Characters>3648</Characters>
  <Lines>2</Lines>
  <Paragraphs>7</Paragraphs>
  <TotalTime>1</TotalTime>
  <ScaleCrop>false</ScaleCrop>
  <LinksUpToDate>false</LinksUpToDate>
  <CharactersWithSpaces>3661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2022-09-13T01:30:40Z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2F4712EEA74141DA8983174D1013622A</vt:lpwstr>
  </property>
</Properties>
</file>