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eastAsia="黑体"/>
          <w:sz w:val="32"/>
          <w:szCs w:val="32"/>
        </w:rPr>
        <w:t>附件1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w:t>
      </w:r>
      <w:r>
        <w:rPr>
          <w:rFonts w:hint="eastAsia" w:eastAsia="方正小标宋简体"/>
          <w:bCs/>
          <w:color w:val="000000"/>
          <w:sz w:val="44"/>
          <w:szCs w:val="44"/>
          <w:lang w:eastAsia="zh-CN"/>
        </w:rPr>
        <w:t>浦口</w:t>
      </w:r>
      <w:r>
        <w:rPr>
          <w:rFonts w:hint="eastAsia" w:eastAsia="方正小标宋简体"/>
          <w:bCs/>
          <w:color w:val="000000"/>
          <w:sz w:val="44"/>
          <w:szCs w:val="44"/>
        </w:rPr>
        <w:t>镇</w:t>
      </w: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eastAsia="黑体"/>
          <w:bCs/>
          <w:sz w:val="32"/>
          <w:szCs w:val="32"/>
        </w:rPr>
        <w:t>部门预算公开信息目录</w:t>
      </w:r>
    </w:p>
    <w:p>
      <w:pPr>
        <w:numPr>
          <w:ilvl w:val="0"/>
          <w:numId w:val="1"/>
        </w:numPr>
        <w:tabs>
          <w:tab w:val="left" w:pos="7560"/>
        </w:tabs>
        <w:adjustRightInd w:val="0"/>
        <w:snapToGrid w:val="0"/>
        <w:spacing w:line="560" w:lineRule="exact"/>
        <w:ind w:left="0" w:firstLine="640" w:firstLineChars="200"/>
        <w:jc w:val="left"/>
        <w:rPr>
          <w:rFonts w:eastAsia="仿宋_GB2312"/>
          <w:sz w:val="32"/>
          <w:szCs w:val="32"/>
        </w:rPr>
      </w:pPr>
      <w:r>
        <w:rPr>
          <w:rFonts w:eastAsia="仿宋_GB2312"/>
          <w:sz w:val="32"/>
          <w:szCs w:val="32"/>
        </w:rPr>
        <w:t>部门职能职责</w:t>
      </w:r>
    </w:p>
    <w:p>
      <w:pPr>
        <w:numPr>
          <w:ilvl w:val="0"/>
          <w:numId w:val="1"/>
        </w:numPr>
        <w:tabs>
          <w:tab w:val="left" w:pos="7560"/>
        </w:tabs>
        <w:adjustRightInd w:val="0"/>
        <w:snapToGrid w:val="0"/>
        <w:spacing w:line="560" w:lineRule="exact"/>
        <w:ind w:left="0" w:firstLine="640" w:firstLineChars="200"/>
        <w:jc w:val="left"/>
        <w:rPr>
          <w:rFonts w:eastAsia="仿宋_GB2312"/>
          <w:sz w:val="32"/>
          <w:szCs w:val="32"/>
        </w:rPr>
      </w:pPr>
      <w:r>
        <w:rPr>
          <w:rFonts w:eastAsia="仿宋_GB2312"/>
          <w:sz w:val="32"/>
          <w:szCs w:val="32"/>
        </w:rPr>
        <w:t>机构设置</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（五）“三公”经费预算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（一）部门收支总表</w:t>
      </w:r>
    </w:p>
    <w:p>
      <w:pPr>
        <w:tabs>
          <w:tab w:val="left" w:pos="7560"/>
        </w:tabs>
        <w:adjustRightInd w:val="0"/>
        <w:snapToGrid w:val="0"/>
        <w:spacing w:line="560" w:lineRule="exact"/>
        <w:ind w:firstLine="640" w:firstLineChars="200"/>
        <w:jc w:val="left"/>
        <w:rPr>
          <w:rFonts w:hint="eastAsia" w:eastAsia="仿宋_GB2312"/>
          <w:sz w:val="32"/>
          <w:szCs w:val="32"/>
          <w:lang w:eastAsia="zh-CN"/>
        </w:rPr>
      </w:pPr>
      <w:r>
        <w:rPr>
          <w:rFonts w:eastAsia="仿宋_GB2312"/>
          <w:sz w:val="32"/>
          <w:szCs w:val="32"/>
        </w:rPr>
        <w:t>（二）部门收入总表</w:t>
      </w:r>
      <w:r>
        <w:rPr>
          <w:rFonts w:hint="eastAsia" w:eastAsia="仿宋_GB2312"/>
          <w:sz w:val="32"/>
          <w:szCs w:val="32"/>
          <w:lang w:val="en-US" w:eastAsia="zh-CN"/>
        </w:rPr>
        <w:t xml:space="preserve"> 3                                                                                                                                                                                                                                                                                                                                                                                                                                                                                                                                                                                                                                                                                                                                                                                                                                                                                                                                                                                                                                                                                                                                                                                                                                                                                                                                                                                                                                                                                                                                                                                                                                                                                                                                                                                                                                                                                                                                                                                                                                                                                                                                                                                                                                                                                                                                                                                                                                                                                                                                                                                                                                                                                                                                                                                                                                                                                                                                                                                                                                                                                                                                                                                                                                                                                                                                                                                                                                                                                                                                                                                                                                                  </w:t>
      </w:r>
      <w:r>
        <w:rPr>
          <w:rFonts w:eastAsia="仿宋_GB2312"/>
          <w:sz w:val="32"/>
          <w:szCs w:val="32"/>
          <w:lang w:eastAsia="zh-CN"/>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（五）部门支出分类(政府预算)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（六）基本-工资福利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（七）工资福利(政府预算)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（八）基本-一般商品服务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（九）商品服务(政府预算)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（十）基本-个人和家庭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（十一）个人家庭(政府预算)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（十五）一般-工资福利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（十六）工资福利(政府预算)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（十七）一般-一般商品服务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（十八）商品服务(政府预算)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（十九）一般-个人和家庭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（二十）个人家庭(政府预算)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（二十二）政府性基金(政府预算)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（二十四）专户(政府预算)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（二十六）经费拨款预算表(政府预算)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（二十八）一般公共预算“三公”经费预算表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eastAsia="黑体"/>
          <w:sz w:val="32"/>
          <w:szCs w:val="32"/>
        </w:rPr>
        <w:t>一、 部门职能职责</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1、负责党的路线、方针、政策和国家法律、法规在本行政区域内的宣传、贯彻、落实。加强基层党组织和政权建设，为本地区经济的发展和社会稳定提供政治、社会环境和组织保证。</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2、负责制定本行政区域内经济建设和各项社会事业发展的规划，并组织实施。负责本行政区域内的民主与法制建设工作，维护和保障公民的各项合法权利。</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3、负责本片区党委、政府、人大、政协联络工委、纪律委员会、人民武装及共青团、妇联等群团组织的日常工作。</w:t>
      </w:r>
    </w:p>
    <w:p>
      <w:pPr>
        <w:widowControl/>
        <w:spacing w:line="600" w:lineRule="exact"/>
        <w:ind w:firstLine="640"/>
        <w:jc w:val="left"/>
        <w:rPr>
          <w:rFonts w:eastAsia="仿宋_GB2312"/>
          <w:bCs/>
          <w:color w:val="000000"/>
          <w:kern w:val="0"/>
          <w:sz w:val="32"/>
          <w:szCs w:val="32"/>
        </w:rPr>
      </w:pPr>
      <w:r>
        <w:rPr>
          <w:rFonts w:eastAsia="仿宋_GB2312"/>
          <w:bCs/>
          <w:color w:val="000000"/>
          <w:kern w:val="0"/>
          <w:sz w:val="32"/>
          <w:szCs w:val="32"/>
        </w:rPr>
        <w:t>4、负责完成上级机关交办的其他工作任务。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bCs/>
          <w:color w:val="000000"/>
          <w:sz w:val="32"/>
          <w:szCs w:val="32"/>
        </w:rPr>
        <w:t> </w:t>
      </w:r>
      <w:r>
        <w:rPr>
          <w:rFonts w:eastAsia="仿宋_GB2312"/>
          <w:color w:val="000000"/>
          <w:sz w:val="32"/>
          <w:szCs w:val="32"/>
        </w:rPr>
        <w:t xml:space="preserve">本部门共有编制人数 </w:t>
      </w:r>
      <w:r>
        <w:rPr>
          <w:rFonts w:hint="eastAsia" w:eastAsia="仿宋_GB2312"/>
          <w:color w:val="000000"/>
          <w:sz w:val="32"/>
          <w:szCs w:val="32"/>
          <w:lang w:val="en-US" w:eastAsia="zh-CN"/>
        </w:rPr>
        <w:t>60</w:t>
      </w:r>
      <w:r>
        <w:rPr>
          <w:rFonts w:eastAsia="仿宋_GB2312"/>
          <w:color w:val="000000"/>
          <w:sz w:val="32"/>
          <w:szCs w:val="32"/>
        </w:rPr>
        <w:t xml:space="preserve">人，实有人数 </w:t>
      </w:r>
      <w:r>
        <w:rPr>
          <w:rFonts w:hint="eastAsia" w:eastAsia="仿宋_GB2312"/>
          <w:color w:val="000000"/>
          <w:sz w:val="32"/>
          <w:szCs w:val="32"/>
          <w:lang w:val="en-US" w:eastAsia="zh-CN"/>
        </w:rPr>
        <w:t>60</w:t>
      </w:r>
      <w:r>
        <w:rPr>
          <w:rFonts w:eastAsia="仿宋_GB2312"/>
          <w:color w:val="000000"/>
          <w:sz w:val="32"/>
          <w:szCs w:val="32"/>
        </w:rPr>
        <w:t xml:space="preserve">人。内设股室 </w:t>
      </w:r>
      <w:r>
        <w:rPr>
          <w:rFonts w:hint="eastAsia" w:eastAsia="仿宋_GB2312"/>
          <w:color w:val="000000"/>
          <w:sz w:val="32"/>
          <w:szCs w:val="32"/>
          <w:lang w:val="en-US" w:eastAsia="zh-CN"/>
        </w:rPr>
        <w:t>1</w:t>
      </w:r>
      <w:r>
        <w:rPr>
          <w:rFonts w:eastAsia="仿宋_GB2312"/>
          <w:color w:val="000000"/>
          <w:sz w:val="32"/>
          <w:szCs w:val="32"/>
        </w:rPr>
        <w:t>个，</w:t>
      </w:r>
      <w:r>
        <w:rPr>
          <w:rFonts w:hint="eastAsia" w:eastAsia="仿宋_GB2312"/>
          <w:color w:val="000000"/>
          <w:sz w:val="32"/>
          <w:szCs w:val="32"/>
          <w:lang w:eastAsia="zh-CN"/>
        </w:rPr>
        <w:t>醴陵市浦口镇人民政府。</w:t>
      </w:r>
      <w:r>
        <w:rPr>
          <w:rFonts w:hint="eastAsia" w:ascii="仿宋" w:eastAsia="仿宋" w:cs="仿宋"/>
          <w:bCs/>
          <w:color w:val="000000"/>
          <w:kern w:val="0"/>
          <w:sz w:val="32"/>
          <w:szCs w:val="32"/>
          <w:lang w:eastAsia="zh-CN"/>
        </w:rPr>
        <w:t>本单位无下属二级预算单位。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三、 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镇政府，</w:t>
      </w:r>
      <w:r>
        <w:rPr>
          <w:rFonts w:eastAsia="仿宋_GB2312"/>
          <w:bCs/>
          <w:color w:val="000000"/>
          <w:sz w:val="32"/>
          <w:szCs w:val="32"/>
        </w:rPr>
        <w:t>无下属二级预算单位</w:t>
      </w:r>
      <w:r>
        <w:rPr>
          <w:rFonts w:eastAsia="仿宋_GB2312"/>
          <w:color w:val="000000"/>
          <w:sz w:val="32"/>
          <w:szCs w:val="32"/>
        </w:rPr>
        <w:t>。收入包括一般公共预算收入、政府性基金收入；支出</w:t>
      </w:r>
      <w:r>
        <w:rPr>
          <w:rFonts w:hint="eastAsia" w:eastAsia="仿宋_GB2312"/>
          <w:color w:val="000000"/>
          <w:sz w:val="32"/>
          <w:szCs w:val="32"/>
        </w:rPr>
        <w:t>是</w:t>
      </w:r>
      <w:r>
        <w:rPr>
          <w:rFonts w:eastAsia="仿宋_GB2312"/>
          <w:color w:val="000000"/>
          <w:sz w:val="32"/>
          <w:szCs w:val="32"/>
        </w:rPr>
        <w:t>保障</w:t>
      </w:r>
      <w:r>
        <w:rPr>
          <w:rFonts w:hint="eastAsia" w:eastAsia="仿宋_GB2312"/>
          <w:color w:val="000000"/>
          <w:sz w:val="32"/>
          <w:szCs w:val="32"/>
        </w:rPr>
        <w:t>镇政府</w:t>
      </w:r>
      <w:r>
        <w:rPr>
          <w:rFonts w:eastAsia="仿宋_GB2312"/>
          <w:color w:val="000000"/>
          <w:sz w:val="32"/>
          <w:szCs w:val="32"/>
        </w:rPr>
        <w:t>基本运行的经费。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389.24</w:t>
      </w:r>
      <w:r>
        <w:rPr>
          <w:rFonts w:eastAsia="仿宋_GB2312"/>
          <w:color w:val="000000"/>
          <w:sz w:val="32"/>
          <w:szCs w:val="32"/>
        </w:rPr>
        <w:t>万元，其中，一般公共预算拨款</w:t>
      </w:r>
      <w:r>
        <w:rPr>
          <w:rFonts w:hint="eastAsia" w:eastAsia="仿宋_GB2312"/>
          <w:color w:val="000000"/>
          <w:sz w:val="32"/>
          <w:szCs w:val="32"/>
          <w:lang w:val="en-US" w:eastAsia="zh-CN"/>
        </w:rPr>
        <w:t>389.24</w:t>
      </w:r>
      <w:r>
        <w:rPr>
          <w:rFonts w:eastAsia="仿宋_GB2312"/>
          <w:color w:val="000000"/>
          <w:sz w:val="32"/>
          <w:szCs w:val="32"/>
        </w:rPr>
        <w:t>万元；政府性基金拨款</w:t>
      </w:r>
      <w:r>
        <w:rPr>
          <w:rFonts w:hint="eastAsia" w:eastAsia="仿宋_GB2312"/>
          <w:color w:val="000000"/>
          <w:sz w:val="32"/>
          <w:szCs w:val="32"/>
          <w:lang w:val="en-US" w:eastAsia="zh-CN"/>
        </w:rPr>
        <w:t>0</w:t>
      </w:r>
      <w:r>
        <w:rPr>
          <w:rFonts w:eastAsia="仿宋_GB2312"/>
          <w:color w:val="000000"/>
          <w:sz w:val="32"/>
          <w:szCs w:val="32"/>
        </w:rPr>
        <w:t>万元；财政专户管理的非税收入拨款</w:t>
      </w:r>
      <w:r>
        <w:rPr>
          <w:rFonts w:hint="eastAsia" w:eastAsia="仿宋_GB2312"/>
          <w:color w:val="000000"/>
          <w:sz w:val="32"/>
          <w:szCs w:val="32"/>
          <w:lang w:val="en-US" w:eastAsia="zh-CN"/>
        </w:rPr>
        <w:t>0</w:t>
      </w:r>
      <w:r>
        <w:rPr>
          <w:rFonts w:eastAsia="仿宋_GB2312"/>
          <w:color w:val="000000"/>
          <w:sz w:val="32"/>
          <w:szCs w:val="32"/>
        </w:rPr>
        <w:t>万元；其他收入</w:t>
      </w:r>
      <w:r>
        <w:rPr>
          <w:rFonts w:hint="eastAsia" w:eastAsia="仿宋_GB2312"/>
          <w:color w:val="000000"/>
          <w:sz w:val="32"/>
          <w:szCs w:val="32"/>
          <w:lang w:val="en-US" w:eastAsia="zh-CN"/>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389.24</w:t>
      </w:r>
      <w:r>
        <w:rPr>
          <w:rFonts w:eastAsia="仿宋_GB2312"/>
          <w:color w:val="000000"/>
          <w:sz w:val="32"/>
          <w:szCs w:val="32"/>
        </w:rPr>
        <w:t>万元，其中，一般公共服务支出</w:t>
      </w:r>
      <w:r>
        <w:rPr>
          <w:rFonts w:hint="eastAsia" w:eastAsia="仿宋_GB2312"/>
          <w:color w:val="000000"/>
          <w:sz w:val="32"/>
          <w:szCs w:val="32"/>
          <w:lang w:val="en-US" w:eastAsia="zh-CN"/>
        </w:rPr>
        <w:t>374.05</w:t>
      </w:r>
      <w:r>
        <w:rPr>
          <w:rFonts w:eastAsia="仿宋_GB2312"/>
          <w:color w:val="000000"/>
          <w:sz w:val="32"/>
          <w:szCs w:val="32"/>
        </w:rPr>
        <w:t>万元，</w:t>
      </w:r>
      <w:r>
        <w:rPr>
          <w:rFonts w:hint="eastAsia" w:eastAsia="仿宋_GB2312"/>
          <w:color w:val="000000"/>
          <w:sz w:val="32"/>
          <w:szCs w:val="32"/>
          <w:lang w:eastAsia="zh-CN"/>
        </w:rPr>
        <w:t>卫生健康支出</w:t>
      </w:r>
      <w:r>
        <w:rPr>
          <w:rFonts w:hint="eastAsia" w:eastAsia="仿宋_GB2312"/>
          <w:color w:val="000000"/>
          <w:sz w:val="32"/>
          <w:szCs w:val="32"/>
          <w:lang w:val="en-US" w:eastAsia="zh-CN"/>
        </w:rPr>
        <w:t>15.13</w:t>
      </w:r>
      <w:r>
        <w:rPr>
          <w:rFonts w:eastAsia="仿宋_GB2312"/>
          <w:color w:val="000000"/>
          <w:sz w:val="32"/>
          <w:szCs w:val="32"/>
        </w:rPr>
        <w:t>万元，</w:t>
      </w:r>
      <w:r>
        <w:rPr>
          <w:rFonts w:hint="eastAsia" w:eastAsia="仿宋_GB2312"/>
          <w:color w:val="000000"/>
          <w:sz w:val="32"/>
          <w:szCs w:val="32"/>
          <w:lang w:eastAsia="zh-CN"/>
        </w:rPr>
        <w:t>农林水支出</w:t>
      </w:r>
      <w:r>
        <w:rPr>
          <w:rFonts w:hint="eastAsia" w:eastAsia="仿宋_GB2312"/>
          <w:color w:val="000000"/>
          <w:sz w:val="32"/>
          <w:szCs w:val="32"/>
          <w:lang w:val="en-US" w:eastAsia="zh-CN"/>
        </w:rPr>
        <w:t>0.06</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389.24</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0" w:name="_GoBack"/>
      <w:bookmarkEnd w:id="0"/>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lang w:val="en-US" w:eastAsia="zh-CN"/>
        </w:rPr>
        <w:t>389.24</w:t>
      </w:r>
      <w:r>
        <w:rPr>
          <w:rFonts w:eastAsia="仿宋_GB2312"/>
          <w:color w:val="000000"/>
          <w:sz w:val="32"/>
          <w:szCs w:val="32"/>
        </w:rPr>
        <w:t>万元，比上年增加</w:t>
      </w:r>
      <w:r>
        <w:rPr>
          <w:rFonts w:hint="eastAsia" w:eastAsia="仿宋_GB2312"/>
          <w:color w:val="000000"/>
          <w:sz w:val="32"/>
          <w:szCs w:val="32"/>
          <w:lang w:val="en-US" w:eastAsia="zh-CN"/>
        </w:rPr>
        <w:t>24.69</w:t>
      </w:r>
      <w:r>
        <w:rPr>
          <w:rFonts w:eastAsia="仿宋_GB2312"/>
          <w:color w:val="000000"/>
          <w:sz w:val="32"/>
          <w:szCs w:val="32"/>
        </w:rPr>
        <w:t>万元，主要原因是因人员增加，造成人员经费和运转经费上涨</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lang w:val="en-US" w:eastAsia="zh-CN"/>
        </w:rPr>
        <w:t>81.67</w:t>
      </w:r>
      <w:r>
        <w:rPr>
          <w:rFonts w:eastAsia="仿宋_GB2312"/>
          <w:color w:val="000000"/>
          <w:sz w:val="32"/>
          <w:szCs w:val="32"/>
        </w:rPr>
        <w:t>万元，比上年度预算增加</w:t>
      </w:r>
      <w:r>
        <w:rPr>
          <w:rFonts w:hint="eastAsia" w:eastAsia="仿宋_GB2312"/>
          <w:color w:val="000000"/>
          <w:sz w:val="32"/>
          <w:szCs w:val="32"/>
          <w:lang w:val="en-US" w:eastAsia="zh-CN"/>
        </w:rPr>
        <w:t>2.54</w:t>
      </w:r>
      <w:r>
        <w:rPr>
          <w:rFonts w:eastAsia="仿宋_GB2312"/>
          <w:color w:val="000000"/>
          <w:sz w:val="32"/>
          <w:szCs w:val="32"/>
        </w:rPr>
        <w:t>万元，</w:t>
      </w:r>
      <w:r>
        <w:rPr>
          <w:rFonts w:eastAsia="仿宋_GB2312"/>
          <w:bCs/>
          <w:color w:val="000000"/>
          <w:sz w:val="32"/>
          <w:szCs w:val="32"/>
        </w:rPr>
        <w:t>增加的主要原因是：</w:t>
      </w:r>
      <w:r>
        <w:rPr>
          <w:rFonts w:eastAsia="仿宋_GB2312"/>
          <w:color w:val="000000"/>
          <w:sz w:val="32"/>
          <w:szCs w:val="32"/>
        </w:rPr>
        <w:t>因人员增加，造成</w:t>
      </w:r>
      <w:r>
        <w:rPr>
          <w:rFonts w:hint="eastAsia" w:eastAsia="仿宋_GB2312"/>
          <w:color w:val="000000"/>
          <w:sz w:val="32"/>
          <w:szCs w:val="32"/>
          <w:lang w:eastAsia="zh-CN"/>
        </w:rPr>
        <w:t>机关</w:t>
      </w:r>
      <w:r>
        <w:rPr>
          <w:rFonts w:eastAsia="仿宋_GB2312"/>
          <w:color w:val="000000"/>
          <w:sz w:val="32"/>
          <w:szCs w:val="32"/>
        </w:rPr>
        <w:t>运转经费上涨</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50</w:t>
      </w:r>
      <w:r>
        <w:rPr>
          <w:rFonts w:eastAsia="仿宋_GB2312"/>
          <w:color w:val="000000"/>
          <w:sz w:val="32"/>
          <w:szCs w:val="32"/>
        </w:rPr>
        <w:t>万元。包含：</w:t>
      </w:r>
      <w:r>
        <w:rPr>
          <w:rFonts w:hint="eastAsia" w:ascii="Times New Roman" w:hAnsi="Times New Roman" w:eastAsia="仿宋_GB2312" w:cs="Times New Roman"/>
          <w:color w:val="000000"/>
          <w:sz w:val="32"/>
          <w:szCs w:val="32"/>
        </w:rPr>
        <w:t>政府采购货物</w:t>
      </w:r>
      <w:r>
        <w:rPr>
          <w:rFonts w:hint="eastAsia"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rPr>
        <w:t>万元、购买物业管理服务</w:t>
      </w:r>
      <w:r>
        <w:rPr>
          <w:rFonts w:hint="eastAsia" w:ascii="Times New Roman" w:hAnsi="Times New Roman" w:eastAsia="仿宋_GB2312" w:cs="Times New Roman"/>
          <w:color w:val="000000"/>
          <w:sz w:val="32"/>
          <w:szCs w:val="32"/>
          <w:lang w:val="en-US" w:eastAsia="zh-CN"/>
        </w:rPr>
        <w:t>44</w:t>
      </w:r>
      <w:r>
        <w:rPr>
          <w:rFonts w:hint="eastAsia" w:ascii="Times New Roman" w:hAnsi="Times New Roman" w:eastAsia="仿宋_GB2312" w:cs="Times New Roman"/>
          <w:color w:val="000000"/>
          <w:sz w:val="32"/>
          <w:szCs w:val="32"/>
        </w:rPr>
        <w:t>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 xml:space="preserve">年12月31日，本部门共有办公及业务用房 </w:t>
      </w:r>
      <w:r>
        <w:rPr>
          <w:rFonts w:hint="eastAsia" w:eastAsia="仿宋_GB2312"/>
          <w:color w:val="000000"/>
          <w:sz w:val="32"/>
          <w:szCs w:val="32"/>
          <w:lang w:val="en-US" w:eastAsia="zh-CN"/>
        </w:rPr>
        <w:t>1329</w:t>
      </w:r>
      <w:r>
        <w:rPr>
          <w:rFonts w:eastAsia="仿宋_GB2312"/>
          <w:color w:val="000000"/>
          <w:sz w:val="32"/>
          <w:szCs w:val="32"/>
        </w:rPr>
        <w:t xml:space="preserve">平方米；车辆 </w:t>
      </w:r>
      <w:r>
        <w:rPr>
          <w:rFonts w:hint="eastAsia" w:eastAsia="仿宋_GB2312"/>
          <w:color w:val="000000"/>
          <w:sz w:val="32"/>
          <w:szCs w:val="32"/>
          <w:lang w:val="en-US" w:eastAsia="zh-CN"/>
        </w:rPr>
        <w:t>0</w:t>
      </w:r>
      <w:r>
        <w:rPr>
          <w:rFonts w:eastAsia="仿宋_GB2312"/>
          <w:color w:val="000000"/>
          <w:sz w:val="32"/>
          <w:szCs w:val="32"/>
        </w:rPr>
        <w:t>辆，其中一般公务用车</w:t>
      </w:r>
      <w:r>
        <w:rPr>
          <w:rFonts w:hint="eastAsia" w:eastAsia="仿宋_GB2312"/>
          <w:color w:val="000000"/>
          <w:sz w:val="32"/>
          <w:szCs w:val="32"/>
          <w:lang w:val="en-US" w:eastAsia="zh-CN"/>
        </w:rPr>
        <w:t>0</w:t>
      </w:r>
      <w:r>
        <w:rPr>
          <w:rFonts w:eastAsia="仿宋_GB2312"/>
          <w:color w:val="000000"/>
          <w:sz w:val="32"/>
          <w:szCs w:val="32"/>
        </w:rPr>
        <w:t>辆、一般执法执勤用车</w:t>
      </w:r>
      <w:r>
        <w:rPr>
          <w:rFonts w:hint="eastAsia" w:eastAsia="仿宋_GB2312"/>
          <w:color w:val="000000"/>
          <w:sz w:val="32"/>
          <w:szCs w:val="32"/>
          <w:lang w:val="en-US" w:eastAsia="zh-CN"/>
        </w:rPr>
        <w:t>0</w:t>
      </w:r>
      <w:r>
        <w:rPr>
          <w:rFonts w:eastAsia="仿宋_GB2312"/>
          <w:color w:val="000000"/>
          <w:sz w:val="32"/>
          <w:szCs w:val="32"/>
        </w:rPr>
        <w:t>辆、货币化用车</w:t>
      </w:r>
      <w:r>
        <w:rPr>
          <w:rFonts w:hint="eastAsia" w:eastAsia="仿宋_GB2312"/>
          <w:color w:val="000000"/>
          <w:sz w:val="32"/>
          <w:szCs w:val="32"/>
          <w:lang w:val="en-US" w:eastAsia="zh-CN"/>
        </w:rPr>
        <w:t>0</w:t>
      </w:r>
      <w:r>
        <w:rPr>
          <w:rFonts w:eastAsia="仿宋_GB2312"/>
          <w:color w:val="000000"/>
          <w:sz w:val="32"/>
          <w:szCs w:val="32"/>
        </w:rPr>
        <w:t>辆；单位价值200万以上大型设备</w:t>
      </w:r>
      <w:r>
        <w:rPr>
          <w:rFonts w:hint="eastAsia" w:eastAsia="仿宋_GB2312"/>
          <w:color w:val="000000"/>
          <w:sz w:val="32"/>
          <w:szCs w:val="32"/>
          <w:lang w:val="en-US" w:eastAsia="zh-CN"/>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lang w:val="en-US" w:eastAsia="zh-CN"/>
        </w:rPr>
        <w:t>0</w:t>
      </w:r>
      <w:r>
        <w:rPr>
          <w:rFonts w:eastAsia="仿宋_GB2312"/>
          <w:color w:val="000000"/>
          <w:sz w:val="32"/>
          <w:szCs w:val="32"/>
        </w:rPr>
        <w:t>辆，预算安排购置价值200万以上大型设备</w:t>
      </w:r>
      <w:r>
        <w:rPr>
          <w:rFonts w:hint="eastAsia" w:eastAsia="仿宋_GB2312"/>
          <w:color w:val="000000"/>
          <w:sz w:val="32"/>
          <w:szCs w:val="32"/>
          <w:lang w:val="en-US" w:eastAsia="zh-CN"/>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lang w:val="en-US" w:eastAsia="zh-CN"/>
        </w:rPr>
        <w:t>389.24</w:t>
      </w:r>
      <w:r>
        <w:rPr>
          <w:rFonts w:eastAsia="仿宋_GB2312"/>
          <w:color w:val="000000"/>
          <w:sz w:val="32"/>
          <w:szCs w:val="32"/>
        </w:rPr>
        <w:t>万元，其中，基本支出</w:t>
      </w:r>
      <w:r>
        <w:rPr>
          <w:rFonts w:hint="eastAsia" w:eastAsia="仿宋_GB2312"/>
          <w:color w:val="000000"/>
          <w:sz w:val="32"/>
          <w:szCs w:val="32"/>
          <w:lang w:val="en-US" w:eastAsia="zh-CN"/>
        </w:rPr>
        <w:t>389.24</w:t>
      </w:r>
      <w:r>
        <w:rPr>
          <w:rFonts w:eastAsia="仿宋_GB2312"/>
          <w:color w:val="000000"/>
          <w:sz w:val="32"/>
          <w:szCs w:val="32"/>
        </w:rPr>
        <w:t xml:space="preserve">万元，项目支出   </w:t>
      </w:r>
      <w:r>
        <w:rPr>
          <w:rFonts w:hint="eastAsia" w:eastAsia="仿宋_GB2312"/>
          <w:color w:val="000000"/>
          <w:sz w:val="32"/>
          <w:szCs w:val="32"/>
          <w:lang w:val="en-US" w:eastAsia="zh-CN"/>
        </w:rPr>
        <w:t>0</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hint="eastAsia" w:eastAsia="仿宋_GB2312"/>
          <w:b/>
          <w:bCs/>
          <w:color w:val="000000"/>
          <w:sz w:val="32"/>
          <w:szCs w:val="32"/>
          <w:lang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lang w:val="en-US" w:eastAsia="zh-CN"/>
        </w:rPr>
        <w:t>10</w:t>
      </w:r>
      <w:r>
        <w:rPr>
          <w:rFonts w:eastAsia="仿宋_GB2312"/>
          <w:color w:val="000000"/>
          <w:sz w:val="32"/>
          <w:szCs w:val="32"/>
        </w:rPr>
        <w:t>万元，其中：公务接待费</w:t>
      </w:r>
      <w:r>
        <w:rPr>
          <w:rFonts w:hint="eastAsia" w:eastAsia="仿宋_GB2312"/>
          <w:color w:val="000000"/>
          <w:sz w:val="32"/>
          <w:szCs w:val="32"/>
          <w:lang w:val="en-US" w:eastAsia="zh-CN"/>
        </w:rPr>
        <w:t>10</w:t>
      </w:r>
      <w:r>
        <w:rPr>
          <w:rFonts w:eastAsia="仿宋_GB2312"/>
          <w:color w:val="000000"/>
          <w:sz w:val="32"/>
          <w:szCs w:val="32"/>
        </w:rPr>
        <w:t>万元、公务用车购置费</w:t>
      </w:r>
      <w:r>
        <w:rPr>
          <w:rFonts w:hint="eastAsia" w:eastAsia="仿宋_GB2312"/>
          <w:color w:val="000000"/>
          <w:sz w:val="32"/>
          <w:szCs w:val="32"/>
          <w:lang w:val="en-US" w:eastAsia="zh-CN"/>
        </w:rPr>
        <w:t>0</w:t>
      </w:r>
      <w:r>
        <w:rPr>
          <w:rFonts w:eastAsia="仿宋_GB2312"/>
          <w:color w:val="000000"/>
          <w:sz w:val="32"/>
          <w:szCs w:val="32"/>
        </w:rPr>
        <w:t>万元，公务用车运行费</w:t>
      </w:r>
      <w:r>
        <w:rPr>
          <w:rFonts w:hint="eastAsia" w:eastAsia="仿宋_GB2312"/>
          <w:color w:val="000000"/>
          <w:sz w:val="32"/>
          <w:szCs w:val="32"/>
          <w:lang w:val="en-US" w:eastAsia="zh-CN"/>
        </w:rPr>
        <w:t>0</w:t>
      </w:r>
      <w:r>
        <w:rPr>
          <w:rFonts w:eastAsia="仿宋_GB2312"/>
          <w:color w:val="000000"/>
          <w:sz w:val="32"/>
          <w:szCs w:val="32"/>
        </w:rPr>
        <w:t>万元、因公出国（境）费</w:t>
      </w:r>
      <w:r>
        <w:rPr>
          <w:rFonts w:hint="eastAsia" w:eastAsia="仿宋_GB2312"/>
          <w:color w:val="000000"/>
          <w:sz w:val="32"/>
          <w:szCs w:val="32"/>
          <w:lang w:val="en-US" w:eastAsia="zh-CN"/>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lang w:val="en-US" w:eastAsia="zh-CN"/>
        </w:rPr>
        <w:t>0</w:t>
      </w:r>
      <w:r>
        <w:rPr>
          <w:rFonts w:eastAsia="仿宋_GB2312"/>
          <w:color w:val="000000"/>
          <w:sz w:val="32"/>
          <w:szCs w:val="32"/>
        </w:rPr>
        <w:t>台</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w:t>
      </w:r>
      <w:r>
        <w:rPr>
          <w:rFonts w:hint="eastAsia" w:eastAsia="仿宋_GB2312"/>
          <w:color w:val="000000"/>
          <w:sz w:val="32"/>
          <w:szCs w:val="32"/>
          <w:lang w:eastAsia="zh-CN"/>
        </w:rPr>
        <w:t>没有变化。</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lang w:val="en-US" w:eastAsia="zh-CN"/>
        </w:rPr>
        <w:t>40</w:t>
      </w:r>
      <w:r>
        <w:rPr>
          <w:rFonts w:eastAsia="仿宋_GB2312"/>
          <w:color w:val="000000"/>
          <w:sz w:val="32"/>
          <w:szCs w:val="32"/>
        </w:rPr>
        <w:t>万元，主要是</w:t>
      </w:r>
      <w:r>
        <w:rPr>
          <w:rFonts w:hint="eastAsia" w:eastAsia="仿宋_GB2312"/>
          <w:color w:val="000000"/>
          <w:sz w:val="32"/>
          <w:szCs w:val="32"/>
          <w:lang w:eastAsia="zh-CN"/>
        </w:rPr>
        <w:t>卫计办例会，</w:t>
      </w:r>
      <w:r>
        <w:rPr>
          <w:rFonts w:hint="eastAsia" w:eastAsia="仿宋_GB2312"/>
          <w:color w:val="000000"/>
          <w:sz w:val="32"/>
          <w:szCs w:val="32"/>
          <w:lang w:val="en-US" w:eastAsia="zh-CN"/>
        </w:rPr>
        <w:t>18人，1.5万；财政所业务会议，17人，1.5万；安监站会议，16人，1.5万；人居环境整治工作部署会，16人，0.5万元；党建专干工作例会，18人，3万元；新农保医保专干会，18人，1万；党员大会，30人，2万；班子成员、村支两委会议，30人，3万；总结大会160人，6万元；其他如一年内进行的民主测评会议、座谈会等，省市相关领导和全体机关干部参加，合计安排20万</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hint="eastAsia" w:eastAsia="仿宋_GB2312"/>
          <w:color w:val="000000"/>
          <w:sz w:val="32"/>
          <w:szCs w:val="32"/>
          <w:lang w:val="en-US"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lang w:val="en-US" w:eastAsia="zh-CN"/>
        </w:rPr>
        <w:t>2</w:t>
      </w:r>
      <w:r>
        <w:rPr>
          <w:rFonts w:eastAsia="仿宋_GB2312"/>
          <w:color w:val="000000"/>
          <w:sz w:val="32"/>
          <w:szCs w:val="32"/>
        </w:rPr>
        <w:t>万元，主要包括</w:t>
      </w:r>
      <w:r>
        <w:rPr>
          <w:rFonts w:hint="eastAsia" w:eastAsia="仿宋_GB2312"/>
          <w:color w:val="000000"/>
          <w:sz w:val="32"/>
          <w:szCs w:val="32"/>
          <w:lang w:val="en-US" w:eastAsia="zh-CN"/>
        </w:rPr>
        <w:t>村级报账员每月培训会议，17人，1万元；河长制工作培训会，17人，1万元。</w:t>
      </w:r>
    </w:p>
    <w:p>
      <w:pPr>
        <w:numPr>
          <w:ilvl w:val="0"/>
          <w:numId w:val="2"/>
        </w:numPr>
        <w:tabs>
          <w:tab w:val="left" w:pos="7560"/>
        </w:tabs>
        <w:adjustRightInd w:val="0"/>
        <w:snapToGrid w:val="0"/>
        <w:spacing w:line="560" w:lineRule="exact"/>
        <w:ind w:left="0" w:firstLine="640" w:firstLineChars="200"/>
        <w:jc w:val="left"/>
        <w:rPr>
          <w:rFonts w:eastAsia="楷体_GB2312"/>
          <w:bCs/>
          <w:color w:val="000000"/>
          <w:sz w:val="32"/>
          <w:szCs w:val="32"/>
        </w:rPr>
      </w:pPr>
      <w:r>
        <w:rPr>
          <w:rFonts w:eastAsia="楷体_GB2312"/>
          <w:bCs/>
          <w:color w:val="000000"/>
          <w:sz w:val="32"/>
          <w:szCs w:val="32"/>
        </w:rPr>
        <w:t>其他事项。</w:t>
      </w:r>
    </w:p>
    <w:p>
      <w:pPr>
        <w:tabs>
          <w:tab w:val="left" w:pos="7560"/>
        </w:tabs>
        <w:adjustRightInd w:val="0"/>
        <w:snapToGrid w:val="0"/>
        <w:spacing w:line="560" w:lineRule="exact"/>
        <w:ind w:left="0" w:firstLine="640" w:firstLineChars="200"/>
        <w:jc w:val="left"/>
        <w:rPr>
          <w:rFonts w:hint="eastAsia" w:ascii="Times New Roman" w:hAnsi="Times New Roman" w:eastAsia="仿宋_GB2312"/>
          <w:sz w:val="32"/>
          <w:szCs w:val="32"/>
          <w:lang w:eastAsia="zh-CN"/>
        </w:rPr>
      </w:pPr>
      <w:r>
        <w:rPr>
          <w:rFonts w:ascii="Times New Roman" w:hAnsi="Times New Roman" w:eastAsia="仿宋_GB2312"/>
          <w:sz w:val="32"/>
          <w:szCs w:val="32"/>
        </w:rPr>
        <w:t>本单位</w:t>
      </w:r>
      <w:r>
        <w:rPr>
          <w:rFonts w:hint="eastAsia" w:ascii="Times New Roman" w:hAnsi="Times New Roman" w:eastAsia="仿宋_GB2312"/>
          <w:sz w:val="32"/>
          <w:szCs w:val="32"/>
          <w:lang w:val="en-US" w:eastAsia="zh-CN"/>
        </w:rPr>
        <w:t>2021</w:t>
      </w:r>
      <w:r>
        <w:rPr>
          <w:rFonts w:ascii="Times New Roman" w:hAnsi="Times New Roman" w:eastAsia="仿宋_GB2312"/>
          <w:sz w:val="32"/>
          <w:szCs w:val="32"/>
        </w:rPr>
        <w:t>年预算未安排政府性基金预算，本单位纳入专户管理的非税收入拨款为0</w:t>
      </w:r>
      <w:r>
        <w:rPr>
          <w:rFonts w:hint="eastAsia" w:ascii="Times New Roman" w:hAnsi="Times New Roman" w:eastAsia="仿宋_GB2312"/>
          <w:sz w:val="32"/>
          <w:szCs w:val="32"/>
          <w:lang w:eastAsia="zh-CN"/>
        </w:rPr>
        <w:t>，没有项目支出预算及专项绩效目标。</w:t>
      </w:r>
    </w:p>
    <w:p>
      <w:pPr>
        <w:tabs>
          <w:tab w:val="left" w:pos="7560"/>
        </w:tabs>
        <w:adjustRightInd w:val="0"/>
        <w:snapToGrid w:val="0"/>
        <w:spacing w:line="560" w:lineRule="exact"/>
        <w:jc w:val="left"/>
        <w:rPr>
          <w:rFonts w:eastAsia="楷体_GB2312"/>
          <w:bCs/>
          <w:color w:val="000000"/>
          <w:sz w:val="32"/>
          <w:szCs w:val="32"/>
        </w:rPr>
      </w:pPr>
      <w:r>
        <w:rPr>
          <w:rFonts w:ascii="Times New Roman" w:hAnsi="Times New Roman" w:eastAsia="仿宋_GB2312"/>
          <w:color w:val="000000"/>
          <w:sz w:val="32"/>
          <w:szCs w:val="32"/>
        </w:rPr>
        <w:t>本单位无门户网站，已在政府网统一公开。</w:t>
      </w: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401BA"/>
    <w:multiLevelType w:val="singleLevel"/>
    <w:tmpl w:val="D80401BA"/>
    <w:lvl w:ilvl="0" w:tentative="0">
      <w:start w:val="1"/>
      <w:numFmt w:val="chineseCounting"/>
      <w:suff w:val="nothing"/>
      <w:lvlText w:val="%1、"/>
      <w:lvlJc w:val="left"/>
      <w:pPr>
        <w:tabs>
          <w:tab w:val="left" w:pos="0"/>
        </w:tabs>
        <w:ind w:left="0" w:firstLine="0"/>
      </w:pPr>
      <w:rPr>
        <w:rFonts w:hint="eastAsia"/>
      </w:rPr>
    </w:lvl>
  </w:abstractNum>
  <w:abstractNum w:abstractNumId="1">
    <w:nsid w:val="EE6E31F7"/>
    <w:multiLevelType w:val="singleLevel"/>
    <w:tmpl w:val="EE6E31F7"/>
    <w:lvl w:ilvl="0" w:tentative="0">
      <w:start w:val="7"/>
      <w:numFmt w:val="chineseCounting"/>
      <w:suff w:val="nothing"/>
      <w:lvlText w:val="（%1）"/>
      <w:lvlJc w:val="left"/>
      <w:pPr>
        <w:tabs>
          <w:tab w:val="left" w:pos="0"/>
        </w:tabs>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05"/>
  <w:drawingGridVerticalSpacing w:val="156"/>
  <w:displayHorizontalDrawingGridEvery w:val="1"/>
  <w:displayVerticalDrawingGridEvery w:val="1"/>
  <w:noPunctuationKerning w:val="1"/>
  <w:footnotePr>
    <w:footnote w:id="0"/>
    <w:footnote w:id="1"/>
  </w:footnotePr>
  <w:endnotePr>
    <w:endnote w:id="0"/>
    <w:endnote w:id="1"/>
  </w:endnotePr>
  <w:compat>
    <w:spaceForUL/>
    <w:doNotExpandShiftReturn/>
    <w:doNotWrapTextWithPunct/>
    <w:doNotUseEastAsianBreakRules/>
    <w:growAutofit/>
    <w:useFELayout/>
    <w:doNotUseIndentAsNumberingTabStop/>
    <w:compatSetting w:name="compatibilityMode" w:uri="http://schemas.microsoft.com/office/word" w:val="14"/>
  </w:compat>
  <w:docVars>
    <w:docVar w:name="commondata" w:val="eyJoZGlkIjoiMGM2MTcxYjgwZDczMWJkZjIxZjAwMTkyNDdmNDM0YTcifQ=="/>
  </w:docVars>
  <w:rsids>
    <w:rsidRoot w:val="00000000"/>
    <w:rsid w:val="01D85D25"/>
    <w:rsid w:val="74496537"/>
    <w:rsid w:val="7D6043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2781</Words>
  <Characters>2968</Characters>
  <Lines>190</Lines>
  <Paragraphs>86</Paragraphs>
  <TotalTime>4</TotalTime>
  <ScaleCrop>false</ScaleCrop>
  <LinksUpToDate>false</LinksUpToDate>
  <CharactersWithSpaces>6919</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dcterms:modified xsi:type="dcterms:W3CDTF">2022-09-13T01:25:52Z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683EAF8D624549908A1F07337767CA18</vt:lpwstr>
  </property>
</Properties>
</file>