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napToGrid w:val="0"/>
        <w:jc w:val="center"/>
        <w:rPr>
          <w:rStyle w:val="8"/>
          <w:rFonts w:hint="eastAsia" w:ascii="方正小标宋简体" w:eastAsia="方正小标宋简体"/>
          <w:bCs/>
          <w:sz w:val="44"/>
          <w:szCs w:val="44"/>
          <w:lang w:val="en-US" w:eastAsia="zh-CN"/>
        </w:rPr>
      </w:pPr>
      <w:r>
        <w:rPr>
          <w:rStyle w:val="8"/>
          <w:rFonts w:hint="eastAsia" w:ascii="方正小标宋简体" w:eastAsia="方正小标宋简体"/>
          <w:bCs/>
          <w:sz w:val="44"/>
          <w:szCs w:val="44"/>
          <w:lang w:val="en-US" w:eastAsia="zh-CN"/>
        </w:rPr>
        <w:t>株洲市芦淞区归国华侨联合会</w:t>
      </w:r>
    </w:p>
    <w:p>
      <w:pPr>
        <w:tabs>
          <w:tab w:val="left" w:pos="7560"/>
        </w:tabs>
        <w:snapToGrid w:val="0"/>
        <w:jc w:val="center"/>
        <w:rPr>
          <w:rStyle w:val="8"/>
          <w:rFonts w:hint="eastAsia" w:ascii="方正小标宋简体" w:eastAsia="方正小标宋简体"/>
          <w:bCs/>
          <w:sz w:val="44"/>
          <w:szCs w:val="44"/>
        </w:rPr>
      </w:pPr>
      <w:r>
        <w:rPr>
          <w:rStyle w:val="8"/>
          <w:rFonts w:hint="eastAsia" w:ascii="方正小标宋简体" w:eastAsia="方正小标宋简体"/>
          <w:bCs/>
          <w:sz w:val="44"/>
          <w:szCs w:val="44"/>
        </w:rPr>
        <w:t>2021年部门预算公开说明</w:t>
      </w:r>
    </w:p>
    <w:p>
      <w:pPr>
        <w:tabs>
          <w:tab w:val="left" w:pos="7560"/>
        </w:tabs>
        <w:snapToGrid w:val="0"/>
        <w:spacing w:line="560" w:lineRule="exact"/>
        <w:jc w:val="center"/>
        <w:rPr>
          <w:rStyle w:val="8"/>
          <w:rFonts w:eastAsia="方正小标宋简体"/>
          <w:bCs/>
          <w:sz w:val="44"/>
          <w:szCs w:val="44"/>
        </w:rPr>
      </w:pPr>
    </w:p>
    <w:p>
      <w:pPr>
        <w:tabs>
          <w:tab w:val="left" w:pos="7560"/>
        </w:tabs>
        <w:snapToGrid w:val="0"/>
        <w:spacing w:line="560" w:lineRule="exact"/>
        <w:ind w:firstLine="3840" w:firstLineChars="1200"/>
        <w:rPr>
          <w:rStyle w:val="8"/>
          <w:rFonts w:hint="eastAsia" w:eastAsia="仿宋_GB2312"/>
          <w:bCs/>
          <w:sz w:val="32"/>
          <w:szCs w:val="32"/>
        </w:rPr>
      </w:pPr>
    </w:p>
    <w:p>
      <w:pPr>
        <w:tabs>
          <w:tab w:val="left" w:pos="7560"/>
        </w:tabs>
        <w:snapToGrid w:val="0"/>
        <w:spacing w:line="560" w:lineRule="exact"/>
        <w:ind w:firstLine="640" w:firstLineChars="200"/>
        <w:rPr>
          <w:rFonts w:hint="eastAsia"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（二）部门收入总体情况表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（三）部门支出总体情况表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（五）基本支出预算明细表-工资福利支出（按部门预算经济分类）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（六）基本支出预算明细表-商品和服务支出（按部门预算经济分类）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（七）基本支出预算明细表-对个人和家庭的补助（按部门预算经济分类）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（八）财政拨款收支总体情况表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（九）一般公共预算支出情况表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（十）一般公共预算基本支出情况表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（十一）一般公共预算基本支出预算明细表-工资福利支出（按部门预算经济分类）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（十二）一般公共预算基本支出预算明细表-商品和服务支出(按部门预算经济分类)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（十三）一般公共预算基本支出预算明细表-对个人和家庭的补助（按部门预算经济分类）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（十四）政府性基金预算支出情况表（按部门预算经济分类）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（十五）纳入专户管理的非税收入拨款预算分类汇总表（按部门预算经济分类）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（十六）项目支出预算表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（十八）政府采购预算表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（十九）政府购买服务预算表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（二十）2021年部门整体支出绩效目标表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（二十一）2021年专项资金预算绩效目标汇总表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（二十二）2021年专项资金支出方向绩效目标表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w:t>
      </w:r>
      <w:r>
        <w:rPr>
          <w:rFonts w:hint="eastAsia" w:eastAsia="仿宋_GB2312"/>
          <w:sz w:val="32"/>
          <w:szCs w:val="32"/>
          <w:lang w:val="en-US" w:eastAsia="zh-CN"/>
        </w:rPr>
        <w:t>三</w:t>
      </w:r>
      <w:r>
        <w:rPr>
          <w:rFonts w:eastAsia="仿宋_GB2312"/>
          <w:sz w:val="32"/>
          <w:szCs w:val="32"/>
        </w:rPr>
        <w:t>）</w:t>
      </w:r>
      <w:r>
        <w:rPr>
          <w:rFonts w:hint="eastAsia" w:eastAsia="仿宋_GB2312"/>
          <w:sz w:val="32"/>
          <w:szCs w:val="32"/>
        </w:rPr>
        <w:t>一般公共预算基本支出情况表</w:t>
      </w:r>
    </w:p>
    <w:p>
      <w:pPr>
        <w:tabs>
          <w:tab w:val="left" w:pos="7560"/>
        </w:tabs>
        <w:snapToGrid w:val="0"/>
        <w:spacing w:line="560" w:lineRule="exact"/>
        <w:rPr>
          <w:rStyle w:val="8"/>
          <w:rFonts w:eastAsia="黑体"/>
          <w:sz w:val="32"/>
          <w:szCs w:val="32"/>
        </w:rPr>
      </w:pPr>
    </w:p>
    <w:p>
      <w:pPr>
        <w:tabs>
          <w:tab w:val="left" w:pos="7560"/>
        </w:tabs>
        <w:adjustRightInd w:val="0"/>
        <w:snapToGrid w:val="0"/>
        <w:spacing w:line="560" w:lineRule="exact"/>
        <w:ind w:firstLine="640" w:firstLineChars="200"/>
        <w:rPr>
          <w:rStyle w:val="8"/>
          <w:rFonts w:hAnsi="黑体" w:eastAsia="黑体"/>
          <w:sz w:val="32"/>
          <w:szCs w:val="32"/>
        </w:rPr>
      </w:pPr>
      <w:r>
        <w:rPr>
          <w:rStyle w:val="8"/>
          <w:rFonts w:hint="eastAsia" w:hAnsi="黑体" w:eastAsia="黑体"/>
          <w:sz w:val="32"/>
          <w:szCs w:val="32"/>
        </w:rPr>
        <w:t>一、部门职能职责</w:t>
      </w:r>
    </w:p>
    <w:p>
      <w:pPr>
        <w:tabs>
          <w:tab w:val="left" w:pos="7560"/>
        </w:tabs>
        <w:adjustRightInd w:val="0"/>
        <w:snapToGrid w:val="0"/>
        <w:spacing w:line="560" w:lineRule="exact"/>
        <w:ind w:firstLine="640" w:firstLineChars="200"/>
        <w:rPr>
          <w:rFonts w:hint="eastAsia"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一）引导和组织归侨侨眷努力学习马克思列宁主义、毛泽东思想、邓小平理论、“三个代表”重要思想、科学发展观、习近平新时代中国特色社会主义思想，做好归侨侨眷的思想政治工作，最大限度把广大归侨侨眷和海外侨胞团结起来，最大限度把他们爱国爱乡的积极性调动起来，最大限度把他们促进改革开放和社会主义现代化建设的独特优势发挥出来，奋力推进中国特色社会主义伟大事业。</w:t>
      </w:r>
    </w:p>
    <w:p>
      <w:pPr>
        <w:tabs>
          <w:tab w:val="left" w:pos="7560"/>
        </w:tabs>
        <w:adjustRightInd w:val="0"/>
        <w:snapToGrid w:val="0"/>
        <w:spacing w:line="560" w:lineRule="exact"/>
        <w:ind w:firstLine="640" w:firstLineChars="200"/>
        <w:rPr>
          <w:rFonts w:hint="eastAsia"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（二）广泛团结和动员归侨侨眷和海外侨胞投身改革开放和社会主义现代化建设。</w:t>
      </w:r>
    </w:p>
    <w:p>
      <w:pPr>
        <w:tabs>
          <w:tab w:val="left" w:pos="7560"/>
        </w:tabs>
        <w:adjustRightInd w:val="0"/>
        <w:snapToGrid w:val="0"/>
        <w:spacing w:line="560" w:lineRule="exact"/>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rPr>
        <w:t>（三）参与政治、经济文化和社会事务活动，参与社会管理和公共服务，反映归侨侨眷和海外侨胞的意愿和要求。</w:t>
      </w:r>
      <w:r>
        <w:rPr>
          <w:rFonts w:hint="eastAsia" w:ascii="仿宋_GB2312" w:hAnsi="微软雅黑" w:eastAsia="仿宋_GB2312"/>
          <w:color w:val="333333"/>
          <w:sz w:val="32"/>
          <w:szCs w:val="32"/>
          <w:shd w:val="clear" w:color="auto" w:fill="FFFFFF"/>
          <w:lang w:val="en-US" w:eastAsia="zh-CN"/>
        </w:rPr>
        <w:t xml:space="preserve"> </w:t>
      </w:r>
    </w:p>
    <w:p>
      <w:pPr>
        <w:tabs>
          <w:tab w:val="left" w:pos="7560"/>
        </w:tabs>
        <w:adjustRightInd w:val="0"/>
        <w:snapToGrid w:val="0"/>
        <w:spacing w:line="560" w:lineRule="exact"/>
        <w:ind w:firstLine="640" w:firstLineChars="200"/>
        <w:rPr>
          <w:rFonts w:hint="eastAsia"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（四）宣传贯彻党和国家关于侨务工作的方针、政策和法律、法规。</w:t>
      </w:r>
    </w:p>
    <w:p>
      <w:pPr>
        <w:tabs>
          <w:tab w:val="left" w:pos="7560"/>
        </w:tabs>
        <w:adjustRightInd w:val="0"/>
        <w:snapToGrid w:val="0"/>
        <w:spacing w:line="560" w:lineRule="exact"/>
        <w:ind w:firstLine="640" w:firstLineChars="200"/>
        <w:rPr>
          <w:rFonts w:hint="eastAsia"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（五）密切与海外侨胞、留学人员及其社团的联系，履行海外侨胞社团联谊等职责，促进海外侨胞关系及社团和谐健康发展。</w:t>
      </w:r>
    </w:p>
    <w:p>
      <w:pPr>
        <w:tabs>
          <w:tab w:val="left" w:pos="7560"/>
        </w:tabs>
        <w:adjustRightInd w:val="0"/>
        <w:snapToGrid w:val="0"/>
        <w:spacing w:line="560" w:lineRule="exact"/>
        <w:ind w:firstLine="640" w:firstLineChars="200"/>
        <w:rPr>
          <w:rStyle w:val="8"/>
          <w:rFonts w:ascii="仿宋_GB2312" w:eastAsia="仿宋_GB2312"/>
          <w:sz w:val="32"/>
          <w:szCs w:val="32"/>
        </w:rPr>
      </w:pPr>
      <w:r>
        <w:rPr>
          <w:rFonts w:hint="eastAsia" w:ascii="仿宋_GB2312" w:hAnsi="微软雅黑" w:eastAsia="仿宋_GB2312"/>
          <w:color w:val="333333"/>
          <w:sz w:val="32"/>
          <w:szCs w:val="32"/>
          <w:shd w:val="clear" w:color="auto" w:fill="FFFFFF"/>
        </w:rPr>
        <w:t>（六）完成区委、区政府交办的其他任务。</w:t>
      </w:r>
    </w:p>
    <w:p>
      <w:pPr>
        <w:tabs>
          <w:tab w:val="left" w:pos="7560"/>
        </w:tabs>
        <w:adjustRightInd w:val="0"/>
        <w:snapToGrid w:val="0"/>
        <w:spacing w:line="560" w:lineRule="exact"/>
        <w:ind w:firstLine="640" w:firstLineChars="200"/>
        <w:rPr>
          <w:rStyle w:val="8"/>
          <w:rFonts w:hint="eastAsia" w:eastAsia="黑体"/>
          <w:sz w:val="32"/>
          <w:szCs w:val="32"/>
        </w:rPr>
      </w:pPr>
      <w:r>
        <w:rPr>
          <w:rStyle w:val="8"/>
          <w:rFonts w:hint="eastAsia" w:hAnsi="黑体" w:eastAsia="黑体"/>
          <w:sz w:val="32"/>
          <w:szCs w:val="32"/>
        </w:rPr>
        <w:t>二、机构设置</w:t>
      </w:r>
    </w:p>
    <w:p>
      <w:pPr>
        <w:tabs>
          <w:tab w:val="left" w:pos="7560"/>
        </w:tabs>
        <w:adjustRightInd w:val="0"/>
        <w:snapToGrid w:val="0"/>
        <w:spacing w:line="560" w:lineRule="exact"/>
        <w:ind w:firstLine="420" w:firstLineChars="200"/>
        <w:rPr>
          <w:rFonts w:hint="eastAsia" w:ascii="仿宋_GB2312" w:hAnsi="微软雅黑" w:eastAsia="仿宋_GB2312"/>
          <w:color w:val="333333"/>
          <w:sz w:val="32"/>
          <w:szCs w:val="32"/>
          <w:shd w:val="clear" w:color="auto" w:fill="FFFFFF"/>
        </w:rPr>
      </w:pPr>
      <w:r>
        <w:rPr>
          <w:rFonts w:hint="eastAsia" w:ascii="微软雅黑" w:hAnsi="微软雅黑"/>
          <w:color w:val="333333"/>
          <w:shd w:val="clear" w:color="auto" w:fill="FFFFFF"/>
        </w:rPr>
        <w:t>　</w:t>
      </w:r>
      <w:r>
        <w:rPr>
          <w:rFonts w:hint="eastAsia" w:ascii="仿宋_GB2312" w:hAnsi="微软雅黑" w:eastAsia="仿宋_GB2312"/>
          <w:color w:val="333333"/>
          <w:sz w:val="32"/>
          <w:szCs w:val="32"/>
          <w:shd w:val="clear" w:color="auto" w:fill="FFFFFF"/>
        </w:rPr>
        <w:t>本部门共有编制人数3人，实有人数3人。无二级机构、内设股室。</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本部门包含下属二级预算单位</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个</w:t>
      </w:r>
      <w:r>
        <w:rPr>
          <w:rFonts w:hint="eastAsia" w:eastAsia="仿宋_GB2312" w:cs="Times New Roman"/>
          <w:color w:val="000000"/>
          <w:sz w:val="32"/>
          <w:szCs w:val="32"/>
          <w:lang w:eastAsia="zh-CN"/>
        </w:rPr>
        <w:t>。</w:t>
      </w:r>
    </w:p>
    <w:p>
      <w:pPr>
        <w:tabs>
          <w:tab w:val="left" w:pos="7560"/>
        </w:tabs>
        <w:adjustRightInd w:val="0"/>
        <w:snapToGrid w:val="0"/>
        <w:spacing w:line="560" w:lineRule="exact"/>
        <w:ind w:firstLine="640" w:firstLineChars="200"/>
        <w:rPr>
          <w:rStyle w:val="8"/>
          <w:rFonts w:hint="eastAsia" w:eastAsia="黑体"/>
          <w:lang w:eastAsia="zh-CN"/>
        </w:rPr>
      </w:pPr>
      <w:r>
        <w:rPr>
          <w:rStyle w:val="8"/>
          <w:rFonts w:hint="eastAsia" w:hAnsi="黑体" w:eastAsia="黑体"/>
          <w:sz w:val="32"/>
          <w:szCs w:val="32"/>
        </w:rPr>
        <w:t>三、部门收支</w:t>
      </w:r>
      <w:r>
        <w:rPr>
          <w:rStyle w:val="8"/>
          <w:rFonts w:hint="eastAsia" w:hAnsi="黑体" w:eastAsia="黑体"/>
          <w:sz w:val="32"/>
          <w:szCs w:val="32"/>
          <w:lang w:val="en-US" w:eastAsia="zh-CN"/>
        </w:rPr>
        <w:t>概况</w:t>
      </w:r>
    </w:p>
    <w:p>
      <w:pPr>
        <w:tabs>
          <w:tab w:val="left" w:pos="7560"/>
        </w:tabs>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Style w:val="8"/>
          <w:rFonts w:eastAsia="仿宋_GB2312"/>
          <w:sz w:val="32"/>
          <w:szCs w:val="32"/>
        </w:rPr>
        <w:t>202</w:t>
      </w:r>
      <w:r>
        <w:rPr>
          <w:rStyle w:val="8"/>
          <w:rFonts w:hint="eastAsia" w:eastAsia="仿宋_GB2312"/>
          <w:sz w:val="32"/>
          <w:szCs w:val="32"/>
        </w:rPr>
        <w:t>1年部门预算</w:t>
      </w:r>
      <w:r>
        <w:rPr>
          <w:rStyle w:val="8"/>
          <w:rFonts w:hint="eastAsia" w:eastAsia="仿宋_GB2312"/>
          <w:sz w:val="32"/>
          <w:szCs w:val="32"/>
          <w:lang w:val="en-US" w:eastAsia="zh-CN"/>
        </w:rPr>
        <w:t>编报范围包括局机关（本单位无下属二级预算单位）</w:t>
      </w:r>
      <w:r>
        <w:rPr>
          <w:rFonts w:hint="eastAsia" w:ascii="仿宋_GB2312" w:hAnsi="微软雅黑" w:eastAsia="仿宋_GB2312"/>
          <w:color w:val="333333"/>
          <w:sz w:val="32"/>
          <w:szCs w:val="32"/>
          <w:shd w:val="clear" w:color="auto" w:fill="FFFFFF"/>
        </w:rPr>
        <w:t>。</w:t>
      </w:r>
      <w:r>
        <w:rPr>
          <w:rFonts w:hint="default" w:ascii="Times New Roman" w:hAnsi="Times New Roman" w:eastAsia="仿宋_GB2312" w:cs="Times New Roman"/>
          <w:color w:val="000000"/>
          <w:sz w:val="32"/>
          <w:szCs w:val="32"/>
          <w:lang w:eastAsia="zh-CN"/>
        </w:rPr>
        <w:t>部门</w:t>
      </w:r>
      <w:r>
        <w:rPr>
          <w:rFonts w:hint="default" w:ascii="Times New Roman" w:hAnsi="Times New Roman" w:eastAsia="仿宋_GB2312" w:cs="Times New Roman"/>
          <w:color w:val="000000"/>
          <w:sz w:val="32"/>
          <w:szCs w:val="32"/>
        </w:rPr>
        <w:t>支出包括保障</w:t>
      </w:r>
      <w:r>
        <w:rPr>
          <w:rFonts w:hint="default" w:ascii="Times New Roman" w:hAnsi="Times New Roman" w:eastAsia="仿宋_GB2312" w:cs="Times New Roman"/>
          <w:color w:val="000000"/>
          <w:sz w:val="32"/>
          <w:szCs w:val="32"/>
          <w:lang w:eastAsia="zh-CN"/>
        </w:rPr>
        <w:t>本部门</w:t>
      </w:r>
      <w:r>
        <w:rPr>
          <w:rFonts w:hint="default" w:ascii="Times New Roman" w:hAnsi="Times New Roman" w:eastAsia="仿宋_GB2312" w:cs="Times New Roman"/>
          <w:color w:val="000000"/>
          <w:sz w:val="32"/>
          <w:szCs w:val="32"/>
        </w:rPr>
        <w:t>基本运行的经费</w:t>
      </w:r>
      <w:r>
        <w:rPr>
          <w:rFonts w:hint="default" w:ascii="Times New Roman" w:hAnsi="Times New Roman" w:eastAsia="仿宋_GB2312" w:cs="Times New Roman"/>
          <w:color w:val="000000"/>
          <w:sz w:val="32"/>
          <w:szCs w:val="32"/>
          <w:lang w:eastAsia="zh-CN"/>
        </w:rPr>
        <w:t>和部门业务类项目经费。</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xml:space="preserve">　 </w:t>
      </w:r>
      <w:r>
        <w:rPr>
          <w:rFonts w:eastAsia="楷体_GB2312"/>
          <w:bCs/>
          <w:color w:val="000000"/>
          <w:sz w:val="32"/>
          <w:szCs w:val="32"/>
        </w:rPr>
        <w:t>（一）部门收入预算</w:t>
      </w:r>
      <w:r>
        <w:rPr>
          <w:rFonts w:hint="eastAsia" w:ascii="仿宋_GB2312" w:hAnsi="微软雅黑" w:eastAsia="仿宋_GB2312"/>
          <w:color w:val="333333"/>
          <w:sz w:val="32"/>
          <w:szCs w:val="32"/>
          <w:shd w:val="clear" w:color="auto" w:fill="FFFFFF"/>
        </w:rPr>
        <w:t>：2021年年初预算数47.13万元，其中，一般公共预算拨款47.13万元；政府性基金预算拨款0元；纳入专户管理的非税收入0元；其他收入0元；</w:t>
      </w:r>
      <w:r>
        <w:rPr>
          <w:rFonts w:hint="default" w:ascii="Times New Roman" w:hAnsi="Times New Roman" w:eastAsia="仿宋_GB2312" w:cs="Times New Roman"/>
          <w:color w:val="000000"/>
          <w:sz w:val="32"/>
          <w:szCs w:val="32"/>
        </w:rPr>
        <w:t>上年结转</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rPr>
          <w:rFonts w:ascii="仿宋_GB2312" w:hAnsi="微软雅黑" w:eastAsia="仿宋_GB2312"/>
          <w:color w:val="333333"/>
          <w:sz w:val="32"/>
          <w:szCs w:val="32"/>
          <w:shd w:val="clear" w:color="auto" w:fill="FFFFFF"/>
        </w:rPr>
      </w:pPr>
      <w:r>
        <w:rPr>
          <w:rFonts w:eastAsia="楷体_GB2312"/>
          <w:bCs/>
          <w:color w:val="000000"/>
          <w:sz w:val="32"/>
          <w:szCs w:val="32"/>
        </w:rPr>
        <w:t>（二）部门支出预算：</w:t>
      </w:r>
      <w:r>
        <w:rPr>
          <w:rFonts w:hint="eastAsia" w:ascii="仿宋_GB2312" w:hAnsi="微软雅黑" w:eastAsia="仿宋_GB2312"/>
          <w:color w:val="333333"/>
          <w:sz w:val="32"/>
          <w:szCs w:val="32"/>
          <w:shd w:val="clear" w:color="auto" w:fill="FFFFFF"/>
        </w:rPr>
        <w:t>2021年年初预算数47.13万元，其中，一般公共服务47.13万元，公共安全0元，教育0元，科学技术0元。</w:t>
      </w:r>
    </w:p>
    <w:p>
      <w:pPr>
        <w:tabs>
          <w:tab w:val="left" w:pos="7560"/>
        </w:tabs>
        <w:adjustRightInd w:val="0"/>
        <w:snapToGrid w:val="0"/>
        <w:spacing w:line="560" w:lineRule="exact"/>
        <w:ind w:firstLine="640" w:firstLineChars="200"/>
        <w:rPr>
          <w:rFonts w:ascii="仿宋_GB2312" w:hAnsi="微软雅黑" w:eastAsia="仿宋_GB2312"/>
          <w:color w:val="333333"/>
          <w:shd w:val="clear" w:color="auto" w:fill="FFFFFF"/>
        </w:rPr>
      </w:pPr>
      <w:r>
        <w:rPr>
          <w:rFonts w:hint="eastAsia" w:ascii="仿宋_GB2312" w:hAnsi="微软雅黑" w:eastAsia="仿宋_GB2312"/>
          <w:color w:val="333333"/>
          <w:sz w:val="32"/>
          <w:szCs w:val="32"/>
          <w:shd w:val="clear" w:color="auto" w:fill="FFFFFF"/>
        </w:rPr>
        <w:t>具体安排如下：</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eastAsia="仿宋_GB2312"/>
          <w:b/>
          <w:color w:val="000000"/>
          <w:sz w:val="32"/>
          <w:szCs w:val="32"/>
        </w:rPr>
        <w:t>　1.基本支出：</w:t>
      </w:r>
      <w:r>
        <w:rPr>
          <w:rFonts w:hint="eastAsia" w:ascii="仿宋_GB2312" w:hAnsi="微软雅黑" w:eastAsia="仿宋_GB2312"/>
          <w:color w:val="333333"/>
          <w:sz w:val="32"/>
          <w:szCs w:val="32"/>
          <w:shd w:val="clear" w:color="auto" w:fill="FFFFFF"/>
        </w:rPr>
        <w:t>2021年年初预算数为</w:t>
      </w:r>
      <w:r>
        <w:rPr>
          <w:rFonts w:hint="eastAsia" w:ascii="仿宋_GB2312" w:hAnsi="微软雅黑" w:eastAsia="仿宋_GB2312"/>
          <w:color w:val="333333"/>
          <w:sz w:val="32"/>
          <w:szCs w:val="32"/>
          <w:shd w:val="clear" w:color="auto" w:fill="FFFFFF"/>
          <w:lang w:val="en-US" w:eastAsia="zh-CN"/>
        </w:rPr>
        <w:t>44.13</w:t>
      </w:r>
      <w:r>
        <w:rPr>
          <w:rFonts w:hint="eastAsia" w:ascii="仿宋_GB2312" w:hAnsi="微软雅黑" w:eastAsia="仿宋_GB2312"/>
          <w:color w:val="333333"/>
          <w:sz w:val="32"/>
          <w:szCs w:val="32"/>
          <w:shd w:val="clear" w:color="auto" w:fill="FFFFFF"/>
        </w:rPr>
        <w:t>万元，是指为保障单位机构正常运转、完成日常工作任务而发生的各项支出，其中包括基本工资</w:t>
      </w:r>
      <w:r>
        <w:rPr>
          <w:rFonts w:ascii="仿宋_GB2312" w:hAnsi="微软雅黑" w:eastAsia="仿宋_GB2312"/>
          <w:color w:val="333333"/>
          <w:sz w:val="32"/>
          <w:szCs w:val="32"/>
          <w:shd w:val="clear" w:color="auto" w:fill="FFFFFF"/>
        </w:rPr>
        <w:t>10.1</w:t>
      </w:r>
      <w:r>
        <w:rPr>
          <w:rFonts w:hint="eastAsia" w:ascii="仿宋_GB2312" w:hAnsi="微软雅黑" w:eastAsia="仿宋_GB2312"/>
          <w:color w:val="333333"/>
          <w:sz w:val="32"/>
          <w:szCs w:val="32"/>
          <w:shd w:val="clear" w:color="auto" w:fill="FFFFFF"/>
        </w:rPr>
        <w:t>万元、津贴补贴</w:t>
      </w:r>
      <w:r>
        <w:rPr>
          <w:rFonts w:ascii="仿宋_GB2312" w:hAnsi="微软雅黑" w:eastAsia="仿宋_GB2312"/>
          <w:color w:val="333333"/>
          <w:sz w:val="32"/>
          <w:szCs w:val="32"/>
          <w:shd w:val="clear" w:color="auto" w:fill="FFFFFF"/>
        </w:rPr>
        <w:t>8.15</w:t>
      </w:r>
      <w:r>
        <w:rPr>
          <w:rFonts w:hint="eastAsia" w:ascii="仿宋_GB2312" w:hAnsi="微软雅黑" w:eastAsia="仿宋_GB2312"/>
          <w:color w:val="333333"/>
          <w:sz w:val="32"/>
          <w:szCs w:val="32"/>
          <w:shd w:val="clear" w:color="auto" w:fill="FFFFFF"/>
        </w:rPr>
        <w:t>万元、奖金</w:t>
      </w:r>
      <w:r>
        <w:rPr>
          <w:rFonts w:ascii="仿宋_GB2312" w:hAnsi="微软雅黑" w:eastAsia="仿宋_GB2312"/>
          <w:color w:val="333333"/>
          <w:sz w:val="32"/>
          <w:szCs w:val="32"/>
          <w:shd w:val="clear" w:color="auto" w:fill="FFFFFF"/>
        </w:rPr>
        <w:t>8.72</w:t>
      </w:r>
      <w:r>
        <w:rPr>
          <w:rFonts w:hint="eastAsia" w:ascii="仿宋_GB2312" w:hAnsi="微软雅黑" w:eastAsia="仿宋_GB2312"/>
          <w:color w:val="333333"/>
          <w:sz w:val="32"/>
          <w:szCs w:val="32"/>
          <w:shd w:val="clear" w:color="auto" w:fill="FFFFFF"/>
        </w:rPr>
        <w:t>万元、机关事业单位基本养老保险缴费</w:t>
      </w:r>
      <w:r>
        <w:rPr>
          <w:rFonts w:hint="eastAsia" w:ascii="仿宋_GB2312" w:hAnsi="微软雅黑" w:eastAsia="仿宋_GB2312"/>
          <w:color w:val="333333"/>
          <w:sz w:val="32"/>
          <w:szCs w:val="32"/>
          <w:shd w:val="clear" w:color="auto" w:fill="FFFFFF"/>
          <w:lang w:val="en-US" w:eastAsia="zh-CN"/>
        </w:rPr>
        <w:t>3.05万元、职工基本医疗保险缴费1.58万元、公务员医疗补助缴费0.99万元、其他社会保障缴费0.19万元、住房公积金3.42万元、医疗费1.65万元、</w:t>
      </w:r>
      <w:r>
        <w:rPr>
          <w:rFonts w:hint="eastAsia" w:ascii="仿宋_GB2312" w:hAnsi="微软雅黑" w:eastAsia="仿宋_GB2312"/>
          <w:color w:val="333333"/>
          <w:sz w:val="32"/>
          <w:szCs w:val="32"/>
          <w:shd w:val="clear" w:color="auto" w:fill="FFFFFF"/>
        </w:rPr>
        <w:t>公用经费</w:t>
      </w:r>
      <w:r>
        <w:rPr>
          <w:rFonts w:hint="eastAsia" w:ascii="仿宋_GB2312" w:hAnsi="微软雅黑" w:eastAsia="仿宋_GB2312"/>
          <w:color w:val="333333"/>
          <w:sz w:val="32"/>
          <w:szCs w:val="32"/>
          <w:shd w:val="clear" w:color="auto" w:fill="FFFFFF"/>
          <w:lang w:val="en-US" w:eastAsia="zh-CN"/>
        </w:rPr>
        <w:t>6.28</w:t>
      </w:r>
      <w:r>
        <w:rPr>
          <w:rFonts w:hint="eastAsia" w:ascii="仿宋_GB2312" w:hAnsi="微软雅黑" w:eastAsia="仿宋_GB2312"/>
          <w:color w:val="333333"/>
          <w:sz w:val="32"/>
          <w:szCs w:val="32"/>
          <w:shd w:val="clear" w:color="auto" w:fill="FFFFFF"/>
        </w:rPr>
        <w:t>元。</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ascii="仿宋_GB2312" w:hAnsi="微软雅黑" w:eastAsia="仿宋_GB2312"/>
          <w:b/>
          <w:color w:val="333333"/>
          <w:sz w:val="32"/>
          <w:szCs w:val="32"/>
          <w:shd w:val="clear" w:color="auto" w:fill="FFFFFF"/>
        </w:rPr>
        <w:t>2.项目支出：</w:t>
      </w:r>
      <w:r>
        <w:rPr>
          <w:rFonts w:hint="eastAsia" w:ascii="仿宋_GB2312" w:hAnsi="微软雅黑" w:eastAsia="仿宋_GB2312"/>
          <w:color w:val="333333"/>
          <w:sz w:val="32"/>
          <w:szCs w:val="32"/>
          <w:shd w:val="clear" w:color="auto" w:fill="FFFFFF"/>
        </w:rPr>
        <w:t>2021年年初预算数为3万元，是指单位为完成特定行政工作任务或事业发展目标而发生的支出，包括有关事业发展专项、基本建设支出、资本性支出等。其中：</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xml:space="preserve">　 </w:t>
      </w:r>
      <w:r>
        <w:rPr>
          <w:rFonts w:hint="eastAsia" w:ascii="仿宋_GB2312" w:hAnsi="微软雅黑" w:eastAsia="仿宋_GB2312"/>
          <w:color w:val="333333"/>
          <w:sz w:val="32"/>
          <w:szCs w:val="32"/>
          <w:shd w:val="clear" w:color="auto" w:fill="FFFFFF"/>
          <w:lang w:val="en-US" w:eastAsia="zh-CN"/>
        </w:rPr>
        <w:t xml:space="preserve"> </w:t>
      </w:r>
      <w:r>
        <w:rPr>
          <w:rFonts w:hint="eastAsia" w:ascii="仿宋_GB2312" w:hAnsi="微软雅黑" w:eastAsia="仿宋_GB2312"/>
          <w:color w:val="333333"/>
          <w:sz w:val="32"/>
          <w:szCs w:val="32"/>
          <w:shd w:val="clear" w:color="auto" w:fill="FFFFFF"/>
        </w:rPr>
        <w:t>侨联工作经费专项3万元。主要用于加强对侨工作能力，实现基层侨组织</w:t>
      </w:r>
      <w:r>
        <w:rPr>
          <w:rFonts w:ascii="仿宋_GB2312" w:hAnsi="微软雅黑" w:eastAsia="仿宋_GB2312"/>
          <w:color w:val="333333"/>
          <w:sz w:val="32"/>
          <w:szCs w:val="32"/>
          <w:shd w:val="clear" w:color="auto" w:fill="FFFFFF"/>
        </w:rPr>
        <w:t>“</w:t>
      </w:r>
      <w:r>
        <w:rPr>
          <w:rFonts w:hint="eastAsia" w:ascii="仿宋_GB2312" w:hAnsi="微软雅黑" w:eastAsia="仿宋_GB2312"/>
          <w:color w:val="333333"/>
          <w:sz w:val="32"/>
          <w:szCs w:val="32"/>
          <w:shd w:val="clear" w:color="auto" w:fill="FFFFFF"/>
        </w:rPr>
        <w:t>有组织、有队伍、有经费、有阵地、有活动</w:t>
      </w:r>
      <w:r>
        <w:rPr>
          <w:rFonts w:ascii="仿宋_GB2312" w:hAnsi="微软雅黑" w:eastAsia="仿宋_GB2312"/>
          <w:color w:val="333333"/>
          <w:sz w:val="32"/>
          <w:szCs w:val="32"/>
          <w:shd w:val="clear" w:color="auto" w:fill="FFFFFF"/>
        </w:rPr>
        <w:t>”</w:t>
      </w:r>
      <w:r>
        <w:rPr>
          <w:rFonts w:hint="eastAsia" w:ascii="仿宋_GB2312" w:hAnsi="微软雅黑" w:eastAsia="仿宋_GB2312"/>
          <w:color w:val="333333"/>
          <w:sz w:val="32"/>
          <w:szCs w:val="32"/>
          <w:shd w:val="clear" w:color="auto" w:fill="FFFFFF"/>
        </w:rPr>
        <w:t>的</w:t>
      </w:r>
      <w:r>
        <w:rPr>
          <w:rFonts w:ascii="仿宋_GB2312" w:hAnsi="微软雅黑" w:eastAsia="仿宋_GB2312"/>
          <w:color w:val="333333"/>
          <w:sz w:val="32"/>
          <w:szCs w:val="32"/>
          <w:shd w:val="clear" w:color="auto" w:fill="FFFFFF"/>
        </w:rPr>
        <w:t>“</w:t>
      </w:r>
      <w:r>
        <w:rPr>
          <w:rFonts w:hint="eastAsia" w:ascii="仿宋_GB2312" w:hAnsi="微软雅黑" w:eastAsia="仿宋_GB2312"/>
          <w:color w:val="333333"/>
          <w:sz w:val="32"/>
          <w:szCs w:val="32"/>
          <w:shd w:val="clear" w:color="auto" w:fill="FFFFFF"/>
        </w:rPr>
        <w:t>五有</w:t>
      </w:r>
      <w:r>
        <w:rPr>
          <w:rFonts w:ascii="仿宋_GB2312" w:hAnsi="微软雅黑" w:eastAsia="仿宋_GB2312"/>
          <w:color w:val="333333"/>
          <w:sz w:val="32"/>
          <w:szCs w:val="32"/>
          <w:shd w:val="clear" w:color="auto" w:fill="FFFFFF"/>
        </w:rPr>
        <w:t>”</w:t>
      </w:r>
      <w:r>
        <w:rPr>
          <w:rFonts w:hint="eastAsia" w:ascii="仿宋_GB2312" w:hAnsi="微软雅黑" w:eastAsia="仿宋_GB2312"/>
          <w:color w:val="333333"/>
          <w:sz w:val="32"/>
          <w:szCs w:val="32"/>
          <w:shd w:val="clear" w:color="auto" w:fill="FFFFFF"/>
        </w:rPr>
        <w:t>工作目标。</w:t>
      </w:r>
    </w:p>
    <w:p>
      <w:pPr>
        <w:tabs>
          <w:tab w:val="left" w:pos="7560"/>
        </w:tabs>
        <w:adjustRightInd w:val="0"/>
        <w:snapToGrid w:val="0"/>
        <w:spacing w:line="560" w:lineRule="exact"/>
        <w:ind w:firstLine="640" w:firstLineChars="200"/>
        <w:rPr>
          <w:rStyle w:val="8"/>
          <w:rFonts w:hint="eastAsia" w:eastAsia="黑体"/>
        </w:rPr>
      </w:pPr>
      <w:r>
        <w:rPr>
          <w:rStyle w:val="8"/>
          <w:rFonts w:hint="eastAsia" w:hAnsi="黑体" w:eastAsia="黑体"/>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（一）机关运行经费：</w:t>
      </w:r>
      <w:r>
        <w:rPr>
          <w:rFonts w:hint="eastAsia" w:ascii="仿宋_GB2312" w:hAnsi="微软雅黑" w:eastAsia="仿宋_GB2312"/>
          <w:color w:val="333333"/>
          <w:sz w:val="32"/>
          <w:szCs w:val="32"/>
          <w:shd w:val="clear" w:color="auto" w:fill="FFFFFF"/>
        </w:rPr>
        <w:t>本部门2021年年初预算机关运行经费(商品和服务支出+业务性专项)共安排9.28万元，</w:t>
      </w:r>
      <w:r>
        <w:rPr>
          <w:rFonts w:eastAsia="仿宋_GB2312"/>
          <w:color w:val="000000"/>
          <w:sz w:val="32"/>
          <w:szCs w:val="32"/>
        </w:rPr>
        <w:t>比上年度预算</w:t>
      </w:r>
      <w:r>
        <w:rPr>
          <w:rFonts w:hint="eastAsia" w:eastAsia="仿宋_GB2312"/>
          <w:color w:val="000000"/>
          <w:sz w:val="32"/>
          <w:szCs w:val="32"/>
        </w:rPr>
        <w:t>减少5.02万元，主要原因是财政预算收紧。</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eastAsia="楷体_GB2312"/>
          <w:bCs/>
          <w:color w:val="000000"/>
          <w:sz w:val="32"/>
          <w:szCs w:val="32"/>
        </w:rPr>
        <w:t>（二）政府采购预算：</w:t>
      </w:r>
      <w:r>
        <w:rPr>
          <w:rFonts w:hint="eastAsia" w:ascii="仿宋_GB2312" w:hAnsi="微软雅黑" w:eastAsia="仿宋_GB2312"/>
          <w:color w:val="333333"/>
          <w:sz w:val="32"/>
          <w:szCs w:val="32"/>
          <w:shd w:val="clear" w:color="auto" w:fill="FFFFFF"/>
        </w:rPr>
        <w:t>2020年年初预算数为</w:t>
      </w:r>
      <w:r>
        <w:rPr>
          <w:rFonts w:hint="eastAsia" w:ascii="仿宋_GB2312" w:hAnsi="微软雅黑" w:eastAsia="仿宋_GB2312"/>
          <w:color w:val="333333"/>
          <w:sz w:val="32"/>
          <w:szCs w:val="32"/>
          <w:shd w:val="clear" w:color="auto" w:fill="FFFFFF"/>
          <w:lang w:val="en-US" w:eastAsia="zh-CN"/>
        </w:rPr>
        <w:t>1.68万</w:t>
      </w:r>
      <w:r>
        <w:rPr>
          <w:rFonts w:hint="eastAsia" w:ascii="仿宋_GB2312" w:hAnsi="微软雅黑" w:eastAsia="仿宋_GB2312"/>
          <w:color w:val="333333"/>
          <w:sz w:val="32"/>
          <w:szCs w:val="32"/>
          <w:shd w:val="clear" w:color="auto" w:fill="FFFFFF"/>
        </w:rPr>
        <w:t>元。</w:t>
      </w:r>
      <w:r>
        <w:rPr>
          <w:rFonts w:hint="eastAsia" w:ascii="仿宋" w:hAnsi="仿宋" w:eastAsia="仿宋" w:cs="仿宋"/>
          <w:color w:val="000000"/>
          <w:sz w:val="32"/>
          <w:szCs w:val="32"/>
        </w:rPr>
        <w:t>其中：政府采购货物</w:t>
      </w:r>
      <w:r>
        <w:rPr>
          <w:rFonts w:hint="eastAsia" w:ascii="仿宋" w:hAnsi="仿宋" w:eastAsia="仿宋" w:cs="仿宋"/>
          <w:color w:val="000000"/>
          <w:sz w:val="32"/>
          <w:szCs w:val="32"/>
          <w:lang w:val="en-US" w:eastAsia="zh-CN"/>
        </w:rPr>
        <w:t>1.68</w:t>
      </w:r>
      <w:r>
        <w:rPr>
          <w:rFonts w:hint="eastAsia" w:ascii="仿宋" w:hAnsi="仿宋" w:eastAsia="仿宋" w:cs="仿宋"/>
          <w:color w:val="000000"/>
          <w:sz w:val="32"/>
          <w:szCs w:val="32"/>
        </w:rPr>
        <w:t>万元，政府采购工程0万元，政府采购服务</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eastAsia="楷体_GB2312"/>
          <w:bCs/>
          <w:color w:val="000000"/>
          <w:sz w:val="32"/>
          <w:szCs w:val="32"/>
        </w:rPr>
        <w:t>（三）国有资产占有情况：</w:t>
      </w:r>
      <w:r>
        <w:rPr>
          <w:rFonts w:hint="eastAsia" w:ascii="仿宋_GB2312" w:hAnsi="微软雅黑" w:eastAsia="仿宋_GB2312"/>
          <w:color w:val="333333"/>
          <w:sz w:val="32"/>
          <w:szCs w:val="32"/>
          <w:shd w:val="clear" w:color="auto" w:fill="FFFFFF"/>
        </w:rPr>
        <w:t>截止2020年12月31日，本部门共有办公及业务用房22平方米（2间）；车辆0辆；单位价值200万以上大型设备0套。2021年无预算安排购置车辆及价值200万以上大型设备计划。</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eastAsia="楷体_GB2312"/>
          <w:bCs/>
          <w:color w:val="000000"/>
          <w:sz w:val="32"/>
          <w:szCs w:val="32"/>
        </w:rPr>
        <w:t>（四）预算绩效目标：</w:t>
      </w:r>
      <w:r>
        <w:rPr>
          <w:rFonts w:hint="eastAsia" w:ascii="仿宋_GB2312" w:hAnsi="微软雅黑" w:eastAsia="仿宋_GB2312"/>
          <w:color w:val="333333"/>
          <w:sz w:val="32"/>
          <w:szCs w:val="32"/>
          <w:shd w:val="clear" w:color="auto" w:fill="FFFFFF"/>
        </w:rPr>
        <w:t>本部门整体支出和项目支出实行绩效目标管理，纳入2021年部门整体支出绩效目标的金额为47.13万元，其中，基本支出</w:t>
      </w:r>
      <w:r>
        <w:rPr>
          <w:rFonts w:hint="eastAsia" w:ascii="仿宋_GB2312" w:hAnsi="微软雅黑" w:eastAsia="仿宋_GB2312"/>
          <w:color w:val="333333"/>
          <w:sz w:val="32"/>
          <w:szCs w:val="32"/>
          <w:shd w:val="clear" w:color="auto" w:fill="FFFFFF"/>
          <w:lang w:val="en-US" w:eastAsia="zh-CN"/>
        </w:rPr>
        <w:t>44.13</w:t>
      </w:r>
      <w:r>
        <w:rPr>
          <w:rFonts w:hint="eastAsia" w:ascii="仿宋_GB2312" w:hAnsi="微软雅黑" w:eastAsia="仿宋_GB2312"/>
          <w:color w:val="333333"/>
          <w:sz w:val="32"/>
          <w:szCs w:val="32"/>
          <w:shd w:val="clear" w:color="auto" w:fill="FFFFFF"/>
        </w:rPr>
        <w:t>万元，项目支出3万元（具体绩效目标详见附表）。</w:t>
      </w:r>
      <w:r>
        <w:rPr>
          <w:rFonts w:ascii="仿宋_GB2312" w:hAnsi="微软雅黑" w:eastAsia="仿宋_GB2312"/>
          <w:color w:val="333333"/>
          <w:sz w:val="32"/>
          <w:szCs w:val="32"/>
          <w:shd w:val="clear" w:color="auto" w:fill="FFFFFF"/>
        </w:rPr>
        <w:t> </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eastAsia="楷体_GB2312"/>
          <w:bCs/>
          <w:color w:val="000000"/>
          <w:sz w:val="32"/>
          <w:szCs w:val="32"/>
        </w:rPr>
        <w:t>（五）</w:t>
      </w:r>
      <w:r>
        <w:rPr>
          <w:rFonts w:eastAsia="楷体_GB2312"/>
          <w:bCs/>
          <w:color w:val="000000"/>
          <w:sz w:val="32"/>
          <w:szCs w:val="32"/>
        </w:rPr>
        <w:t>“</w:t>
      </w:r>
      <w:r>
        <w:rPr>
          <w:rFonts w:hint="eastAsia" w:eastAsia="楷体_GB2312"/>
          <w:bCs/>
          <w:color w:val="000000"/>
          <w:sz w:val="32"/>
          <w:szCs w:val="32"/>
        </w:rPr>
        <w:t>三公</w:t>
      </w:r>
      <w:r>
        <w:rPr>
          <w:rFonts w:eastAsia="楷体_GB2312"/>
          <w:bCs/>
          <w:color w:val="000000"/>
          <w:sz w:val="32"/>
          <w:szCs w:val="32"/>
        </w:rPr>
        <w:t>”</w:t>
      </w:r>
      <w:r>
        <w:rPr>
          <w:rFonts w:hint="eastAsia" w:eastAsia="楷体_GB2312"/>
          <w:bCs/>
          <w:color w:val="000000"/>
          <w:sz w:val="32"/>
          <w:szCs w:val="32"/>
        </w:rPr>
        <w:t>等经费预算：</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本单位无公共财政拨款三公经费预算，所有</w:t>
      </w:r>
      <w:r>
        <w:rPr>
          <w:rFonts w:ascii="仿宋_GB2312" w:hAnsi="微软雅黑" w:eastAsia="仿宋_GB2312"/>
          <w:color w:val="333333"/>
          <w:sz w:val="32"/>
          <w:szCs w:val="32"/>
          <w:shd w:val="clear" w:color="auto" w:fill="FFFFFF"/>
        </w:rPr>
        <w:t>“</w:t>
      </w:r>
      <w:r>
        <w:rPr>
          <w:rFonts w:hint="eastAsia" w:ascii="仿宋_GB2312" w:hAnsi="微软雅黑" w:eastAsia="仿宋_GB2312"/>
          <w:color w:val="333333"/>
          <w:sz w:val="32"/>
          <w:szCs w:val="32"/>
          <w:shd w:val="clear" w:color="auto" w:fill="FFFFFF"/>
        </w:rPr>
        <w:t>三公</w:t>
      </w:r>
      <w:r>
        <w:rPr>
          <w:rFonts w:ascii="仿宋_GB2312" w:hAnsi="微软雅黑" w:eastAsia="仿宋_GB2312"/>
          <w:color w:val="333333"/>
          <w:sz w:val="32"/>
          <w:szCs w:val="32"/>
          <w:shd w:val="clear" w:color="auto" w:fill="FFFFFF"/>
        </w:rPr>
        <w:t>”</w:t>
      </w:r>
      <w:r>
        <w:rPr>
          <w:rFonts w:hint="eastAsia" w:ascii="仿宋_GB2312" w:hAnsi="微软雅黑" w:eastAsia="仿宋_GB2312"/>
          <w:color w:val="333333"/>
          <w:sz w:val="32"/>
          <w:szCs w:val="32"/>
          <w:shd w:val="clear" w:color="auto" w:fill="FFFFFF"/>
        </w:rPr>
        <w:t>经费均为自有资金安排。</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eastAsia="zh-CN"/>
        </w:rPr>
        <w:t>与</w:t>
      </w:r>
      <w:r>
        <w:rPr>
          <w:rFonts w:eastAsia="仿宋_GB2312"/>
          <w:color w:val="000000"/>
          <w:sz w:val="32"/>
          <w:szCs w:val="32"/>
        </w:rPr>
        <w:t>2020年</w:t>
      </w:r>
      <w:r>
        <w:rPr>
          <w:rFonts w:hint="eastAsia" w:eastAsia="仿宋_GB2312"/>
          <w:color w:val="000000"/>
          <w:sz w:val="32"/>
          <w:szCs w:val="32"/>
          <w:lang w:eastAsia="zh-CN"/>
        </w:rPr>
        <w:t>持平</w:t>
      </w:r>
      <w:r>
        <w:rPr>
          <w:rFonts w:hint="eastAsia" w:eastAsia="仿宋_GB2312"/>
          <w:color w:val="000000"/>
          <w:sz w:val="32"/>
          <w:szCs w:val="32"/>
        </w:rPr>
        <w:t>。</w:t>
      </w:r>
    </w:p>
    <w:p>
      <w:pPr>
        <w:tabs>
          <w:tab w:val="left" w:pos="7560"/>
        </w:tabs>
        <w:adjustRightInd w:val="0"/>
        <w:snapToGrid w:val="0"/>
        <w:spacing w:line="560" w:lineRule="exact"/>
        <w:ind w:firstLine="640" w:firstLineChars="200"/>
        <w:rPr>
          <w:rStyle w:val="8"/>
          <w:rFonts w:ascii="仿宋_GB2312" w:hAnsi="微软雅黑" w:eastAsia="仿宋_GB2312"/>
          <w:color w:val="333333"/>
          <w:sz w:val="32"/>
          <w:szCs w:val="32"/>
          <w:shd w:val="clear" w:color="auto" w:fill="FFFFFF"/>
        </w:rPr>
      </w:pPr>
      <w:bookmarkStart w:id="0" w:name="_GoBack"/>
      <w:bookmarkEnd w:id="0"/>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eastAsia="楷体_GB2312"/>
          <w:bCs/>
          <w:color w:val="000000"/>
          <w:sz w:val="32"/>
          <w:szCs w:val="32"/>
        </w:rPr>
        <w:t>（六）会议费、培训费预算：</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本单位2021年无会议、培训费预算。</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w:t>
      </w:r>
      <w:r>
        <w:rPr>
          <w:rFonts w:hint="eastAsia" w:eastAsia="楷体_GB2312"/>
          <w:bCs/>
          <w:color w:val="000000"/>
          <w:sz w:val="32"/>
          <w:szCs w:val="32"/>
        </w:rPr>
        <w:t>　（七）其他事项。</w:t>
      </w:r>
      <w:r>
        <w:rPr>
          <w:rFonts w:hint="eastAsia" w:ascii="仿宋_GB2312" w:hAnsi="微软雅黑" w:eastAsia="仿宋_GB2312"/>
          <w:color w:val="333333"/>
          <w:sz w:val="32"/>
          <w:szCs w:val="32"/>
          <w:shd w:val="clear" w:color="auto" w:fill="FFFFFF"/>
        </w:rPr>
        <w:br w:type="textWrapping"/>
      </w:r>
      <w:r>
        <w:rPr>
          <w:rFonts w:hint="eastAsia" w:ascii="仿宋_GB2312" w:hAnsi="微软雅黑" w:eastAsia="仿宋_GB2312"/>
          <w:color w:val="333333"/>
          <w:sz w:val="32"/>
          <w:szCs w:val="32"/>
          <w:shd w:val="clear" w:color="auto" w:fill="FFFFFF"/>
        </w:rPr>
        <w:t>　　本单位2021年预算未安排政府性基金收支预算、对个人和家庭的补助预算、纳入专户管理的非税收入预算</w:t>
      </w:r>
      <w:r>
        <w:rPr>
          <w:rFonts w:hint="eastAsia" w:ascii="仿宋_GB2312" w:hAnsi="微软雅黑" w:eastAsia="仿宋_GB2312"/>
          <w:color w:val="333333"/>
          <w:sz w:val="32"/>
          <w:szCs w:val="32"/>
          <w:shd w:val="clear" w:color="auto" w:fill="FFFFFF"/>
          <w:lang w:eastAsia="zh-CN"/>
        </w:rPr>
        <w:t>、“三公”经费预算、政府购买服务预算</w:t>
      </w:r>
      <w:r>
        <w:rPr>
          <w:rFonts w:hint="eastAsia" w:ascii="仿宋_GB2312" w:hAnsi="微软雅黑" w:eastAsia="仿宋_GB2312"/>
          <w:color w:val="333333"/>
          <w:sz w:val="32"/>
          <w:szCs w:val="32"/>
          <w:shd w:val="clear" w:color="auto" w:fill="FFFFFF"/>
        </w:rPr>
        <w:t>。</w:t>
      </w:r>
      <w:r>
        <w:rPr>
          <w:rFonts w:hint="eastAsia" w:ascii="仿宋_GB2312" w:hAnsi="微软雅黑" w:eastAsia="仿宋_GB2312"/>
          <w:color w:val="333333"/>
          <w:sz w:val="32"/>
          <w:szCs w:val="32"/>
          <w:shd w:val="clear" w:color="auto" w:fill="FFFFFF"/>
        </w:rPr>
        <w:br w:type="textWrapping"/>
      </w:r>
      <w:r>
        <w:rPr>
          <w:rFonts w:hint="eastAsia" w:ascii="微软雅黑" w:hAnsi="微软雅黑"/>
          <w:color w:val="333333"/>
          <w:shd w:val="clear" w:color="auto" w:fill="FFFFFF"/>
        </w:rPr>
        <w:t xml:space="preserve">     　</w:t>
      </w:r>
      <w:r>
        <w:rPr>
          <w:rStyle w:val="8"/>
          <w:rFonts w:hint="eastAsia" w:ascii="黑体" w:hAnsi="黑体" w:eastAsia="黑体"/>
          <w:bCs/>
          <w:sz w:val="32"/>
          <w:szCs w:val="32"/>
        </w:rPr>
        <w:t>五、名词解释</w:t>
      </w:r>
    </w:p>
    <w:p>
      <w:pPr>
        <w:tabs>
          <w:tab w:val="left" w:pos="7560"/>
        </w:tabs>
        <w:adjustRightInd w:val="0"/>
        <w:snapToGrid w:val="0"/>
        <w:spacing w:line="560" w:lineRule="exact"/>
        <w:ind w:firstLine="643" w:firstLineChars="200"/>
        <w:rPr>
          <w:rStyle w:val="8"/>
          <w:rFonts w:hint="eastAsia" w:eastAsia="仿宋_GB2312"/>
          <w:sz w:val="32"/>
          <w:szCs w:val="32"/>
        </w:rPr>
      </w:pPr>
      <w:r>
        <w:rPr>
          <w:rStyle w:val="8"/>
          <w:rFonts w:hint="eastAsia" w:eastAsia="仿宋_GB2312"/>
          <w:b/>
          <w:sz w:val="32"/>
          <w:szCs w:val="32"/>
        </w:rPr>
        <w:t>（一）一般公共预算</w:t>
      </w:r>
      <w:r>
        <w:rPr>
          <w:rStyle w:val="8"/>
          <w:rFonts w:eastAsia="仿宋_GB2312"/>
          <w:b/>
          <w:sz w:val="32"/>
          <w:szCs w:val="32"/>
        </w:rPr>
        <w:t>:</w:t>
      </w:r>
      <w:r>
        <w:rPr>
          <w:rStyle w:val="8"/>
          <w:rFonts w:hint="eastAsia"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Style w:val="8"/>
          <w:rFonts w:eastAsia="仿宋_GB2312"/>
          <w:sz w:val="32"/>
          <w:szCs w:val="32"/>
        </w:rPr>
        <w:t>“</w:t>
      </w:r>
      <w:r>
        <w:rPr>
          <w:rStyle w:val="8"/>
          <w:rFonts w:hint="eastAsia" w:eastAsia="仿宋_GB2312"/>
          <w:sz w:val="32"/>
          <w:szCs w:val="32"/>
        </w:rPr>
        <w:t>财政收入</w:t>
      </w:r>
      <w:r>
        <w:rPr>
          <w:rStyle w:val="8"/>
          <w:rFonts w:eastAsia="仿宋_GB2312"/>
          <w:sz w:val="32"/>
          <w:szCs w:val="32"/>
        </w:rPr>
        <w:t>”</w:t>
      </w:r>
      <w:r>
        <w:rPr>
          <w:rStyle w:val="8"/>
          <w:rFonts w:hint="eastAsia" w:eastAsia="仿宋_GB2312"/>
          <w:sz w:val="32"/>
          <w:szCs w:val="32"/>
        </w:rPr>
        <w:t>，按照</w:t>
      </w:r>
      <w:r>
        <w:rPr>
          <w:rStyle w:val="8"/>
          <w:rFonts w:eastAsia="仿宋_GB2312"/>
          <w:sz w:val="32"/>
          <w:szCs w:val="32"/>
        </w:rPr>
        <w:t>2015</w:t>
      </w:r>
      <w:r>
        <w:rPr>
          <w:rStyle w:val="8"/>
          <w:rFonts w:hint="eastAsia" w:eastAsia="仿宋_GB2312"/>
          <w:sz w:val="32"/>
          <w:szCs w:val="32"/>
        </w:rPr>
        <w:t>年</w:t>
      </w:r>
      <w:r>
        <w:rPr>
          <w:rStyle w:val="8"/>
          <w:rFonts w:eastAsia="仿宋_GB2312"/>
          <w:sz w:val="32"/>
          <w:szCs w:val="32"/>
        </w:rPr>
        <w:t>1</w:t>
      </w:r>
      <w:r>
        <w:rPr>
          <w:rStyle w:val="8"/>
          <w:rFonts w:hint="eastAsia" w:eastAsia="仿宋_GB2312"/>
          <w:sz w:val="32"/>
          <w:szCs w:val="32"/>
        </w:rPr>
        <w:t>月</w:t>
      </w:r>
      <w:r>
        <w:rPr>
          <w:rStyle w:val="8"/>
          <w:rFonts w:eastAsia="仿宋_GB2312"/>
          <w:sz w:val="32"/>
          <w:szCs w:val="32"/>
        </w:rPr>
        <w:t>1</w:t>
      </w:r>
      <w:r>
        <w:rPr>
          <w:rStyle w:val="8"/>
          <w:rFonts w:hint="eastAsia" w:eastAsia="仿宋_GB2312"/>
          <w:sz w:val="32"/>
          <w:szCs w:val="32"/>
        </w:rPr>
        <w:t>日起施行的新《预算法》，改称</w:t>
      </w:r>
      <w:r>
        <w:rPr>
          <w:rStyle w:val="8"/>
          <w:rFonts w:eastAsia="仿宋_GB2312"/>
          <w:sz w:val="32"/>
          <w:szCs w:val="32"/>
        </w:rPr>
        <w:t>“</w:t>
      </w:r>
      <w:r>
        <w:rPr>
          <w:rStyle w:val="8"/>
          <w:rFonts w:hint="eastAsia" w:eastAsia="仿宋_GB2312"/>
          <w:sz w:val="32"/>
          <w:szCs w:val="32"/>
        </w:rPr>
        <w:t>一般公共预算收入</w:t>
      </w:r>
      <w:r>
        <w:rPr>
          <w:rStyle w:val="8"/>
          <w:rFonts w:eastAsia="仿宋_GB2312"/>
          <w:sz w:val="32"/>
          <w:szCs w:val="32"/>
        </w:rPr>
        <w:t>”</w:t>
      </w:r>
      <w:r>
        <w:rPr>
          <w:rStyle w:val="8"/>
          <w:rFonts w:hint="eastAsia" w:eastAsia="仿宋_GB2312"/>
          <w:sz w:val="32"/>
          <w:szCs w:val="32"/>
        </w:rPr>
        <w:t>。全市一般公共预算收入由地方收入、上划中央收入、上划省级收入三部分构成。</w:t>
      </w:r>
    </w:p>
    <w:p>
      <w:pPr>
        <w:tabs>
          <w:tab w:val="left" w:pos="7560"/>
        </w:tabs>
        <w:adjustRightInd w:val="0"/>
        <w:snapToGrid w:val="0"/>
        <w:spacing w:line="560" w:lineRule="exact"/>
        <w:ind w:firstLine="643" w:firstLineChars="200"/>
        <w:rPr>
          <w:rStyle w:val="8"/>
          <w:rFonts w:eastAsia="仿宋_GB2312"/>
          <w:sz w:val="32"/>
          <w:szCs w:val="32"/>
        </w:rPr>
      </w:pPr>
      <w:r>
        <w:rPr>
          <w:rStyle w:val="8"/>
          <w:rFonts w:hint="eastAsia" w:eastAsia="仿宋_GB2312"/>
          <w:b/>
          <w:sz w:val="32"/>
          <w:szCs w:val="32"/>
        </w:rPr>
        <w:t>（二）政府性基金预算</w:t>
      </w:r>
      <w:r>
        <w:rPr>
          <w:rStyle w:val="8"/>
          <w:rFonts w:eastAsia="仿宋_GB2312"/>
          <w:b/>
          <w:sz w:val="32"/>
          <w:szCs w:val="32"/>
        </w:rPr>
        <w:t>:</w:t>
      </w:r>
      <w:r>
        <w:rPr>
          <w:rStyle w:val="8"/>
          <w:rFonts w:hint="eastAsia"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Style w:val="8"/>
          <w:rFonts w:eastAsia="仿宋_GB2312"/>
          <w:sz w:val="32"/>
          <w:szCs w:val="32"/>
        </w:rPr>
      </w:pPr>
      <w:r>
        <w:rPr>
          <w:rStyle w:val="8"/>
          <w:rFonts w:hint="eastAsia" w:eastAsia="仿宋_GB2312"/>
          <w:b/>
          <w:sz w:val="32"/>
          <w:szCs w:val="32"/>
        </w:rPr>
        <w:t>（三）国有资本经营预算</w:t>
      </w:r>
      <w:r>
        <w:rPr>
          <w:rStyle w:val="8"/>
          <w:rFonts w:eastAsia="仿宋_GB2312"/>
          <w:b/>
          <w:sz w:val="32"/>
          <w:szCs w:val="32"/>
        </w:rPr>
        <w:t xml:space="preserve">: </w:t>
      </w:r>
      <w:r>
        <w:rPr>
          <w:rStyle w:val="8"/>
          <w:rFonts w:hint="eastAsia"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Style w:val="8"/>
          <w:rFonts w:eastAsia="仿宋_GB2312"/>
          <w:sz w:val="32"/>
          <w:szCs w:val="32"/>
        </w:rPr>
      </w:pPr>
      <w:r>
        <w:rPr>
          <w:rStyle w:val="8"/>
          <w:rFonts w:hint="eastAsia" w:eastAsia="仿宋_GB2312"/>
          <w:b/>
          <w:sz w:val="32"/>
          <w:szCs w:val="32"/>
        </w:rPr>
        <w:t>（四）社会保险基金预算</w:t>
      </w:r>
      <w:r>
        <w:rPr>
          <w:rStyle w:val="8"/>
          <w:rFonts w:eastAsia="仿宋_GB2312"/>
          <w:b/>
          <w:sz w:val="32"/>
          <w:szCs w:val="32"/>
        </w:rPr>
        <w:t>:</w:t>
      </w:r>
      <w:r>
        <w:rPr>
          <w:rStyle w:val="8"/>
          <w:rFonts w:hint="eastAsia"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Style w:val="8"/>
          <w:rFonts w:eastAsia="仿宋_GB2312"/>
          <w:sz w:val="32"/>
          <w:szCs w:val="32"/>
        </w:rPr>
      </w:pPr>
      <w:r>
        <w:rPr>
          <w:rStyle w:val="8"/>
          <w:rFonts w:hint="eastAsia" w:eastAsia="仿宋_GB2312"/>
          <w:b/>
          <w:sz w:val="32"/>
          <w:szCs w:val="32"/>
        </w:rPr>
        <w:t>（五）基本支出：</w:t>
      </w:r>
      <w:r>
        <w:rPr>
          <w:rStyle w:val="8"/>
          <w:rFonts w:hint="eastAsia"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Style w:val="8"/>
          <w:rFonts w:eastAsia="仿宋_GB2312"/>
          <w:sz w:val="32"/>
          <w:szCs w:val="32"/>
        </w:rPr>
      </w:pPr>
      <w:r>
        <w:rPr>
          <w:rStyle w:val="8"/>
          <w:rFonts w:hint="eastAsia" w:eastAsia="仿宋_GB2312"/>
          <w:b/>
          <w:sz w:val="32"/>
          <w:szCs w:val="32"/>
        </w:rPr>
        <w:t>（六）项目支出：</w:t>
      </w:r>
      <w:r>
        <w:rPr>
          <w:rStyle w:val="8"/>
          <w:rFonts w:hint="eastAsia"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Style w:val="8"/>
          <w:rFonts w:eastAsia="仿宋_GB2312"/>
          <w:sz w:val="32"/>
          <w:szCs w:val="32"/>
        </w:rPr>
      </w:pPr>
      <w:r>
        <w:rPr>
          <w:rStyle w:val="8"/>
          <w:rFonts w:hint="eastAsia" w:eastAsia="仿宋_GB2312"/>
          <w:b/>
          <w:sz w:val="32"/>
          <w:szCs w:val="32"/>
        </w:rPr>
        <w:t>（七）</w:t>
      </w:r>
      <w:r>
        <w:rPr>
          <w:rStyle w:val="8"/>
          <w:rFonts w:eastAsia="仿宋_GB2312"/>
          <w:b/>
          <w:sz w:val="32"/>
          <w:szCs w:val="32"/>
        </w:rPr>
        <w:t>“</w:t>
      </w:r>
      <w:r>
        <w:rPr>
          <w:rStyle w:val="8"/>
          <w:rFonts w:hint="eastAsia" w:eastAsia="仿宋_GB2312"/>
          <w:b/>
          <w:sz w:val="32"/>
          <w:szCs w:val="32"/>
        </w:rPr>
        <w:t>三公</w:t>
      </w:r>
      <w:r>
        <w:rPr>
          <w:rStyle w:val="8"/>
          <w:rFonts w:eastAsia="仿宋_GB2312"/>
          <w:b/>
          <w:sz w:val="32"/>
          <w:szCs w:val="32"/>
        </w:rPr>
        <w:t>”</w:t>
      </w:r>
      <w:r>
        <w:rPr>
          <w:rStyle w:val="8"/>
          <w:rFonts w:hint="eastAsia" w:eastAsia="仿宋_GB2312"/>
          <w:b/>
          <w:sz w:val="32"/>
          <w:szCs w:val="32"/>
        </w:rPr>
        <w:t>经费：</w:t>
      </w:r>
      <w:r>
        <w:rPr>
          <w:rStyle w:val="8"/>
          <w:rFonts w:hint="eastAsia" w:eastAsia="仿宋_GB2312"/>
          <w:sz w:val="32"/>
          <w:szCs w:val="32"/>
        </w:rPr>
        <w:t>是指商品和服务支出中的因公出国（境）费用、公务用车购置及运行维护费和公务接待费。</w:t>
      </w:r>
      <w:r>
        <w:rPr>
          <w:rStyle w:val="8"/>
          <w:rFonts w:eastAsia="仿宋_GB2312"/>
          <w:sz w:val="32"/>
          <w:szCs w:val="32"/>
        </w:rPr>
        <w:br w:type="textWrapping"/>
      </w:r>
      <w:r>
        <w:rPr>
          <w:rStyle w:val="8"/>
          <w:rFonts w:eastAsia="仿宋_GB2312"/>
          <w:sz w:val="32"/>
          <w:szCs w:val="32"/>
        </w:rPr>
        <w:t>8.</w:t>
      </w:r>
      <w:r>
        <w:rPr>
          <w:rStyle w:val="8"/>
          <w:rFonts w:hint="eastAsia" w:eastAsia="仿宋_GB2312"/>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snapToGrid w:val="0"/>
        <w:spacing w:line="560" w:lineRule="exact"/>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hMTYyM2E1ZmUyNThiMTM4YmY1MTQ2OWE0NzU5NzgifQ=="/>
  </w:docVars>
  <w:rsids>
    <w:rsidRoot w:val="003012D7"/>
    <w:rsid w:val="003012D7"/>
    <w:rsid w:val="00357CD7"/>
    <w:rsid w:val="00451377"/>
    <w:rsid w:val="004B70B7"/>
    <w:rsid w:val="00766662"/>
    <w:rsid w:val="00770CD7"/>
    <w:rsid w:val="008E6E44"/>
    <w:rsid w:val="00CB2AB3"/>
    <w:rsid w:val="34360322"/>
    <w:rsid w:val="36C91015"/>
    <w:rsid w:val="3E2322B3"/>
    <w:rsid w:val="6092660B"/>
    <w:rsid w:val="6AEE42A6"/>
    <w:rsid w:val="6CFB18B8"/>
    <w:rsid w:val="72405C1B"/>
    <w:rsid w:val="75FA033D"/>
    <w:rsid w:val="77B1722B"/>
    <w:rsid w:val="7ADD6930"/>
    <w:rsid w:val="7F1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2750</Words>
  <Characters>2883</Characters>
  <Lines>20</Lines>
  <Paragraphs>5</Paragraphs>
  <TotalTime>0</TotalTime>
  <ScaleCrop>false</ScaleCrop>
  <LinksUpToDate>false</LinksUpToDate>
  <CharactersWithSpaces>2920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2021-05-13T01:55:00Z</dcterms:created>
  <dc:creator>Administrator</dc:creator>
  <cp:lastModifiedBy>绮梦1369367186</cp:lastModifiedBy>
  <dcterms:modified xsi:type="dcterms:W3CDTF">2022-09-06T09:43:21Z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D621D0EC6E4844CBBCF1CCA5498E07DC</vt:lpwstr>
  </property>
</Properties>
</file>