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napToGrid w:val="0"/>
        <w:spacing w:line="560" w:lineRule="exact"/>
        <w:jc w:val="center"/>
        <w:rPr>
          <w:rStyle w:val="13"/>
          <w:rFonts w:eastAsia="方正小标宋简体"/>
          <w:bCs/>
          <w:sz w:val="44"/>
          <w:szCs w:val="44"/>
        </w:rPr>
      </w:pPr>
    </w:p>
    <w:p>
      <w:pPr>
        <w:tabs>
          <w:tab w:val="left" w:pos="7560"/>
        </w:tabs>
        <w:snapToGrid w:val="0"/>
        <w:spacing w:line="560" w:lineRule="exact"/>
        <w:jc w:val="center"/>
        <w:rPr>
          <w:rStyle w:val="13"/>
          <w:rFonts w:eastAsia="方正小标宋简体"/>
          <w:bCs/>
          <w:sz w:val="44"/>
          <w:szCs w:val="44"/>
        </w:rPr>
      </w:pPr>
    </w:p>
    <w:p>
      <w:pPr>
        <w:tabs>
          <w:tab w:val="left" w:pos="7560"/>
        </w:tabs>
        <w:snapToGrid w:val="0"/>
        <w:spacing w:line="560" w:lineRule="exact"/>
        <w:jc w:val="center"/>
        <w:rPr>
          <w:rStyle w:val="13"/>
          <w:rFonts w:eastAsia="方正小标宋简体"/>
          <w:bCs/>
          <w:sz w:val="44"/>
          <w:szCs w:val="44"/>
        </w:rPr>
      </w:pPr>
    </w:p>
    <w:p>
      <w:pPr>
        <w:tabs>
          <w:tab w:val="left" w:pos="7560"/>
        </w:tabs>
        <w:snapToGrid w:val="0"/>
        <w:spacing w:line="560" w:lineRule="exact"/>
        <w:jc w:val="center"/>
        <w:rPr>
          <w:rStyle w:val="13"/>
          <w:rFonts w:eastAsia="方正小标宋简体"/>
          <w:bCs/>
          <w:sz w:val="44"/>
          <w:szCs w:val="44"/>
        </w:rPr>
      </w:pPr>
    </w:p>
    <w:p>
      <w:pPr>
        <w:tabs>
          <w:tab w:val="left" w:pos="7560"/>
        </w:tabs>
        <w:snapToGrid w:val="0"/>
        <w:spacing w:line="560" w:lineRule="exact"/>
        <w:jc w:val="center"/>
        <w:rPr>
          <w:rStyle w:val="13"/>
          <w:rFonts w:eastAsia="方正小标宋简体"/>
          <w:bCs/>
          <w:sz w:val="44"/>
          <w:szCs w:val="44"/>
        </w:rPr>
      </w:pPr>
    </w:p>
    <w:p>
      <w:pPr>
        <w:tabs>
          <w:tab w:val="left" w:pos="7560"/>
        </w:tabs>
        <w:snapToGrid w:val="0"/>
        <w:spacing w:line="560" w:lineRule="exact"/>
        <w:jc w:val="center"/>
        <w:rPr>
          <w:rStyle w:val="13"/>
          <w:rFonts w:eastAsia="方正小标宋简体"/>
          <w:bCs/>
          <w:sz w:val="44"/>
          <w:szCs w:val="44"/>
        </w:rPr>
      </w:pPr>
    </w:p>
    <w:p>
      <w:pPr>
        <w:tabs>
          <w:tab w:val="left" w:pos="7560"/>
        </w:tabs>
        <w:snapToGrid w:val="0"/>
        <w:jc w:val="center"/>
        <w:rPr>
          <w:rStyle w:val="13"/>
          <w:rFonts w:eastAsia="方正小标宋简体"/>
          <w:bCs/>
          <w:sz w:val="84"/>
          <w:szCs w:val="84"/>
        </w:rPr>
      </w:pPr>
      <w:r>
        <w:rPr>
          <w:rStyle w:val="13"/>
          <w:rFonts w:hint="eastAsia" w:eastAsia="方正小标宋简体"/>
          <w:bCs/>
          <w:sz w:val="84"/>
          <w:szCs w:val="84"/>
        </w:rPr>
        <w:t>株洲市芦淞区民政局</w:t>
      </w:r>
      <w:r>
        <w:rPr>
          <w:rStyle w:val="13"/>
          <w:rFonts w:eastAsia="方正小标宋简体"/>
          <w:bCs/>
          <w:sz w:val="84"/>
          <w:szCs w:val="84"/>
        </w:rPr>
        <w:t>202</w:t>
      </w:r>
      <w:r>
        <w:rPr>
          <w:rStyle w:val="13"/>
          <w:rFonts w:hint="eastAsia" w:eastAsia="方正小标宋简体"/>
          <w:bCs/>
          <w:sz w:val="84"/>
          <w:szCs w:val="84"/>
          <w:lang w:val="en-US" w:eastAsia="zh-CN"/>
        </w:rPr>
        <w:t>1</w:t>
      </w:r>
      <w:r>
        <w:rPr>
          <w:rStyle w:val="13"/>
          <w:rFonts w:hint="eastAsia" w:eastAsia="方正小标宋简体"/>
          <w:bCs/>
          <w:sz w:val="84"/>
          <w:szCs w:val="84"/>
        </w:rPr>
        <w:t>年部门预算</w:t>
      </w: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left"/>
        <w:rPr>
          <w:rStyle w:val="13"/>
          <w:rFonts w:eastAsia="仿宋_GB2312"/>
          <w:bCs/>
          <w:sz w:val="32"/>
          <w:szCs w:val="32"/>
          <w:highlight w:val="yellow"/>
        </w:rPr>
      </w:pPr>
    </w:p>
    <w:p>
      <w:pPr>
        <w:tabs>
          <w:tab w:val="left" w:pos="7560"/>
        </w:tabs>
        <w:snapToGrid w:val="0"/>
        <w:spacing w:line="560" w:lineRule="exact"/>
        <w:jc w:val="center"/>
        <w:rPr>
          <w:rStyle w:val="13"/>
          <w:rFonts w:eastAsia="黑体"/>
          <w:bCs/>
          <w:sz w:val="32"/>
          <w:szCs w:val="32"/>
        </w:rPr>
      </w:pPr>
      <w:r>
        <w:rPr>
          <w:rStyle w:val="13"/>
          <w:rFonts w:hint="eastAsia" w:hAnsi="黑体" w:eastAsia="黑体"/>
          <w:bCs/>
          <w:sz w:val="32"/>
          <w:szCs w:val="32"/>
          <w:lang w:eastAsia="zh-CN"/>
        </w:rPr>
        <w:t>部门预算公开信息</w:t>
      </w:r>
      <w:r>
        <w:rPr>
          <w:rStyle w:val="13"/>
          <w:rFonts w:hint="eastAsia" w:hAnsi="黑体" w:eastAsia="黑体"/>
          <w:bCs/>
          <w:sz w:val="32"/>
          <w:szCs w:val="32"/>
        </w:rPr>
        <w:t>目录</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一、部门职能职责</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三、部门收支概况</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（一）收入预算</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（二）支出预算</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（三）预算收支增减变化情况说明</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四、其他重要事项情况说明</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（一）机关运行经费</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（二）政府采购预算</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（三）国有资产占有情况</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（四）预算绩效目标</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eastAsia="仿宋_GB2312" w:cs="Times New Roman"/>
          <w:sz w:val="32"/>
          <w:szCs w:val="32"/>
          <w:lang w:val="en-US" w:eastAsia="zh-CN"/>
        </w:rPr>
        <w:t>一般公共预算</w:t>
      </w:r>
      <w:r>
        <w:rPr>
          <w:rFonts w:hint="default" w:ascii="Times New Roman" w:hAnsi="Times New Roman" w:eastAsia="仿宋_GB2312" w:cs="Times New Roman"/>
          <w:sz w:val="32"/>
          <w:szCs w:val="32"/>
        </w:rPr>
        <w:t>“三公”经费预算</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（六）会议费、培训费</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（七）其他事项</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五、名词解释</w:t>
      </w:r>
    </w:p>
    <w:p>
      <w:pPr>
        <w:tabs>
          <w:tab w:val="left" w:pos="7560"/>
        </w:tabs>
        <w:adjustRightInd w:val="0"/>
        <w:snapToGrid w:val="0"/>
        <w:spacing w:line="560" w:lineRule="exact"/>
        <w:ind w:firstLine="640" w:firstLineChars="200"/>
        <w:jc w:val="left"/>
        <w:rPr>
          <w:rStyle w:val="13"/>
          <w:rFonts w:eastAsia="仿宋_GB2312"/>
          <w:b/>
          <w:bCs/>
          <w:sz w:val="32"/>
          <w:szCs w:val="32"/>
        </w:rPr>
      </w:pPr>
      <w:r>
        <w:rPr>
          <w:rFonts w:hint="default" w:ascii="Times New Roman" w:hAnsi="Times New Roman" w:eastAsia="仿宋_GB2312" w:cs="Times New Roman"/>
          <w:sz w:val="32"/>
          <w:szCs w:val="32"/>
        </w:rPr>
        <w:t>六、部门预算公开表格</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（一）部门收支总表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（二）部门收入总体情况表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（三）部门支出总体情况表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（四）部门支出总表（按部门预算经济分类）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（五）基本支出预算明细表-工资福利支出（按部门预算经济分类）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）基本支出预算明细表-商品和服务支出（按部门预算经济分类）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）基本支出预算明细表-对个人和家庭的补助（按部门预算经济分类）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）财政拨款收支总体情况表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）一般公共预算支出情况表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（十）一般公共预算基本支出情况表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）一般公共预算基本支出预算明细表-工资福利支出（按部门预算经济分类）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）一般公共预算基本支出预算明细表-商品和服务支出(按部门预算经济分类)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）一般公共预算基本支出预算明细表-对个人和家庭的补助（按部门预算经济分类）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）政府性基金预算支出情况表（按部门预算经济分类）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）纳入专户管理的非税收入拨款预算分类汇总表（按部门预算经济分类）</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十六</w:t>
      </w:r>
      <w:r>
        <w:rPr>
          <w:rFonts w:hint="default" w:ascii="Times New Roman" w:hAnsi="Times New Roman" w:eastAsia="仿宋_GB2312" w:cs="Times New Roman"/>
          <w:sz w:val="32"/>
          <w:szCs w:val="32"/>
        </w:rPr>
        <w:t>）项目支出预算表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十七</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一般公共预算拨款</w:t>
      </w:r>
      <w:r>
        <w:rPr>
          <w:rFonts w:hint="default" w:ascii="Times New Roman" w:hAnsi="Times New Roman" w:eastAsia="仿宋_GB2312" w:cs="Times New Roman"/>
          <w:sz w:val="32"/>
          <w:szCs w:val="32"/>
        </w:rPr>
        <w:t>“三公”经费预算表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十八</w:t>
      </w:r>
      <w:r>
        <w:rPr>
          <w:rFonts w:hint="default" w:ascii="Times New Roman" w:hAnsi="Times New Roman" w:eastAsia="仿宋_GB2312" w:cs="Times New Roman"/>
          <w:sz w:val="32"/>
          <w:szCs w:val="32"/>
        </w:rPr>
        <w:t>）政府采购预算表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十九</w:t>
      </w:r>
      <w:r>
        <w:rPr>
          <w:rFonts w:hint="default" w:ascii="Times New Roman" w:hAnsi="Times New Roman" w:eastAsia="仿宋_GB2312" w:cs="Times New Roman"/>
          <w:sz w:val="32"/>
          <w:szCs w:val="32"/>
        </w:rPr>
        <w:t>）政府购买服务预算表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）2021年部门整体支出绩效目标表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二十一</w:t>
      </w:r>
      <w:r>
        <w:rPr>
          <w:rFonts w:hint="default" w:ascii="Times New Roman" w:hAnsi="Times New Roman" w:eastAsia="仿宋_GB2312" w:cs="Times New Roman"/>
          <w:sz w:val="32"/>
          <w:szCs w:val="32"/>
        </w:rPr>
        <w:t>）2021年专项资金预算绩效目标汇总表</w:t>
      </w:r>
    </w:p>
    <w:p>
      <w:pPr>
        <w:tabs>
          <w:tab w:val="left" w:pos="7560"/>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二十二</w:t>
      </w:r>
      <w:r>
        <w:rPr>
          <w:rFonts w:hint="default" w:ascii="Times New Roman" w:hAnsi="Times New Roman" w:eastAsia="仿宋_GB2312" w:cs="Times New Roman"/>
          <w:sz w:val="32"/>
          <w:szCs w:val="32"/>
        </w:rPr>
        <w:t>）2021年专项资金支出方向绩效目标表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w:t>
      </w:r>
      <w:r>
        <w:rPr>
          <w:rFonts w:hint="eastAsia" w:eastAsia="仿宋_GB2312"/>
          <w:sz w:val="32"/>
          <w:szCs w:val="32"/>
          <w:lang w:val="en-US" w:eastAsia="zh-CN"/>
        </w:rPr>
        <w:t>三</w:t>
      </w:r>
      <w:r>
        <w:rPr>
          <w:rFonts w:eastAsia="仿宋_GB2312"/>
          <w:sz w:val="32"/>
          <w:szCs w:val="32"/>
        </w:rPr>
        <w:t>）</w:t>
      </w:r>
      <w:r>
        <w:rPr>
          <w:rFonts w:hint="eastAsia" w:eastAsia="仿宋_GB2312"/>
          <w:sz w:val="32"/>
          <w:szCs w:val="32"/>
        </w:rPr>
        <w:t>一般公共预算基本支出情况表</w:t>
      </w:r>
    </w:p>
    <w:p>
      <w:pPr>
        <w:tabs>
          <w:tab w:val="left" w:pos="7560"/>
        </w:tabs>
        <w:snapToGrid w:val="0"/>
        <w:spacing w:line="560" w:lineRule="exact"/>
        <w:ind w:firstLine="640" w:firstLineChars="200"/>
        <w:jc w:val="left"/>
        <w:rPr>
          <w:rFonts w:ascii="黑体" w:hAnsi="黑体" w:eastAsia="黑体"/>
          <w:sz w:val="32"/>
        </w:rPr>
      </w:pPr>
    </w:p>
    <w:p>
      <w:pPr>
        <w:tabs>
          <w:tab w:val="left" w:pos="7560"/>
        </w:tabs>
        <w:snapToGrid w:val="0"/>
        <w:spacing w:line="560" w:lineRule="exact"/>
        <w:ind w:firstLine="640" w:firstLineChars="200"/>
        <w:jc w:val="left"/>
        <w:rPr>
          <w:rStyle w:val="13"/>
          <w:rFonts w:ascii="黑体" w:hAnsi="黑体" w:eastAsia="黑体"/>
          <w:sz w:val="32"/>
          <w:szCs w:val="32"/>
        </w:rPr>
      </w:pPr>
    </w:p>
    <w:p>
      <w:pPr>
        <w:tabs>
          <w:tab w:val="left" w:pos="7560"/>
        </w:tabs>
        <w:snapToGrid w:val="0"/>
        <w:spacing w:line="560" w:lineRule="exact"/>
        <w:rPr>
          <w:rStyle w:val="13"/>
          <w:rFonts w:eastAsia="方正小标宋简体"/>
          <w:bCs/>
          <w:sz w:val="44"/>
          <w:szCs w:val="44"/>
        </w:rPr>
      </w:pPr>
    </w:p>
    <w:p>
      <w:pPr>
        <w:tabs>
          <w:tab w:val="left" w:pos="7560"/>
        </w:tabs>
        <w:snapToGrid w:val="0"/>
        <w:spacing w:line="560" w:lineRule="exact"/>
        <w:jc w:val="center"/>
        <w:rPr>
          <w:rStyle w:val="13"/>
          <w:rFonts w:eastAsia="黑体"/>
          <w:sz w:val="32"/>
          <w:szCs w:val="32"/>
        </w:rPr>
      </w:pPr>
      <w:r>
        <w:rPr>
          <w:rStyle w:val="13"/>
          <w:rFonts w:hint="eastAsia" w:eastAsia="方正小标宋简体"/>
          <w:bCs/>
          <w:sz w:val="44"/>
          <w:szCs w:val="44"/>
        </w:rPr>
        <w:t>株洲市芦淞区民政局</w:t>
      </w:r>
      <w:r>
        <w:rPr>
          <w:rStyle w:val="13"/>
          <w:rFonts w:eastAsia="方正小标宋简体"/>
          <w:bCs/>
          <w:sz w:val="44"/>
          <w:szCs w:val="44"/>
        </w:rPr>
        <w:t>202</w:t>
      </w:r>
      <w:r>
        <w:rPr>
          <w:rStyle w:val="13"/>
          <w:rFonts w:hint="eastAsia" w:eastAsia="方正小标宋简体"/>
          <w:bCs/>
          <w:sz w:val="44"/>
          <w:szCs w:val="44"/>
          <w:lang w:val="en-US" w:eastAsia="zh-CN"/>
        </w:rPr>
        <w:t>1</w:t>
      </w:r>
      <w:r>
        <w:rPr>
          <w:rStyle w:val="13"/>
          <w:rFonts w:hint="eastAsia" w:eastAsia="方正小标宋简体"/>
          <w:bCs/>
          <w:sz w:val="44"/>
          <w:szCs w:val="44"/>
        </w:rPr>
        <w:t>年部门预算说明</w:t>
      </w:r>
    </w:p>
    <w:p>
      <w:pPr>
        <w:tabs>
          <w:tab w:val="left" w:pos="7560"/>
        </w:tabs>
        <w:snapToGrid w:val="0"/>
        <w:spacing w:line="560" w:lineRule="exact"/>
        <w:ind w:firstLine="640" w:firstLineChars="200"/>
        <w:rPr>
          <w:rStyle w:val="13"/>
          <w:rFonts w:eastAsia="黑体"/>
          <w:sz w:val="32"/>
          <w:szCs w:val="32"/>
        </w:rPr>
      </w:pPr>
    </w:p>
    <w:p>
      <w:pPr>
        <w:tabs>
          <w:tab w:val="left" w:pos="7560"/>
        </w:tabs>
        <w:snapToGrid w:val="0"/>
        <w:spacing w:line="560" w:lineRule="exact"/>
        <w:ind w:firstLine="640" w:firstLineChars="200"/>
        <w:rPr>
          <w:rStyle w:val="13"/>
          <w:rFonts w:hAnsi="黑体" w:eastAsia="黑体"/>
          <w:sz w:val="32"/>
          <w:szCs w:val="32"/>
        </w:rPr>
      </w:pPr>
      <w:r>
        <w:rPr>
          <w:rStyle w:val="13"/>
          <w:rFonts w:hint="eastAsia" w:hAnsi="黑体" w:eastAsia="黑体"/>
          <w:sz w:val="32"/>
          <w:szCs w:val="32"/>
        </w:rPr>
        <w:t>一、</w:t>
      </w:r>
      <w:r>
        <w:rPr>
          <w:rStyle w:val="13"/>
          <w:rFonts w:eastAsia="黑体"/>
          <w:sz w:val="32"/>
          <w:szCs w:val="32"/>
        </w:rPr>
        <w:t xml:space="preserve"> </w:t>
      </w:r>
      <w:r>
        <w:rPr>
          <w:rStyle w:val="13"/>
          <w:rFonts w:hint="eastAsia" w:hAnsi="黑体" w:eastAsia="黑体"/>
          <w:sz w:val="32"/>
          <w:szCs w:val="32"/>
        </w:rPr>
        <w:t>部门职能职责</w:t>
      </w:r>
    </w:p>
    <w:p>
      <w:pPr>
        <w:tabs>
          <w:tab w:val="left" w:pos="7560"/>
        </w:tabs>
        <w:snapToGrid w:val="0"/>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贯彻执行国家、省、市关于民政工作的法律法规和方针、政策。根据国民经济和社会发展规划，拟订全区民政事业发展的规划，制定年度计划，拟订全区民政工作有关政策、规章的实施细则与办法，并组织实施和监督检查。</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（二）依法对全区社会团体、民办非企业单位、基金会等社会组织进行登记管理和监督工作，承担区本级社会团体、民办非企业、基金会等社会组织年度检查工作。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三）贯彻落实上级有关社会救助政策、标准，拟订全区特困人员特殊救助等社会救助政策，统筹社会救助体系建设，负责城乡居民最低生活保障、特困人员救助供养、临时救助、生活无着流浪乞讨人员救助工作；贯彻执行上级有关城乡居民低收入家庭收入核查政策，承担全区低收入家庭收入的核查统计认定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四）拟订全区城乡基层群众自治建设和社区治理实施方案，指导全区城乡社区治理体系和治理能力建设；指导、组织城乡社区建设和服务管理；推动村（居）务公开和基层民主政治建设；负责行政村、社区居委会的建立、撤销、更名报批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五）贯彻执行国家、省、市关于养老服务的有关法规、政策，并组织实施，统筹推进、督促指导、监督管理全区养老服务工作，拟订全区养老服务体系建设规划、政策、标准并组织实施，承担全区老年人福利和特殊困难老年人救助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（六）贯彻执行国家、省、市关于残疾人权益保护的有关政策，会同有关部门，统筹推进残疾人权益保护和残疾人福利工作，承担全区残疾人“两项”补贴发放工作。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七）贯彻执行国家、省、市关于儿童福利、孤弃儿童保障、儿童收养、儿童救助保护的有关政策，并拟订全区有关政策、规章的实施细则与办法，负责全区儿童福利、儿童救助保护、儿童收养登记管理工作，配合有关部门保护女儿童的合法权益，建立健全农村留守儿童关爱服务体系和困境儿童保障制度，承担全区孤儿基本生活保障和未成年人保护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八）贯彻执行国家、省、市关于社会工作、志愿服务的方针、政策，会同有关部门拟订全区社会工作规范性文件草案和发展规划、职业规划，推进社会工作人才队伍建设和志愿者队伍建设，指导全区基层社会工作服务机构的建设和民政经办能力的提升。</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（九）负责指导并培育扶持社会组织发展，指导社会组织党建工作。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（十）负责全区慈善工作，组织指导筹募善款、慈善救助、社会捐助等工作。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（十一）贯彻执行国家、省、市关于婚姻登记和收养登记的有关法规、政策，负责全区婚姻登记、收养登记管理工作，推进婚俗改革。</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十二）贯彻执行国家、省、市关于区划地名工作的方针、政策、法律、法规；落实全国地名工作规划；负责全区地名的命名、更名、变更和政府驻地迁移报批工作；推行地名的标准化、规范化管理；设置地名标志；组织建立、管理地名信息资料和档案；负责全区行政区划界线的勘定和管理工作，负责全区镇（街道）的行政区划设立、命名、变更和政府驻地迁移的报批工作，负责行政村、社区居委会的界线变更报批工作，承办与相邻市区（县）边界的勘界工作和边界争议的调查和处理工作。</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（十三）贯彻落实国家、省、市关于殡葬管理和服务规范的有关法规、政策，组织实施殡葬管理改革，指导全区殡葬设施建设和规范管理。</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（十四）完成区委、区政府交办的其他任务。</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（十五）职能转变。</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将退役军人优抚安置职责划入区退役军人事务局。</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w:t>
      </w:r>
      <w:r>
        <w:rPr>
          <w:rFonts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rPr>
        <w:t>将救灾职责划入区应急管理局。</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w:t>
      </w:r>
      <w:r>
        <w:rPr>
          <w:rFonts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将老龄工作职责划入区卫生健康局。</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w:t>
      </w:r>
      <w:r>
        <w:rPr>
          <w:rFonts w:ascii="仿宋_GB2312" w:hAnsi="仿宋_GB2312" w:eastAsia="仿宋_GB2312" w:cs="仿宋_GB2312"/>
          <w:color w:val="333333"/>
          <w:sz w:val="32"/>
          <w:szCs w:val="32"/>
          <w:shd w:val="clear" w:color="auto" w:fill="FFFFFF"/>
        </w:rPr>
        <w:t>4.</w:t>
      </w:r>
      <w:r>
        <w:rPr>
          <w:rFonts w:hint="eastAsia" w:ascii="仿宋_GB2312" w:hAnsi="仿宋_GB2312" w:eastAsia="仿宋_GB2312" w:cs="仿宋_GB2312"/>
          <w:color w:val="333333"/>
          <w:sz w:val="32"/>
          <w:szCs w:val="32"/>
          <w:shd w:val="clear" w:color="auto" w:fill="FFFFFF"/>
        </w:rPr>
        <w:t>将医疗救助职责划入区医疗保障局。</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w:t>
      </w:r>
      <w:r>
        <w:rPr>
          <w:rFonts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rPr>
        <w:t>将救灾物资储备职责划入区商务和粮食局。</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（十六）有关职责分工。</w:t>
      </w:r>
      <w:r>
        <w:rPr>
          <w:rFonts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shd w:val="clear" w:color="auto" w:fill="FFFFFF"/>
        </w:rPr>
        <w:t>　　与区卫生健康局的有关职责分工：区民政局负责统筹推进、督促指导、监督管理养老服务工作，拟订全区养老服务体系建设政策实施细则与办法并组织实施，承担全区老年人福利和特殊困难老年人救助工作；区卫生健康局负责拟订应对人口老龄化、医养结合政策措施，综合协调、督促指导、组织推进老龄事业发展，承担老年疾病防治、老年人医疗照护、老年人心理健康与关怀等老年健康工作。</w:t>
      </w:r>
    </w:p>
    <w:p>
      <w:pPr>
        <w:tabs>
          <w:tab w:val="left" w:pos="7560"/>
        </w:tabs>
        <w:snapToGrid w:val="0"/>
        <w:spacing w:line="560" w:lineRule="exact"/>
        <w:ind w:firstLine="640" w:firstLineChars="200"/>
        <w:rPr>
          <w:rStyle w:val="13"/>
          <w:rFonts w:eastAsia="黑体"/>
          <w:sz w:val="32"/>
          <w:szCs w:val="32"/>
        </w:rPr>
      </w:pPr>
      <w:r>
        <w:rPr>
          <w:rStyle w:val="13"/>
          <w:rFonts w:hint="eastAsia" w:hAnsi="黑体" w:eastAsia="黑体"/>
          <w:sz w:val="32"/>
          <w:szCs w:val="32"/>
        </w:rPr>
        <w:t>二、机构设置</w:t>
      </w:r>
    </w:p>
    <w:p>
      <w:pPr>
        <w:tabs>
          <w:tab w:val="left" w:pos="7560"/>
        </w:tabs>
        <w:snapToGrid w:val="0"/>
        <w:spacing w:line="560" w:lineRule="exact"/>
        <w:ind w:firstLine="640" w:firstLineChars="200"/>
        <w:rPr>
          <w:rFonts w:ascii="仿宋_GB2312" w:hAnsi="仿宋_GB2312" w:eastAsia="仿宋_GB2312" w:cs="仿宋_GB2312"/>
          <w:sz w:val="32"/>
          <w:szCs w:val="32"/>
          <w:shd w:val="clear" w:color="auto" w:fill="FFFFFF"/>
        </w:rPr>
      </w:pPr>
      <w:r>
        <w:rPr>
          <w:rStyle w:val="13"/>
          <w:rFonts w:eastAsia="仿宋_GB2312"/>
          <w:bCs/>
          <w:sz w:val="32"/>
          <w:szCs w:val="32"/>
        </w:rPr>
        <w:t> </w:t>
      </w:r>
      <w:r>
        <w:rPr>
          <w:rFonts w:hint="eastAsia" w:ascii="仿宋_GB2312" w:hAnsi="仿宋_GB2312" w:eastAsia="仿宋_GB2312" w:cs="仿宋_GB2312"/>
          <w:sz w:val="32"/>
          <w:szCs w:val="32"/>
          <w:shd w:val="clear" w:color="auto" w:fill="FFFFFF"/>
        </w:rPr>
        <w:t>本部门共有编制人数</w:t>
      </w:r>
      <w:r>
        <w:rPr>
          <w:rFonts w:ascii="仿宋_GB2312" w:hAnsi="仿宋_GB2312" w:eastAsia="仿宋_GB2312" w:cs="仿宋_GB2312"/>
          <w:sz w:val="32"/>
          <w:szCs w:val="32"/>
          <w:shd w:val="clear" w:color="auto" w:fill="FFFFFF"/>
        </w:rPr>
        <w:t>13</w:t>
      </w:r>
      <w:r>
        <w:rPr>
          <w:rFonts w:hint="eastAsia" w:ascii="仿宋_GB2312" w:hAnsi="仿宋_GB2312" w:eastAsia="仿宋_GB2312" w:cs="仿宋_GB2312"/>
          <w:sz w:val="32"/>
          <w:szCs w:val="32"/>
          <w:shd w:val="clear" w:color="auto" w:fill="FFFFFF"/>
        </w:rPr>
        <w:t>人，实有人数</w:t>
      </w:r>
      <w:r>
        <w:rPr>
          <w:rFonts w:ascii="仿宋_GB2312" w:hAnsi="仿宋_GB2312" w:eastAsia="仿宋_GB2312" w:cs="仿宋_GB2312"/>
          <w:sz w:val="32"/>
          <w:szCs w:val="32"/>
          <w:shd w:val="clear" w:color="auto" w:fill="FFFFFF"/>
        </w:rPr>
        <w:t>17</w:t>
      </w:r>
      <w:r>
        <w:rPr>
          <w:rFonts w:hint="eastAsia" w:ascii="仿宋_GB2312" w:hAnsi="仿宋_GB2312" w:eastAsia="仿宋_GB2312" w:cs="仿宋_GB2312"/>
          <w:sz w:val="32"/>
          <w:szCs w:val="32"/>
          <w:shd w:val="clear" w:color="auto" w:fill="FFFFFF"/>
        </w:rPr>
        <w:t>人</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含无固定期限合同人员</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人、临聘人员</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人</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。内设股室、单位</w:t>
      </w:r>
      <w:r>
        <w:rPr>
          <w:rFonts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个（含</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个副科级单位），分别为：综合办公室、社会救助股、基层政权建设和社区治理股、养老服务和儿童福利股、社会事务股和区慈善事务服务中心。</w:t>
      </w:r>
    </w:p>
    <w:p>
      <w:pPr>
        <w:tabs>
          <w:tab w:val="left" w:pos="7560"/>
        </w:tabs>
        <w:snapToGrid w:val="0"/>
        <w:spacing w:line="560" w:lineRule="exact"/>
        <w:ind w:firstLine="640" w:firstLineChars="200"/>
        <w:rPr>
          <w:rStyle w:val="13"/>
          <w:rFonts w:ascii="仿宋_GB2312" w:hAnsi="仿宋_GB2312" w:eastAsia="仿宋_GB2312" w:cs="仿宋_GB2312"/>
          <w:sz w:val="32"/>
          <w:szCs w:val="32"/>
        </w:rPr>
      </w:pPr>
      <w:r>
        <w:rPr>
          <w:rStyle w:val="13"/>
          <w:rFonts w:hint="eastAsia" w:ascii="仿宋_GB2312" w:hAnsi="仿宋_GB2312" w:eastAsia="仿宋_GB2312" w:cs="仿宋_GB2312"/>
          <w:sz w:val="32"/>
          <w:szCs w:val="32"/>
        </w:rPr>
        <w:t>纳入本部门</w:t>
      </w:r>
      <w:r>
        <w:rPr>
          <w:rStyle w:val="13"/>
          <w:rFonts w:ascii="仿宋_GB2312" w:hAnsi="仿宋_GB2312" w:eastAsia="仿宋_GB2312" w:cs="仿宋_GB2312"/>
          <w:sz w:val="32"/>
          <w:szCs w:val="32"/>
        </w:rPr>
        <w:t>202</w:t>
      </w:r>
      <w:r>
        <w:rPr>
          <w:rStyle w:val="13"/>
          <w:rFonts w:hint="eastAsia" w:ascii="仿宋_GB2312" w:hAnsi="仿宋_GB2312" w:eastAsia="仿宋_GB2312" w:cs="仿宋_GB2312"/>
          <w:sz w:val="32"/>
          <w:szCs w:val="32"/>
          <w:lang w:val="en-US" w:eastAsia="zh-CN"/>
        </w:rPr>
        <w:t>1</w:t>
      </w:r>
      <w:r>
        <w:rPr>
          <w:rStyle w:val="13"/>
          <w:rFonts w:hint="eastAsia" w:ascii="仿宋_GB2312" w:hAnsi="仿宋_GB2312" w:eastAsia="仿宋_GB2312" w:cs="仿宋_GB2312"/>
          <w:sz w:val="32"/>
          <w:szCs w:val="32"/>
        </w:rPr>
        <w:t>年部门预算编制范围的是局机关，本部门无下属预算单位。</w:t>
      </w:r>
    </w:p>
    <w:p>
      <w:pPr>
        <w:tabs>
          <w:tab w:val="left" w:pos="7560"/>
        </w:tabs>
        <w:snapToGrid w:val="0"/>
        <w:spacing w:line="560" w:lineRule="exact"/>
        <w:ind w:firstLine="640" w:firstLineChars="200"/>
        <w:rPr>
          <w:rStyle w:val="13"/>
          <w:rFonts w:eastAsia="黑体"/>
          <w:sz w:val="32"/>
          <w:szCs w:val="32"/>
        </w:rPr>
      </w:pPr>
      <w:r>
        <w:rPr>
          <w:rStyle w:val="13"/>
          <w:rFonts w:hint="eastAsia" w:hAnsi="黑体" w:eastAsia="黑体"/>
          <w:sz w:val="32"/>
          <w:szCs w:val="32"/>
          <w:lang w:eastAsia="zh-CN"/>
        </w:rPr>
        <w:t>三</w:t>
      </w:r>
      <w:r>
        <w:rPr>
          <w:rStyle w:val="13"/>
          <w:rFonts w:hint="eastAsia" w:hAnsi="黑体" w:eastAsia="黑体"/>
          <w:sz w:val="32"/>
          <w:szCs w:val="32"/>
        </w:rPr>
        <w:t>、</w:t>
      </w:r>
      <w:r>
        <w:rPr>
          <w:rStyle w:val="13"/>
          <w:rFonts w:eastAsia="黑体"/>
          <w:sz w:val="32"/>
          <w:szCs w:val="32"/>
        </w:rPr>
        <w:t xml:space="preserve"> </w:t>
      </w:r>
      <w:r>
        <w:rPr>
          <w:rStyle w:val="13"/>
          <w:rFonts w:hint="eastAsia" w:hAnsi="黑体" w:eastAsia="黑体"/>
          <w:sz w:val="32"/>
          <w:szCs w:val="32"/>
        </w:rPr>
        <w:t>部门收支总体情况</w:t>
      </w:r>
    </w:p>
    <w:p>
      <w:pPr>
        <w:tabs>
          <w:tab w:val="left" w:pos="7560"/>
        </w:tabs>
        <w:snapToGrid w:val="0"/>
        <w:spacing w:line="560" w:lineRule="exact"/>
        <w:ind w:firstLine="640" w:firstLineChars="200"/>
        <w:rPr>
          <w:rStyle w:val="13"/>
          <w:rFonts w:ascii="仿宋_GB2312" w:hAnsi="仿宋_GB2312" w:eastAsia="仿宋_GB2312" w:cs="仿宋_GB2312"/>
          <w:sz w:val="32"/>
          <w:szCs w:val="32"/>
        </w:rPr>
      </w:pPr>
      <w:r>
        <w:rPr>
          <w:rStyle w:val="13"/>
          <w:rFonts w:eastAsia="仿宋_GB2312"/>
          <w:sz w:val="32"/>
          <w:szCs w:val="32"/>
        </w:rPr>
        <w:t>202</w:t>
      </w:r>
      <w:r>
        <w:rPr>
          <w:rStyle w:val="13"/>
          <w:rFonts w:hint="eastAsia" w:eastAsia="仿宋_GB2312"/>
          <w:sz w:val="32"/>
          <w:szCs w:val="32"/>
          <w:lang w:val="en-US" w:eastAsia="zh-CN"/>
        </w:rPr>
        <w:t>1</w:t>
      </w:r>
      <w:r>
        <w:rPr>
          <w:rStyle w:val="13"/>
          <w:rFonts w:hint="eastAsia" w:eastAsia="仿宋_GB2312"/>
          <w:sz w:val="32"/>
          <w:szCs w:val="32"/>
        </w:rPr>
        <w:t>年株洲市芦淞区民政局公开的部门预算为局机关。收入包括一般公共预算收入；支出既包括保障局机关基本运行的经费，也包括归口管理、面向全区分配的专项经费。</w:t>
      </w:r>
      <w:r>
        <w:rPr>
          <w:rStyle w:val="13"/>
          <w:rFonts w:hint="eastAsia" w:ascii="仿宋_GB2312" w:hAnsi="仿宋_GB2312" w:eastAsia="仿宋_GB2312" w:cs="仿宋_GB2312"/>
          <w:sz w:val="32"/>
          <w:szCs w:val="32"/>
        </w:rPr>
        <w:t>（详见附表</w:t>
      </w:r>
      <w:r>
        <w:rPr>
          <w:rStyle w:val="13"/>
          <w:rFonts w:ascii="仿宋_GB2312" w:hAnsi="仿宋_GB2312" w:eastAsia="仿宋_GB2312" w:cs="仿宋_GB2312"/>
          <w:sz w:val="32"/>
          <w:szCs w:val="32"/>
        </w:rPr>
        <w:t>1-4</w:t>
      </w:r>
      <w:r>
        <w:rPr>
          <w:rStyle w:val="13"/>
          <w:rFonts w:hint="eastAsia" w:ascii="仿宋_GB2312" w:hAnsi="仿宋_GB2312" w:eastAsia="仿宋_GB2312" w:cs="仿宋_GB2312"/>
          <w:sz w:val="32"/>
          <w:szCs w:val="32"/>
        </w:rPr>
        <w:t>）</w:t>
      </w:r>
    </w:p>
    <w:p>
      <w:pPr>
        <w:tabs>
          <w:tab w:val="left" w:pos="7560"/>
        </w:tabs>
        <w:snapToGrid w:val="0"/>
        <w:spacing w:line="560" w:lineRule="exact"/>
        <w:ind w:firstLine="640" w:firstLineChars="200"/>
        <w:rPr>
          <w:rStyle w:val="8"/>
          <w:rFonts w:eastAsia="仿宋_GB2312"/>
          <w:sz w:val="32"/>
          <w:szCs w:val="32"/>
        </w:rPr>
      </w:pPr>
      <w:r>
        <w:rPr>
          <w:rStyle w:val="13"/>
          <w:rFonts w:hint="eastAsia" w:ascii="楷体_GB2312" w:hAnsi="宋体" w:eastAsia="楷体_GB2312" w:cs="宋体"/>
          <w:bCs/>
          <w:sz w:val="32"/>
          <w:szCs w:val="32"/>
        </w:rPr>
        <w:t>（一）收入预算</w:t>
      </w:r>
      <w:r>
        <w:rPr>
          <w:rStyle w:val="13"/>
          <w:rFonts w:hint="eastAsia" w:ascii="楷体_GB2312" w:hAnsi="宋体" w:eastAsia="楷体_GB2312" w:cs="宋体"/>
          <w:sz w:val="32"/>
          <w:szCs w:val="32"/>
        </w:rPr>
        <w:t>：</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年年初预算数</w:t>
      </w:r>
      <w:r>
        <w:rPr>
          <w:rFonts w:hint="eastAsia" w:ascii="仿宋_GB2312" w:hAnsi="仿宋_GB2312" w:eastAsia="仿宋_GB2312" w:cs="仿宋_GB2312"/>
          <w:sz w:val="32"/>
          <w:szCs w:val="32"/>
          <w:shd w:val="clear" w:color="auto" w:fill="FFFFFF"/>
          <w:lang w:val="en-US" w:eastAsia="zh-CN"/>
        </w:rPr>
        <w:t>372.65</w:t>
      </w:r>
      <w:r>
        <w:rPr>
          <w:rFonts w:hint="eastAsia" w:ascii="仿宋_GB2312" w:hAnsi="仿宋_GB2312" w:eastAsia="仿宋_GB2312" w:cs="仿宋_GB2312"/>
          <w:sz w:val="32"/>
          <w:szCs w:val="32"/>
          <w:shd w:val="clear" w:color="auto" w:fill="FFFFFF"/>
        </w:rPr>
        <w:t>万元，其中，一般公共预算拨款</w:t>
      </w:r>
      <w:r>
        <w:rPr>
          <w:rFonts w:hint="eastAsia" w:ascii="仿宋_GB2312" w:hAnsi="仿宋_GB2312" w:eastAsia="仿宋_GB2312" w:cs="仿宋_GB2312"/>
          <w:sz w:val="32"/>
          <w:szCs w:val="32"/>
          <w:shd w:val="clear" w:color="auto" w:fill="FFFFFF"/>
          <w:lang w:val="en-US" w:eastAsia="zh-CN"/>
        </w:rPr>
        <w:t>355.15</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、纳入财政预算管理的非税收入拨款</w:t>
      </w:r>
      <w:r>
        <w:rPr>
          <w:rFonts w:hint="eastAsia" w:ascii="仿宋_GB2312" w:hAnsi="仿宋_GB2312" w:eastAsia="仿宋_GB2312" w:cs="仿宋_GB2312"/>
          <w:sz w:val="32"/>
          <w:szCs w:val="32"/>
          <w:shd w:val="clear" w:color="auto" w:fill="FFFFFF"/>
          <w:lang w:val="en-US" w:eastAsia="zh-CN"/>
        </w:rPr>
        <w:t>17.5万元</w:t>
      </w:r>
      <w:r>
        <w:rPr>
          <w:rFonts w:hint="eastAsia" w:ascii="仿宋_GB2312" w:hAnsi="仿宋_GB2312" w:eastAsia="仿宋_GB2312" w:cs="仿宋_GB2312"/>
          <w:sz w:val="32"/>
          <w:szCs w:val="32"/>
          <w:shd w:val="clear" w:color="auto" w:fill="FFFFFF"/>
        </w:rPr>
        <w:t>；因上年结转数暂未最终确定，本年度收支预算中均不含上年结转数字。</w:t>
      </w:r>
      <w:r>
        <w:rPr>
          <w:rStyle w:val="8"/>
          <w:rFonts w:eastAsia="仿宋_GB2312"/>
          <w:sz w:val="32"/>
          <w:szCs w:val="32"/>
        </w:rPr>
        <w:t xml:space="preserve"> </w:t>
      </w:r>
    </w:p>
    <w:p>
      <w:pPr>
        <w:tabs>
          <w:tab w:val="left" w:pos="7560"/>
        </w:tabs>
        <w:snapToGrid w:val="0"/>
        <w:spacing w:line="560" w:lineRule="exact"/>
        <w:ind w:firstLine="640" w:firstLineChars="200"/>
        <w:rPr>
          <w:rFonts w:hint="eastAsia" w:ascii="仿宋_GB2312" w:hAnsi="仿宋_GB2312" w:eastAsia="仿宋_GB2312" w:cs="仿宋_GB2312"/>
          <w:sz w:val="32"/>
          <w:szCs w:val="32"/>
          <w:shd w:val="clear" w:color="auto" w:fill="FFFFFF"/>
        </w:rPr>
      </w:pPr>
      <w:r>
        <w:rPr>
          <w:rStyle w:val="13"/>
          <w:rFonts w:hint="eastAsia" w:ascii="楷体_GB2312" w:hAnsi="宋体" w:eastAsia="楷体_GB2312" w:cs="宋体"/>
          <w:bCs/>
          <w:sz w:val="32"/>
          <w:szCs w:val="32"/>
        </w:rPr>
        <w:t>（二）支出预算：</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年年初预算数</w:t>
      </w:r>
      <w:r>
        <w:rPr>
          <w:rFonts w:hint="eastAsia" w:ascii="仿宋_GB2312" w:hAnsi="仿宋_GB2312" w:eastAsia="仿宋_GB2312" w:cs="仿宋_GB2312"/>
          <w:sz w:val="32"/>
          <w:szCs w:val="32"/>
          <w:shd w:val="clear" w:color="auto" w:fill="FFFFFF"/>
          <w:lang w:val="en-US" w:eastAsia="zh-CN"/>
        </w:rPr>
        <w:t>372.65</w:t>
      </w:r>
      <w:r>
        <w:rPr>
          <w:rFonts w:hint="eastAsia" w:ascii="仿宋_GB2312" w:hAnsi="仿宋_GB2312" w:eastAsia="仿宋_GB2312" w:cs="仿宋_GB2312"/>
          <w:sz w:val="32"/>
          <w:szCs w:val="32"/>
          <w:shd w:val="clear" w:color="auto" w:fill="FFFFFF"/>
        </w:rPr>
        <w:t>万元，其中，社会保障和就业支出</w:t>
      </w:r>
      <w:r>
        <w:rPr>
          <w:rFonts w:ascii="仿宋_GB2312" w:hAnsi="仿宋_GB2312" w:eastAsia="仿宋_GB2312" w:cs="仿宋_GB2312"/>
          <w:sz w:val="32"/>
          <w:szCs w:val="32"/>
          <w:shd w:val="clear" w:color="auto" w:fill="FFFFFF"/>
        </w:rPr>
        <w:t>37</w:t>
      </w:r>
      <w:r>
        <w:rPr>
          <w:rFonts w:hint="eastAsia" w:ascii="仿宋_GB2312" w:hAnsi="仿宋_GB2312" w:eastAsia="仿宋_GB2312" w:cs="仿宋_GB2312"/>
          <w:sz w:val="32"/>
          <w:szCs w:val="32"/>
          <w:shd w:val="clear" w:color="auto" w:fill="FFFFFF"/>
          <w:lang w:val="en-US" w:eastAsia="zh-CN"/>
        </w:rPr>
        <w:t>2.65</w:t>
      </w:r>
      <w:r>
        <w:rPr>
          <w:rFonts w:hint="eastAsia" w:ascii="仿宋_GB2312" w:hAnsi="仿宋_GB2312" w:eastAsia="仿宋_GB2312" w:cs="仿宋_GB2312"/>
          <w:sz w:val="32"/>
          <w:szCs w:val="32"/>
          <w:shd w:val="clear" w:color="auto" w:fill="FFFFFF"/>
        </w:rPr>
        <w:t>万元。</w:t>
      </w:r>
    </w:p>
    <w:p>
      <w:pPr>
        <w:tabs>
          <w:tab w:val="left" w:pos="7560"/>
        </w:tabs>
        <w:snapToGrid w:val="0"/>
        <w:spacing w:line="560" w:lineRule="exact"/>
        <w:ind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具体安排如下：</w:t>
      </w:r>
    </w:p>
    <w:p>
      <w:pPr>
        <w:tabs>
          <w:tab w:val="left" w:pos="7560"/>
        </w:tabs>
        <w:snapToGrid w:val="0"/>
        <w:spacing w:line="560" w:lineRule="exact"/>
        <w:ind w:firstLine="640" w:firstLineChars="200"/>
        <w:rPr>
          <w:rStyle w:val="13"/>
          <w:rFonts w:eastAsia="仿宋_GB2312"/>
          <w:sz w:val="32"/>
          <w:szCs w:val="32"/>
        </w:rPr>
      </w:pPr>
      <w:r>
        <w:rPr>
          <w:rStyle w:val="13"/>
          <w:rFonts w:hint="eastAsia" w:ascii="楷体_GB2312" w:hAnsi="宋体" w:eastAsia="楷体_GB2312" w:cs="宋体"/>
          <w:bCs/>
          <w:sz w:val="32"/>
          <w:szCs w:val="32"/>
          <w:lang w:val="en-US" w:eastAsia="zh-CN"/>
        </w:rPr>
        <w:t>1、</w:t>
      </w:r>
      <w:r>
        <w:rPr>
          <w:rStyle w:val="13"/>
          <w:rFonts w:hint="eastAsia" w:ascii="楷体_GB2312" w:hAnsi="宋体" w:eastAsia="楷体_GB2312" w:cs="宋体"/>
          <w:bCs/>
          <w:sz w:val="32"/>
          <w:szCs w:val="32"/>
        </w:rPr>
        <w:t>基本支出</w:t>
      </w:r>
      <w:r>
        <w:rPr>
          <w:rStyle w:val="13"/>
          <w:rFonts w:hint="eastAsia" w:ascii="楷体_GB2312" w:hAnsi="宋体" w:eastAsia="楷体_GB2312" w:cs="宋体"/>
          <w:bCs/>
          <w:sz w:val="32"/>
          <w:szCs w:val="32"/>
          <w:lang w:eastAsia="zh-CN"/>
        </w:rPr>
        <w:t>：</w:t>
      </w:r>
      <w:r>
        <w:rPr>
          <w:rStyle w:val="13"/>
          <w:rFonts w:ascii="仿宋_GB2312" w:hAnsi="仿宋_GB2312" w:eastAsia="仿宋_GB2312" w:cs="仿宋_GB2312"/>
          <w:sz w:val="32"/>
          <w:szCs w:val="32"/>
        </w:rPr>
        <w:t>202</w:t>
      </w:r>
      <w:r>
        <w:rPr>
          <w:rStyle w:val="13"/>
          <w:rFonts w:hint="eastAsia" w:ascii="仿宋_GB2312" w:hAnsi="仿宋_GB2312" w:eastAsia="仿宋_GB2312" w:cs="仿宋_GB2312"/>
          <w:sz w:val="32"/>
          <w:szCs w:val="32"/>
          <w:lang w:val="en-US" w:eastAsia="zh-CN"/>
        </w:rPr>
        <w:t>1</w:t>
      </w:r>
      <w:r>
        <w:rPr>
          <w:rStyle w:val="13"/>
          <w:rFonts w:hint="eastAsia" w:ascii="仿宋_GB2312" w:hAnsi="仿宋_GB2312" w:eastAsia="仿宋_GB2312" w:cs="仿宋_GB2312"/>
          <w:sz w:val="32"/>
          <w:szCs w:val="32"/>
        </w:rPr>
        <w:t>年年初预算数为</w:t>
      </w:r>
      <w:r>
        <w:rPr>
          <w:rStyle w:val="13"/>
          <w:rFonts w:hint="eastAsia" w:ascii="仿宋_GB2312" w:hAnsi="仿宋_GB2312" w:eastAsia="仿宋_GB2312" w:cs="仿宋_GB2312"/>
          <w:sz w:val="32"/>
          <w:szCs w:val="32"/>
          <w:lang w:val="en-US" w:eastAsia="zh-CN"/>
        </w:rPr>
        <w:t>347.15</w:t>
      </w:r>
      <w:r>
        <w:rPr>
          <w:rStyle w:val="13"/>
          <w:rFonts w:hint="eastAsia" w:ascii="仿宋_GB2312" w:hAnsi="仿宋_GB2312" w:eastAsia="仿宋_GB2312" w:cs="仿宋_GB2312"/>
          <w:sz w:val="32"/>
          <w:szCs w:val="32"/>
        </w:rPr>
        <w:t>万元，是指为保障单位机构正常运转、完成日常工作任务而发生的各项支出，包括用于基本工资、津贴补贴等人员经费以及日常公用经费、业务性商品和服务支出。其中包括基本工资</w:t>
      </w:r>
      <w:r>
        <w:rPr>
          <w:rStyle w:val="13"/>
          <w:rFonts w:hint="eastAsia" w:ascii="仿宋_GB2312" w:hAnsi="仿宋_GB2312" w:eastAsia="仿宋_GB2312" w:cs="仿宋_GB2312"/>
          <w:sz w:val="32"/>
          <w:szCs w:val="32"/>
          <w:lang w:val="en-US" w:eastAsia="zh-CN"/>
        </w:rPr>
        <w:t>51.1</w:t>
      </w:r>
      <w:r>
        <w:rPr>
          <w:rStyle w:val="13"/>
          <w:rFonts w:hint="eastAsia" w:ascii="仿宋_GB2312" w:hAnsi="仿宋_GB2312" w:eastAsia="仿宋_GB2312" w:cs="仿宋_GB2312"/>
          <w:sz w:val="32"/>
          <w:szCs w:val="32"/>
        </w:rPr>
        <w:t>万元、津贴补贴</w:t>
      </w:r>
      <w:r>
        <w:rPr>
          <w:rStyle w:val="13"/>
          <w:rFonts w:hint="eastAsia" w:ascii="仿宋_GB2312" w:hAnsi="仿宋_GB2312" w:eastAsia="仿宋_GB2312" w:cs="仿宋_GB2312"/>
          <w:sz w:val="32"/>
          <w:szCs w:val="32"/>
          <w:lang w:val="en-US" w:eastAsia="zh-CN"/>
        </w:rPr>
        <w:t>36.46</w:t>
      </w:r>
      <w:r>
        <w:rPr>
          <w:rStyle w:val="13"/>
          <w:rFonts w:hint="eastAsia" w:ascii="仿宋_GB2312" w:hAnsi="仿宋_GB2312" w:eastAsia="仿宋_GB2312" w:cs="仿宋_GB2312"/>
          <w:sz w:val="32"/>
          <w:szCs w:val="32"/>
        </w:rPr>
        <w:t>万元、奖金</w:t>
      </w:r>
      <w:r>
        <w:rPr>
          <w:rStyle w:val="13"/>
          <w:rFonts w:ascii="仿宋_GB2312" w:hAnsi="仿宋_GB2312" w:eastAsia="仿宋_GB2312" w:cs="仿宋_GB2312"/>
          <w:sz w:val="32"/>
          <w:szCs w:val="32"/>
        </w:rPr>
        <w:t>3</w:t>
      </w:r>
      <w:r>
        <w:rPr>
          <w:rStyle w:val="13"/>
          <w:rFonts w:hint="eastAsia" w:ascii="仿宋_GB2312" w:hAnsi="仿宋_GB2312" w:eastAsia="仿宋_GB2312" w:cs="仿宋_GB2312"/>
          <w:sz w:val="32"/>
          <w:szCs w:val="32"/>
          <w:lang w:val="en-US" w:eastAsia="zh-CN"/>
        </w:rPr>
        <w:t>8.5</w:t>
      </w:r>
      <w:r>
        <w:rPr>
          <w:rStyle w:val="13"/>
          <w:rFonts w:hint="eastAsia" w:ascii="仿宋_GB2312" w:hAnsi="仿宋_GB2312" w:eastAsia="仿宋_GB2312" w:cs="仿宋_GB2312"/>
          <w:sz w:val="32"/>
          <w:szCs w:val="32"/>
        </w:rPr>
        <w:t>万元、其他工资福利支出</w:t>
      </w:r>
      <w:r>
        <w:rPr>
          <w:rStyle w:val="13"/>
          <w:rFonts w:hint="eastAsia" w:ascii="仿宋_GB2312" w:hAnsi="仿宋_GB2312" w:eastAsia="仿宋_GB2312" w:cs="仿宋_GB2312"/>
          <w:sz w:val="32"/>
          <w:szCs w:val="32"/>
          <w:lang w:val="en-US" w:eastAsia="zh-CN"/>
        </w:rPr>
        <w:t>27.63</w:t>
      </w:r>
      <w:r>
        <w:rPr>
          <w:rStyle w:val="13"/>
          <w:rFonts w:hint="eastAsia" w:ascii="仿宋_GB2312" w:hAnsi="仿宋_GB2312" w:eastAsia="仿宋_GB2312" w:cs="仿宋_GB2312"/>
          <w:sz w:val="32"/>
          <w:szCs w:val="32"/>
        </w:rPr>
        <w:t>万元、公用经费</w:t>
      </w:r>
      <w:r>
        <w:rPr>
          <w:rStyle w:val="13"/>
          <w:rFonts w:hint="eastAsia" w:ascii="仿宋_GB2312" w:hAnsi="仿宋_GB2312" w:eastAsia="仿宋_GB2312" w:cs="仿宋_GB2312"/>
          <w:sz w:val="32"/>
          <w:szCs w:val="32"/>
          <w:lang w:val="en-US" w:eastAsia="zh-CN"/>
        </w:rPr>
        <w:t>28.3</w:t>
      </w:r>
      <w:r>
        <w:rPr>
          <w:rStyle w:val="13"/>
          <w:rFonts w:hint="eastAsia" w:ascii="仿宋_GB2312" w:hAnsi="仿宋_GB2312" w:eastAsia="仿宋_GB2312" w:cs="仿宋_GB2312"/>
          <w:sz w:val="32"/>
          <w:szCs w:val="32"/>
        </w:rPr>
        <w:t>万元等。</w:t>
      </w:r>
    </w:p>
    <w:p>
      <w:pPr>
        <w:tabs>
          <w:tab w:val="left" w:pos="7560"/>
        </w:tabs>
        <w:snapToGrid w:val="0"/>
        <w:spacing w:line="560" w:lineRule="exact"/>
        <w:ind w:firstLine="640" w:firstLineChars="200"/>
        <w:rPr>
          <w:rStyle w:val="13"/>
          <w:rFonts w:hint="eastAsia" w:ascii="仿宋_GB2312" w:hAnsi="仿宋_GB2312" w:eastAsia="仿宋_GB2312" w:cs="仿宋_GB2312"/>
          <w:sz w:val="32"/>
          <w:szCs w:val="32"/>
        </w:rPr>
      </w:pPr>
      <w:r>
        <w:rPr>
          <w:rStyle w:val="13"/>
          <w:rFonts w:hint="eastAsia" w:ascii="楷体_GB2312" w:hAnsi="宋体" w:eastAsia="楷体_GB2312" w:cs="宋体"/>
          <w:bCs/>
          <w:sz w:val="32"/>
          <w:szCs w:val="32"/>
          <w:lang w:val="en-US" w:eastAsia="zh-CN"/>
        </w:rPr>
        <w:t>2、业务类</w:t>
      </w:r>
      <w:r>
        <w:rPr>
          <w:rStyle w:val="13"/>
          <w:rFonts w:hint="eastAsia" w:ascii="楷体_GB2312" w:hAnsi="宋体" w:eastAsia="楷体_GB2312" w:cs="宋体"/>
          <w:bCs/>
          <w:sz w:val="32"/>
          <w:szCs w:val="32"/>
        </w:rPr>
        <w:t>项目支出</w:t>
      </w:r>
      <w:r>
        <w:rPr>
          <w:rStyle w:val="13"/>
          <w:rFonts w:hint="eastAsia" w:ascii="楷体_GB2312" w:hAnsi="宋体" w:eastAsia="楷体_GB2312" w:cs="宋体"/>
          <w:bCs/>
          <w:sz w:val="32"/>
          <w:szCs w:val="32"/>
          <w:lang w:eastAsia="zh-CN"/>
        </w:rPr>
        <w:t>：</w:t>
      </w:r>
      <w:r>
        <w:rPr>
          <w:rStyle w:val="13"/>
          <w:rFonts w:ascii="仿宋_GB2312" w:hAnsi="仿宋_GB2312" w:eastAsia="仿宋_GB2312" w:cs="仿宋_GB2312"/>
          <w:sz w:val="32"/>
          <w:szCs w:val="32"/>
        </w:rPr>
        <w:t>20</w:t>
      </w:r>
      <w:r>
        <w:rPr>
          <w:rStyle w:val="13"/>
          <w:rFonts w:hint="eastAsia" w:ascii="仿宋_GB2312" w:hAnsi="仿宋_GB2312" w:eastAsia="仿宋_GB2312" w:cs="仿宋_GB2312"/>
          <w:sz w:val="32"/>
          <w:szCs w:val="32"/>
          <w:lang w:val="en-US" w:eastAsia="zh-CN"/>
        </w:rPr>
        <w:t>21</w:t>
      </w:r>
      <w:r>
        <w:rPr>
          <w:rStyle w:val="13"/>
          <w:rFonts w:hint="eastAsia" w:ascii="仿宋_GB2312" w:hAnsi="仿宋_GB2312" w:eastAsia="仿宋_GB2312" w:cs="仿宋_GB2312"/>
          <w:sz w:val="32"/>
          <w:szCs w:val="32"/>
        </w:rPr>
        <w:t>年年初预算数为</w:t>
      </w:r>
      <w:r>
        <w:rPr>
          <w:rStyle w:val="13"/>
          <w:rFonts w:hint="eastAsia" w:ascii="仿宋_GB2312" w:hAnsi="仿宋_GB2312" w:eastAsia="仿宋_GB2312" w:cs="仿宋_GB2312"/>
          <w:sz w:val="32"/>
          <w:szCs w:val="32"/>
          <w:lang w:val="en-US" w:eastAsia="zh-CN"/>
        </w:rPr>
        <w:t>25.5</w:t>
      </w:r>
      <w:r>
        <w:rPr>
          <w:rStyle w:val="13"/>
          <w:rFonts w:hint="eastAsia" w:ascii="仿宋_GB2312" w:hAnsi="仿宋_GB2312" w:eastAsia="仿宋_GB2312" w:cs="仿宋_GB2312"/>
          <w:sz w:val="32"/>
          <w:szCs w:val="32"/>
        </w:rPr>
        <w:t>万元，是指单位为完成特定行政工作任务或事业发展目标而发生的支出，包括有关事业发展专项、基本建设支出、资本性支出等。</w:t>
      </w:r>
    </w:p>
    <w:p>
      <w:pPr>
        <w:tabs>
          <w:tab w:val="left" w:pos="7560"/>
        </w:tabs>
        <w:snapToGrid w:val="0"/>
        <w:spacing w:line="560" w:lineRule="exact"/>
        <w:ind w:firstLine="640" w:firstLineChars="200"/>
        <w:rPr>
          <w:rFonts w:hint="eastAsia" w:ascii="仿宋_GB2312" w:hAnsi="仿宋_GB2312" w:eastAsia="仿宋_GB2312" w:cs="仿宋_GB2312"/>
          <w:sz w:val="32"/>
          <w:szCs w:val="32"/>
          <w:shd w:val="clear" w:color="auto" w:fill="FFFFFF"/>
          <w:lang w:eastAsia="zh-CN"/>
        </w:rPr>
      </w:pPr>
      <w:r>
        <w:rPr>
          <w:rStyle w:val="13"/>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shd w:val="clear" w:color="auto" w:fill="FFFFFF"/>
        </w:rPr>
        <w:t>民政管理事务经费专项</w:t>
      </w:r>
      <w:r>
        <w:rPr>
          <w:rFonts w:hint="eastAsia" w:ascii="仿宋_GB2312" w:hAnsi="仿宋_GB2312" w:eastAsia="仿宋_GB2312" w:cs="仿宋_GB2312"/>
          <w:sz w:val="32"/>
          <w:szCs w:val="32"/>
          <w:shd w:val="clear" w:color="auto" w:fill="FFFFFF"/>
          <w:lang w:val="en-US" w:eastAsia="zh-CN"/>
        </w:rPr>
        <w:t>25.5</w:t>
      </w:r>
      <w:r>
        <w:rPr>
          <w:rFonts w:hint="eastAsia" w:ascii="仿宋_GB2312" w:hAnsi="仿宋_GB2312" w:eastAsia="仿宋_GB2312" w:cs="仿宋_GB2312"/>
          <w:sz w:val="32"/>
          <w:szCs w:val="32"/>
          <w:shd w:val="clear" w:color="auto" w:fill="FFFFFF"/>
        </w:rPr>
        <w:t>万元。主要用于地名信息更新上报和信息平台系统操作、行政区划界线联检工作、开展婚姻登记工作便民复印及婚姻档案电子扫描等。</w:t>
      </w:r>
    </w:p>
    <w:p>
      <w:pPr>
        <w:numPr>
          <w:ilvl w:val="0"/>
          <w:numId w:val="1"/>
        </w:numPr>
        <w:tabs>
          <w:tab w:val="left" w:pos="7560"/>
        </w:tabs>
        <w:snapToGrid w:val="0"/>
        <w:spacing w:line="560" w:lineRule="exact"/>
        <w:ind w:firstLine="640" w:firstLineChars="200"/>
        <w:rPr>
          <w:rFonts w:hint="default" w:ascii="Times New Roman" w:hAnsi="Times New Roman" w:eastAsia="仿宋_GB2312" w:cs="Times New Roman"/>
          <w:color w:val="000000"/>
          <w:sz w:val="32"/>
          <w:szCs w:val="32"/>
          <w:lang w:eastAsia="zh-CN"/>
        </w:rPr>
      </w:pPr>
      <w:r>
        <w:rPr>
          <w:rStyle w:val="13"/>
          <w:rFonts w:hint="eastAsia" w:ascii="楷体_GB2312" w:hAnsi="宋体" w:eastAsia="楷体_GB2312" w:cs="宋体"/>
          <w:bCs/>
          <w:sz w:val="32"/>
          <w:szCs w:val="32"/>
        </w:rPr>
        <w:t>预算收支增减变化情况说明：</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年度本单位年初预算数为</w:t>
      </w:r>
      <w:r>
        <w:rPr>
          <w:rFonts w:hint="eastAsia" w:ascii="仿宋_GB2312" w:hAnsi="仿宋_GB2312" w:eastAsia="仿宋_GB2312" w:cs="仿宋_GB2312"/>
          <w:sz w:val="32"/>
          <w:szCs w:val="32"/>
          <w:shd w:val="clear" w:color="auto" w:fill="FFFFFF"/>
          <w:lang w:val="en-US" w:eastAsia="zh-CN"/>
        </w:rPr>
        <w:t>372.65</w:t>
      </w:r>
      <w:r>
        <w:rPr>
          <w:rFonts w:hint="eastAsia" w:ascii="仿宋_GB2312" w:hAnsi="仿宋_GB2312" w:eastAsia="仿宋_GB2312" w:cs="仿宋_GB2312"/>
          <w:sz w:val="32"/>
          <w:szCs w:val="32"/>
          <w:shd w:val="clear" w:color="auto" w:fill="FFFFFF"/>
        </w:rPr>
        <w:t>万元，比上年减少</w:t>
      </w:r>
      <w:r>
        <w:rPr>
          <w:rFonts w:hint="eastAsia" w:ascii="仿宋_GB2312" w:hAnsi="仿宋_GB2312" w:eastAsia="仿宋_GB2312" w:cs="仿宋_GB2312"/>
          <w:sz w:val="32"/>
          <w:szCs w:val="32"/>
          <w:shd w:val="clear" w:color="auto" w:fill="FFFFFF"/>
          <w:lang w:val="en-US" w:eastAsia="zh-CN"/>
        </w:rPr>
        <w:t>5.32</w:t>
      </w:r>
      <w:r>
        <w:rPr>
          <w:rFonts w:hint="eastAsia" w:ascii="仿宋_GB2312" w:hAnsi="仿宋_GB2312" w:eastAsia="仿宋_GB2312" w:cs="仿宋_GB2312"/>
          <w:sz w:val="32"/>
          <w:szCs w:val="32"/>
          <w:shd w:val="clear" w:color="auto" w:fill="FFFFFF"/>
        </w:rPr>
        <w:t>万元，主要原因是运转经费减少。</w:t>
      </w:r>
    </w:p>
    <w:p>
      <w:pPr>
        <w:numPr>
          <w:ilvl w:val="0"/>
          <w:numId w:val="1"/>
        </w:numPr>
        <w:tabs>
          <w:tab w:val="left" w:pos="7560"/>
        </w:tabs>
        <w:snapToGrid w:val="0"/>
        <w:spacing w:line="560" w:lineRule="exact"/>
        <w:ind w:firstLine="640" w:firstLineChars="200"/>
        <w:rPr>
          <w:rFonts w:hint="default" w:ascii="Times New Roman" w:hAnsi="Times New Roman" w:eastAsia="仿宋_GB2312" w:cs="Times New Roman"/>
          <w:color w:val="000000"/>
          <w:sz w:val="32"/>
          <w:szCs w:val="32"/>
          <w:lang w:eastAsia="zh-CN"/>
        </w:rPr>
      </w:pPr>
      <w:r>
        <w:rPr>
          <w:rStyle w:val="13"/>
          <w:rFonts w:hint="eastAsia" w:ascii="楷体_GB2312" w:hAnsi="宋体" w:eastAsia="楷体_GB2312" w:cs="宋体"/>
          <w:bCs/>
          <w:sz w:val="32"/>
          <w:szCs w:val="32"/>
          <w:lang w:eastAsia="zh-CN"/>
        </w:rPr>
        <w:t>归口管理的区本级项目支出</w:t>
      </w:r>
      <w:r>
        <w:rPr>
          <w:rStyle w:val="13"/>
          <w:rFonts w:hint="eastAsia" w:ascii="楷体_GB2312" w:hAnsi="宋体" w:eastAsia="楷体_GB2312" w:cs="宋体"/>
          <w:bCs/>
          <w:sz w:val="32"/>
          <w:szCs w:val="32"/>
        </w:rPr>
        <w:t>：</w:t>
      </w:r>
      <w:r>
        <w:rPr>
          <w:rFonts w:hint="eastAsia" w:eastAsia="仿宋_GB2312" w:cs="Times New Roman"/>
          <w:color w:val="000000"/>
          <w:sz w:val="32"/>
          <w:szCs w:val="32"/>
          <w:lang w:val="en-US" w:eastAsia="zh-CN"/>
        </w:rPr>
        <w:t>2021</w:t>
      </w:r>
      <w:r>
        <w:rPr>
          <w:rFonts w:hint="default" w:ascii="Times New Roman" w:hAnsi="Times New Roman" w:eastAsia="仿宋_GB2312" w:cs="Times New Roman"/>
          <w:color w:val="000000"/>
          <w:sz w:val="32"/>
          <w:szCs w:val="32"/>
        </w:rPr>
        <w:t>年年初预算数</w:t>
      </w:r>
      <w:r>
        <w:rPr>
          <w:rFonts w:hint="eastAsia" w:eastAsia="仿宋_GB2312" w:cs="Times New Roman"/>
          <w:color w:val="000000"/>
          <w:sz w:val="32"/>
          <w:szCs w:val="32"/>
          <w:lang w:val="en-US" w:eastAsia="zh-CN"/>
        </w:rPr>
        <w:t>5350.75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是指</w:t>
      </w:r>
      <w:r>
        <w:rPr>
          <w:rFonts w:hint="default" w:ascii="Times New Roman" w:hAnsi="Times New Roman" w:eastAsia="仿宋_GB2312" w:cs="Times New Roman"/>
          <w:color w:val="000000"/>
          <w:sz w:val="32"/>
          <w:szCs w:val="32"/>
        </w:rPr>
        <w:t>为完成特定行政工作任务或事业发展目标而发生的</w:t>
      </w:r>
      <w:r>
        <w:rPr>
          <w:rFonts w:hint="default" w:ascii="Times New Roman" w:hAnsi="Times New Roman" w:eastAsia="仿宋_GB2312" w:cs="Times New Roman"/>
          <w:color w:val="000000"/>
          <w:sz w:val="32"/>
          <w:szCs w:val="32"/>
          <w:lang w:eastAsia="zh-CN"/>
        </w:rPr>
        <w:t>，由本部门归口管理、面向全区分配的项目支出，</w:t>
      </w: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color w:val="000000"/>
          <w:sz w:val="32"/>
          <w:szCs w:val="32"/>
          <w:lang w:eastAsia="zh-CN"/>
        </w:rPr>
        <w:t>：</w:t>
      </w:r>
    </w:p>
    <w:p>
      <w:pPr>
        <w:numPr>
          <w:ilvl w:val="0"/>
          <w:numId w:val="2"/>
        </w:numPr>
        <w:tabs>
          <w:tab w:val="left" w:pos="7560"/>
        </w:tabs>
        <w:adjustRightInd w:val="0"/>
        <w:snapToGrid w:val="0"/>
        <w:spacing w:line="560" w:lineRule="exact"/>
        <w:ind w:firstLine="640" w:firstLineChars="200"/>
        <w:jc w:val="left"/>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城乡最低生活保障</w:t>
      </w:r>
      <w:r>
        <w:rPr>
          <w:rFonts w:hint="default" w:ascii="Times New Roman" w:hAnsi="Times New Roman" w:eastAsia="仿宋_GB2312" w:cs="Times New Roman"/>
          <w:color w:val="000000"/>
          <w:sz w:val="32"/>
          <w:szCs w:val="32"/>
        </w:rPr>
        <w:t>专项</w:t>
      </w:r>
      <w:r>
        <w:rPr>
          <w:rFonts w:hint="eastAsia" w:eastAsia="仿宋_GB2312" w:cs="Times New Roman"/>
          <w:color w:val="000000"/>
          <w:sz w:val="32"/>
          <w:szCs w:val="32"/>
          <w:lang w:val="en-US" w:eastAsia="zh-CN"/>
        </w:rPr>
        <w:t>2234.5</w:t>
      </w:r>
      <w:r>
        <w:rPr>
          <w:rFonts w:hint="default" w:ascii="Times New Roman" w:hAnsi="Times New Roman" w:eastAsia="仿宋_GB2312" w:cs="Times New Roman"/>
          <w:color w:val="000000"/>
          <w:sz w:val="32"/>
          <w:szCs w:val="32"/>
        </w:rPr>
        <w:t>万元。主要用于</w:t>
      </w:r>
      <w:r>
        <w:rPr>
          <w:rFonts w:hint="eastAsia" w:eastAsia="仿宋_GB2312" w:cs="Times New Roman"/>
          <w:color w:val="000000"/>
          <w:sz w:val="32"/>
          <w:szCs w:val="32"/>
          <w:lang w:eastAsia="zh-CN"/>
        </w:rPr>
        <w:t>发放城乡最低生活保障金。</w:t>
      </w:r>
    </w:p>
    <w:p>
      <w:pPr>
        <w:numPr>
          <w:ilvl w:val="0"/>
          <w:numId w:val="2"/>
        </w:numPr>
        <w:tabs>
          <w:tab w:val="left" w:pos="7560"/>
        </w:tabs>
        <w:adjustRightInd w:val="0"/>
        <w:snapToGrid w:val="0"/>
        <w:spacing w:line="560" w:lineRule="exact"/>
        <w:ind w:left="0" w:leftChars="0" w:firstLine="640" w:firstLineChars="200"/>
        <w:jc w:val="left"/>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城乡特困供养</w:t>
      </w:r>
      <w:r>
        <w:rPr>
          <w:rFonts w:hint="default" w:ascii="Times New Roman" w:hAnsi="Times New Roman" w:eastAsia="仿宋_GB2312" w:cs="Times New Roman"/>
          <w:color w:val="000000"/>
          <w:sz w:val="32"/>
          <w:szCs w:val="32"/>
        </w:rPr>
        <w:t>专项</w:t>
      </w:r>
      <w:r>
        <w:rPr>
          <w:rFonts w:hint="eastAsia" w:eastAsia="仿宋_GB2312" w:cs="Times New Roman"/>
          <w:color w:val="000000"/>
          <w:sz w:val="32"/>
          <w:szCs w:val="32"/>
          <w:lang w:val="en-US" w:eastAsia="zh-CN"/>
        </w:rPr>
        <w:t>614.27</w:t>
      </w:r>
      <w:r>
        <w:rPr>
          <w:rFonts w:hint="default" w:ascii="Times New Roman" w:hAnsi="Times New Roman" w:eastAsia="仿宋_GB2312" w:cs="Times New Roman"/>
          <w:color w:val="000000"/>
          <w:sz w:val="32"/>
          <w:szCs w:val="32"/>
        </w:rPr>
        <w:t>万元。主要用于</w:t>
      </w:r>
      <w:r>
        <w:rPr>
          <w:rFonts w:hint="eastAsia" w:eastAsia="仿宋_GB2312" w:cs="Times New Roman"/>
          <w:color w:val="000000"/>
          <w:sz w:val="32"/>
          <w:szCs w:val="32"/>
          <w:lang w:eastAsia="zh-CN"/>
        </w:rPr>
        <w:t>发放城乡特困供养对象的供养金、护理费等。</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残疾人两项补贴专项</w:t>
      </w:r>
      <w:r>
        <w:rPr>
          <w:rFonts w:hint="eastAsia" w:eastAsia="仿宋_GB2312" w:cs="Times New Roman"/>
          <w:color w:val="000000"/>
          <w:sz w:val="32"/>
          <w:szCs w:val="32"/>
          <w:lang w:val="en-US" w:eastAsia="zh-CN"/>
        </w:rPr>
        <w:t>367万元。主要用于发放残疾人两项补贴。</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养老机构运营补贴专项390.78万元。主要用于对符合条件的非营利性质的民办养老服务机构给予运营补贴。</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养老机构建设补贴专项1000万元。主要用于对城区内社会力量举办的养老服务机构，经市、区民政部门验收合格的，自建新增床位每张给予5000元的建设补贴。</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养老机构养老护理员岗位补贴专项8.82万元。主要用于对城区通过具有职业技能鉴定资格的部门认定，且取得市级以上养老护理员资格初级、中级、高级、技师等级证书，并在城区养老机构从事养老护理岗位一年以上的从业人员给予养老护理员岗位补贴。</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高龄补贴专项604.8万元。主要用于发放80-89周岁、90-99周岁高龄补贴。</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基本养老服务补贴专项71.64万元。主要用于对辖区内80岁以上空巢低收入老人、散居特困供养人员、60岁以上失能低收入老人、65岁以上半失能低收入老人提供基本养老服务补贴。</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孤儿基本生活费和事实无人抚养儿童基本生活补贴专项</w:t>
      </w:r>
      <w:r>
        <w:rPr>
          <w:rFonts w:hint="eastAsia" w:eastAsia="仿宋_GB2312" w:cs="Times New Roman"/>
          <w:color w:val="000000"/>
          <w:sz w:val="32"/>
          <w:szCs w:val="32"/>
          <w:lang w:val="en-US" w:eastAsia="zh-CN"/>
        </w:rPr>
        <w:t>7.44万元。主要用于孤儿和事实无人抚养儿童的基本生活费。</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行政区域界线管理经费专项10万元。主要用于芦淞区、渌口区部分行政区划变更工作及联检资料上报等。</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三社联动项目经费专项6万元。主要用于推动辖区内“三社联动”项目开展，培育社会力量参与社会治理。</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民政四级广域网建设经费专项10万元。主要用于民政乡镇（街道）四级广域网建设。</w:t>
      </w:r>
    </w:p>
    <w:p>
      <w:pPr>
        <w:numPr>
          <w:ilvl w:val="0"/>
          <w:numId w:val="2"/>
        </w:numPr>
        <w:tabs>
          <w:tab w:val="left" w:pos="7560"/>
        </w:tabs>
        <w:adjustRightInd w:val="0"/>
        <w:snapToGrid w:val="0"/>
        <w:spacing w:line="560" w:lineRule="exact"/>
        <w:ind w:left="0" w:leftChars="0" w:firstLine="640" w:firstLineChars="200"/>
        <w:jc w:val="left"/>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民政管理事务经费专项25.5万元。主要用于完成婚姻登记便民复印费用、上年度婚姻档案电子扫描工作及开展民政社会救助、养老服务、基层政权等工作。</w:t>
      </w:r>
    </w:p>
    <w:p>
      <w:pPr>
        <w:tabs>
          <w:tab w:val="left" w:pos="7560"/>
        </w:tabs>
        <w:snapToGrid w:val="0"/>
        <w:spacing w:line="560" w:lineRule="exact"/>
        <w:ind w:firstLine="640" w:firstLineChars="200"/>
        <w:rPr>
          <w:rStyle w:val="13"/>
          <w:rFonts w:eastAsia="黑体"/>
          <w:sz w:val="32"/>
          <w:szCs w:val="32"/>
        </w:rPr>
      </w:pPr>
      <w:r>
        <w:rPr>
          <w:rStyle w:val="13"/>
          <w:rFonts w:hint="eastAsia" w:hAnsi="黑体" w:eastAsia="黑体"/>
          <w:sz w:val="32"/>
          <w:szCs w:val="32"/>
          <w:lang w:eastAsia="zh-CN"/>
        </w:rPr>
        <w:t>四</w:t>
      </w:r>
      <w:r>
        <w:rPr>
          <w:rStyle w:val="13"/>
          <w:rFonts w:hint="eastAsia" w:hAnsi="黑体" w:eastAsia="黑体"/>
          <w:sz w:val="32"/>
          <w:szCs w:val="32"/>
        </w:rPr>
        <w:t>、其他重要事项情况说明</w:t>
      </w:r>
    </w:p>
    <w:p>
      <w:pPr>
        <w:tabs>
          <w:tab w:val="left" w:pos="7560"/>
        </w:tabs>
        <w:snapToGrid w:val="0"/>
        <w:spacing w:line="560" w:lineRule="exact"/>
        <w:ind w:firstLine="640" w:firstLineChars="200"/>
        <w:rPr>
          <w:rStyle w:val="13"/>
          <w:rFonts w:ascii="仿宋_GB2312" w:hAnsi="仿宋_GB2312" w:eastAsia="仿宋_GB2312" w:cs="仿宋_GB2312"/>
          <w:bCs/>
          <w:sz w:val="32"/>
          <w:szCs w:val="32"/>
        </w:rPr>
      </w:pPr>
      <w:r>
        <w:rPr>
          <w:rStyle w:val="13"/>
          <w:rFonts w:hint="eastAsia" w:ascii="楷体_GB2312" w:hAnsi="宋体" w:eastAsia="楷体_GB2312" w:cs="宋体"/>
          <w:bCs/>
          <w:sz w:val="32"/>
          <w:szCs w:val="32"/>
        </w:rPr>
        <w:t>（一）机关运行经费：</w:t>
      </w:r>
      <w:r>
        <w:rPr>
          <w:rFonts w:hint="eastAsia" w:ascii="仿宋_GB2312" w:hAnsi="仿宋_GB2312" w:eastAsia="仿宋_GB2312" w:cs="仿宋_GB2312"/>
          <w:sz w:val="32"/>
          <w:szCs w:val="32"/>
          <w:shd w:val="clear" w:color="auto" w:fill="FFFFFF"/>
        </w:rPr>
        <w:t>本部门</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年年初预算机关运行经费共安排</w:t>
      </w:r>
      <w:r>
        <w:rPr>
          <w:rFonts w:hint="eastAsia" w:ascii="仿宋_GB2312" w:hAnsi="仿宋_GB2312" w:eastAsia="仿宋_GB2312" w:cs="仿宋_GB2312"/>
          <w:sz w:val="32"/>
          <w:szCs w:val="32"/>
          <w:shd w:val="clear" w:color="auto" w:fill="FFFFFF"/>
          <w:lang w:val="en-US" w:eastAsia="zh-CN"/>
        </w:rPr>
        <w:t>28.3</w:t>
      </w:r>
      <w:r>
        <w:rPr>
          <w:rFonts w:hint="eastAsia" w:ascii="仿宋_GB2312" w:hAnsi="仿宋_GB2312" w:eastAsia="仿宋_GB2312" w:cs="仿宋_GB2312"/>
          <w:sz w:val="32"/>
          <w:szCs w:val="32"/>
          <w:shd w:val="clear" w:color="auto" w:fill="FFFFFF"/>
        </w:rPr>
        <w:t>万元，比上年度预算减少</w:t>
      </w:r>
      <w:r>
        <w:rPr>
          <w:rFonts w:hint="eastAsia" w:ascii="仿宋_GB2312" w:hAnsi="仿宋_GB2312" w:eastAsia="仿宋_GB2312" w:cs="仿宋_GB2312"/>
          <w:sz w:val="32"/>
          <w:szCs w:val="32"/>
          <w:shd w:val="clear" w:color="auto" w:fill="FFFFFF"/>
          <w:lang w:val="en-US" w:eastAsia="zh-CN"/>
        </w:rPr>
        <w:t>12.02</w:t>
      </w:r>
      <w:r>
        <w:rPr>
          <w:rFonts w:hint="eastAsia" w:ascii="仿宋_GB2312" w:hAnsi="仿宋_GB2312" w:eastAsia="仿宋_GB2312" w:cs="仿宋_GB2312"/>
          <w:sz w:val="32"/>
          <w:szCs w:val="32"/>
          <w:shd w:val="clear" w:color="auto" w:fill="FFFFFF"/>
        </w:rPr>
        <w:t>万元，减少的主要原因是</w:t>
      </w:r>
      <w:r>
        <w:rPr>
          <w:rFonts w:hint="eastAsia" w:ascii="仿宋_GB2312" w:hAnsi="仿宋_GB2312" w:eastAsia="仿宋_GB2312" w:cs="仿宋_GB2312"/>
          <w:sz w:val="32"/>
          <w:szCs w:val="32"/>
          <w:shd w:val="clear" w:color="auto" w:fill="FFFFFF"/>
          <w:lang w:eastAsia="zh-CN"/>
        </w:rPr>
        <w:t>厉行节约，压减</w:t>
      </w:r>
      <w:r>
        <w:rPr>
          <w:rFonts w:hint="eastAsia" w:ascii="仿宋_GB2312" w:hAnsi="仿宋_GB2312" w:eastAsia="仿宋_GB2312" w:cs="仿宋_GB2312"/>
          <w:sz w:val="32"/>
          <w:szCs w:val="32"/>
          <w:shd w:val="clear" w:color="auto" w:fill="FFFFFF"/>
        </w:rPr>
        <w:t>运转经费。</w:t>
      </w:r>
    </w:p>
    <w:p>
      <w:pPr>
        <w:tabs>
          <w:tab w:val="left" w:pos="7560"/>
        </w:tabs>
        <w:adjustRightInd w:val="0"/>
        <w:snapToGrid w:val="0"/>
        <w:spacing w:line="560" w:lineRule="exact"/>
        <w:ind w:firstLine="640" w:firstLineChars="200"/>
        <w:jc w:val="left"/>
        <w:rPr>
          <w:rFonts w:ascii="仿宋_GB2312" w:hAnsi="仿宋_GB2312" w:eastAsia="仿宋_GB2312" w:cs="仿宋_GB2312"/>
          <w:color w:val="auto"/>
          <w:sz w:val="32"/>
          <w:szCs w:val="32"/>
          <w:shd w:val="clear" w:color="auto" w:fill="FFFFFF"/>
        </w:rPr>
      </w:pPr>
      <w:r>
        <w:rPr>
          <w:rStyle w:val="13"/>
          <w:rFonts w:hint="eastAsia" w:ascii="楷体_GB2312" w:hAnsi="宋体" w:eastAsia="楷体_GB2312" w:cs="宋体"/>
          <w:bCs/>
          <w:sz w:val="32"/>
          <w:szCs w:val="32"/>
        </w:rPr>
        <w:t>（二</w:t>
      </w:r>
      <w:r>
        <w:rPr>
          <w:rStyle w:val="13"/>
          <w:rFonts w:ascii="楷体_GB2312" w:hAnsi="宋体" w:eastAsia="楷体_GB2312" w:cs="宋体"/>
          <w:bCs/>
          <w:sz w:val="32"/>
          <w:szCs w:val="32"/>
        </w:rPr>
        <w:t>)</w:t>
      </w:r>
      <w:r>
        <w:rPr>
          <w:rStyle w:val="13"/>
          <w:rFonts w:hint="eastAsia" w:ascii="楷体_GB2312" w:hAnsi="宋体" w:eastAsia="楷体_GB2312" w:cs="宋体"/>
          <w:bCs/>
          <w:sz w:val="32"/>
          <w:szCs w:val="32"/>
        </w:rPr>
        <w:t>政府采购预算：</w:t>
      </w:r>
      <w:r>
        <w:rPr>
          <w:rFonts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年年初预算数为</w:t>
      </w:r>
      <w:r>
        <w:rPr>
          <w:rFonts w:hint="eastAsia" w:ascii="仿宋_GB2312" w:hAnsi="仿宋_GB2312" w:eastAsia="仿宋_GB2312" w:cs="仿宋_GB2312"/>
          <w:color w:val="auto"/>
          <w:sz w:val="32"/>
          <w:szCs w:val="32"/>
          <w:shd w:val="clear" w:color="auto" w:fill="FFFFFF"/>
          <w:lang w:val="en-US" w:eastAsia="zh-CN"/>
        </w:rPr>
        <w:t>29.5</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不含区本级项目政府采购金额</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w:t>
      </w:r>
      <w:r>
        <w:rPr>
          <w:rFonts w:hint="eastAsia" w:ascii="仿宋" w:hAnsi="仿宋" w:eastAsia="仿宋" w:cs="仿宋"/>
          <w:color w:val="000000"/>
          <w:sz w:val="32"/>
          <w:szCs w:val="32"/>
        </w:rPr>
        <w:t>其中：政府采购货物</w:t>
      </w:r>
      <w:r>
        <w:rPr>
          <w:rFonts w:hint="eastAsia" w:ascii="仿宋" w:hAnsi="仿宋" w:eastAsia="仿宋" w:cs="仿宋"/>
          <w:color w:val="000000"/>
          <w:sz w:val="32"/>
          <w:szCs w:val="32"/>
          <w:lang w:val="en-US" w:eastAsia="zh-CN"/>
        </w:rPr>
        <w:t>21.5</w:t>
      </w:r>
      <w:r>
        <w:rPr>
          <w:rFonts w:hint="eastAsia" w:ascii="仿宋" w:hAnsi="仿宋" w:eastAsia="仿宋" w:cs="仿宋"/>
          <w:color w:val="000000"/>
          <w:sz w:val="32"/>
          <w:szCs w:val="32"/>
        </w:rPr>
        <w:t>万元，政府采购工程0万元，政府采购服务</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万元。</w:t>
      </w:r>
    </w:p>
    <w:p>
      <w:pPr>
        <w:tabs>
          <w:tab w:val="left" w:pos="7560"/>
        </w:tabs>
        <w:snapToGrid w:val="0"/>
        <w:spacing w:line="560" w:lineRule="exact"/>
        <w:ind w:firstLine="640" w:firstLineChars="200"/>
        <w:rPr>
          <w:rStyle w:val="13"/>
          <w:rFonts w:ascii="仿宋_GB2312" w:hAnsi="仿宋_GB2312" w:eastAsia="仿宋_GB2312" w:cs="仿宋_GB2312"/>
          <w:sz w:val="32"/>
          <w:szCs w:val="32"/>
        </w:rPr>
      </w:pPr>
      <w:r>
        <w:rPr>
          <w:rStyle w:val="13"/>
          <w:rFonts w:hint="eastAsia" w:ascii="楷体_GB2312" w:hAnsi="宋体" w:eastAsia="楷体_GB2312" w:cs="宋体"/>
          <w:bCs/>
          <w:sz w:val="32"/>
          <w:szCs w:val="32"/>
        </w:rPr>
        <w:t>（三）国有资产占有情况：</w:t>
      </w:r>
      <w:r>
        <w:rPr>
          <w:rFonts w:hint="eastAsia" w:ascii="仿宋_GB2312" w:hAnsi="仿宋_GB2312" w:eastAsia="仿宋_GB2312" w:cs="仿宋_GB2312"/>
          <w:sz w:val="32"/>
          <w:szCs w:val="32"/>
          <w:shd w:val="clear" w:color="auto" w:fill="FFFFFF"/>
        </w:rPr>
        <w:t>截止</w:t>
      </w:r>
      <w:r>
        <w:rPr>
          <w:rFonts w:ascii="仿宋_GB2312" w:hAnsi="仿宋_GB2312" w:eastAsia="仿宋_GB2312" w:cs="仿宋_GB2312"/>
          <w:sz w:val="32"/>
          <w:szCs w:val="32"/>
          <w:shd w:val="clear" w:color="auto" w:fill="FFFFFF"/>
        </w:rPr>
        <w:t>20</w:t>
      </w:r>
      <w:r>
        <w:rPr>
          <w:rFonts w:hint="eastAsia" w:ascii="仿宋_GB2312" w:hAnsi="仿宋_GB2312" w:eastAsia="仿宋_GB2312" w:cs="仿宋_GB2312"/>
          <w:sz w:val="32"/>
          <w:szCs w:val="32"/>
          <w:shd w:val="clear" w:color="auto" w:fill="FFFFFF"/>
          <w:lang w:val="en-US" w:eastAsia="zh-CN"/>
        </w:rPr>
        <w:t>20</w:t>
      </w:r>
      <w:r>
        <w:rPr>
          <w:rFonts w:hint="eastAsia" w:ascii="仿宋_GB2312" w:hAnsi="仿宋_GB2312" w:eastAsia="仿宋_GB2312" w:cs="仿宋_GB2312"/>
          <w:sz w:val="32"/>
          <w:szCs w:val="32"/>
          <w:shd w:val="clear" w:color="auto" w:fill="FFFFFF"/>
        </w:rPr>
        <w:t>年</w:t>
      </w:r>
      <w:r>
        <w:rPr>
          <w:rFonts w:ascii="仿宋_GB2312" w:hAnsi="仿宋_GB2312" w:eastAsia="仿宋_GB2312" w:cs="仿宋_GB2312"/>
          <w:sz w:val="32"/>
          <w:szCs w:val="32"/>
          <w:shd w:val="clear" w:color="auto" w:fill="FFFFFF"/>
        </w:rPr>
        <w:t>12</w:t>
      </w:r>
      <w:r>
        <w:rPr>
          <w:rFonts w:hint="eastAsia" w:ascii="仿宋_GB2312" w:hAnsi="仿宋_GB2312" w:eastAsia="仿宋_GB2312" w:cs="仿宋_GB2312"/>
          <w:sz w:val="32"/>
          <w:szCs w:val="32"/>
          <w:shd w:val="clear" w:color="auto" w:fill="FFFFFF"/>
        </w:rPr>
        <w:t>月</w:t>
      </w:r>
      <w:r>
        <w:rPr>
          <w:rFonts w:ascii="仿宋_GB2312" w:hAnsi="仿宋_GB2312" w:eastAsia="仿宋_GB2312" w:cs="仿宋_GB2312"/>
          <w:sz w:val="32"/>
          <w:szCs w:val="32"/>
          <w:shd w:val="clear" w:color="auto" w:fill="FFFFFF"/>
        </w:rPr>
        <w:t>31</w:t>
      </w:r>
      <w:r>
        <w:rPr>
          <w:rFonts w:hint="eastAsia" w:ascii="仿宋_GB2312" w:hAnsi="仿宋_GB2312" w:eastAsia="仿宋_GB2312" w:cs="仿宋_GB2312"/>
          <w:sz w:val="32"/>
          <w:szCs w:val="32"/>
          <w:shd w:val="clear" w:color="auto" w:fill="FFFFFF"/>
        </w:rPr>
        <w:t>日，本部门共有办公及业务用房</w:t>
      </w:r>
      <w:r>
        <w:rPr>
          <w:rFonts w:ascii="仿宋_GB2312" w:hAnsi="仿宋_GB2312" w:eastAsia="仿宋_GB2312" w:cs="仿宋_GB2312"/>
          <w:sz w:val="32"/>
          <w:szCs w:val="32"/>
          <w:shd w:val="clear" w:color="auto" w:fill="FFFFFF"/>
        </w:rPr>
        <w:t>264.67</w:t>
      </w:r>
      <w:r>
        <w:rPr>
          <w:rFonts w:hint="eastAsia" w:ascii="仿宋_GB2312" w:hAnsi="仿宋_GB2312" w:eastAsia="仿宋_GB2312" w:cs="仿宋_GB2312"/>
          <w:sz w:val="32"/>
          <w:szCs w:val="32"/>
          <w:shd w:val="clear" w:color="auto" w:fill="FFFFFF"/>
        </w:rPr>
        <w:t>平方米；车辆</w:t>
      </w:r>
      <w:r>
        <w:rPr>
          <w:rFonts w:ascii="仿宋_GB2312" w:hAnsi="仿宋_GB2312" w:eastAsia="仿宋_GB2312" w:cs="仿宋_GB2312"/>
          <w:sz w:val="32"/>
          <w:szCs w:val="32"/>
          <w:shd w:val="clear" w:color="auto" w:fill="FFFFFF"/>
        </w:rPr>
        <w:t>0</w:t>
      </w:r>
      <w:r>
        <w:rPr>
          <w:rFonts w:hint="eastAsia" w:ascii="仿宋_GB2312" w:hAnsi="仿宋_GB2312" w:eastAsia="仿宋_GB2312" w:cs="仿宋_GB2312"/>
          <w:sz w:val="32"/>
          <w:szCs w:val="32"/>
          <w:shd w:val="clear" w:color="auto" w:fill="FFFFFF"/>
        </w:rPr>
        <w:t>辆。</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年部门预算未安排购置车辆，预算未安排购置价值</w:t>
      </w:r>
      <w:r>
        <w:rPr>
          <w:rFonts w:ascii="仿宋_GB2312" w:hAnsi="仿宋_GB2312" w:eastAsia="仿宋_GB2312" w:cs="仿宋_GB2312"/>
          <w:sz w:val="32"/>
          <w:szCs w:val="32"/>
          <w:shd w:val="clear" w:color="auto" w:fill="FFFFFF"/>
        </w:rPr>
        <w:t>200</w:t>
      </w:r>
      <w:r>
        <w:rPr>
          <w:rFonts w:hint="eastAsia" w:ascii="仿宋_GB2312" w:hAnsi="仿宋_GB2312" w:eastAsia="仿宋_GB2312" w:cs="仿宋_GB2312"/>
          <w:sz w:val="32"/>
          <w:szCs w:val="32"/>
          <w:shd w:val="clear" w:color="auto" w:fill="FFFFFF"/>
        </w:rPr>
        <w:t>万以上大型设备。</w:t>
      </w:r>
    </w:p>
    <w:p>
      <w:pPr>
        <w:tabs>
          <w:tab w:val="left" w:pos="7560"/>
        </w:tabs>
        <w:snapToGrid w:val="0"/>
        <w:spacing w:line="560" w:lineRule="exact"/>
        <w:ind w:firstLine="640" w:firstLineChars="200"/>
        <w:rPr>
          <w:rStyle w:val="13"/>
          <w:rFonts w:ascii="仿宋_GB2312" w:hAnsi="仿宋_GB2312" w:eastAsia="仿宋_GB2312" w:cs="仿宋_GB2312"/>
          <w:b/>
          <w:bCs/>
          <w:sz w:val="32"/>
          <w:szCs w:val="32"/>
        </w:rPr>
      </w:pPr>
      <w:r>
        <w:rPr>
          <w:rStyle w:val="13"/>
          <w:rFonts w:hint="eastAsia" w:ascii="楷体_GB2312" w:hAnsi="宋体" w:eastAsia="楷体_GB2312" w:cs="宋体"/>
          <w:bCs/>
          <w:sz w:val="32"/>
          <w:szCs w:val="32"/>
        </w:rPr>
        <w:t>（四）预算绩效目标：</w:t>
      </w:r>
      <w:r>
        <w:rPr>
          <w:rFonts w:hint="eastAsia" w:ascii="仿宋_GB2312" w:hAnsi="仿宋_GB2312" w:eastAsia="仿宋_GB2312" w:cs="仿宋_GB2312"/>
          <w:sz w:val="32"/>
          <w:szCs w:val="32"/>
          <w:shd w:val="clear" w:color="auto" w:fill="FFFFFF"/>
        </w:rPr>
        <w:t>本部门整体支出和项目支出实行绩效目标管理，纳入</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年部门整体支出绩效目标的金额为</w:t>
      </w:r>
      <w:r>
        <w:rPr>
          <w:rFonts w:hint="eastAsia" w:ascii="仿宋_GB2312" w:hAnsi="仿宋_GB2312" w:eastAsia="仿宋_GB2312" w:cs="仿宋_GB2312"/>
          <w:sz w:val="32"/>
          <w:szCs w:val="32"/>
          <w:shd w:val="clear" w:color="auto" w:fill="FFFFFF"/>
          <w:lang w:val="en-US" w:eastAsia="zh-CN"/>
        </w:rPr>
        <w:t>372.65</w:t>
      </w:r>
      <w:r>
        <w:rPr>
          <w:rFonts w:hint="eastAsia" w:ascii="仿宋_GB2312" w:hAnsi="仿宋_GB2312" w:eastAsia="仿宋_GB2312" w:cs="仿宋_GB2312"/>
          <w:sz w:val="32"/>
          <w:szCs w:val="32"/>
          <w:shd w:val="clear" w:color="auto" w:fill="FFFFFF"/>
        </w:rPr>
        <w:t>万元，其中，基本支出</w:t>
      </w:r>
      <w:r>
        <w:rPr>
          <w:rFonts w:hint="eastAsia" w:ascii="仿宋_GB2312" w:hAnsi="仿宋_GB2312" w:eastAsia="仿宋_GB2312" w:cs="仿宋_GB2312"/>
          <w:sz w:val="32"/>
          <w:szCs w:val="32"/>
          <w:shd w:val="clear" w:color="auto" w:fill="FFFFFF"/>
          <w:lang w:val="en-US" w:eastAsia="zh-CN"/>
        </w:rPr>
        <w:t>347.15</w:t>
      </w:r>
      <w:r>
        <w:rPr>
          <w:rFonts w:hint="eastAsia" w:ascii="仿宋_GB2312" w:hAnsi="仿宋_GB2312" w:eastAsia="仿宋_GB2312" w:cs="仿宋_GB2312"/>
          <w:sz w:val="32"/>
          <w:szCs w:val="32"/>
          <w:shd w:val="clear" w:color="auto" w:fill="FFFFFF"/>
        </w:rPr>
        <w:t>万元，项目支出</w:t>
      </w:r>
      <w:r>
        <w:rPr>
          <w:rFonts w:hint="eastAsia" w:ascii="仿宋_GB2312" w:hAnsi="仿宋_GB2312" w:eastAsia="仿宋_GB2312" w:cs="仿宋_GB2312"/>
          <w:sz w:val="32"/>
          <w:szCs w:val="32"/>
          <w:shd w:val="clear" w:color="auto" w:fill="FFFFFF"/>
          <w:lang w:val="en-US" w:eastAsia="zh-CN"/>
        </w:rPr>
        <w:t>25.5</w:t>
      </w:r>
      <w:r>
        <w:rPr>
          <w:rFonts w:hint="eastAsia" w:ascii="仿宋_GB2312" w:hAnsi="仿宋_GB2312" w:eastAsia="仿宋_GB2312" w:cs="仿宋_GB2312"/>
          <w:sz w:val="32"/>
          <w:szCs w:val="32"/>
          <w:shd w:val="clear" w:color="auto" w:fill="FFFFFF"/>
        </w:rPr>
        <w:t>万元。</w:t>
      </w:r>
      <w:r>
        <w:rPr>
          <w:rStyle w:val="13"/>
          <w:rFonts w:hint="eastAsia" w:ascii="仿宋_GB2312" w:hAnsi="仿宋_GB2312" w:eastAsia="仿宋_GB2312" w:cs="仿宋_GB2312"/>
          <w:sz w:val="32"/>
          <w:szCs w:val="32"/>
        </w:rPr>
        <w:t>（详见附表</w:t>
      </w:r>
      <w:r>
        <w:rPr>
          <w:rStyle w:val="13"/>
          <w:rFonts w:ascii="仿宋_GB2312" w:hAnsi="仿宋_GB2312" w:eastAsia="仿宋_GB2312" w:cs="仿宋_GB2312"/>
          <w:sz w:val="32"/>
          <w:szCs w:val="32"/>
        </w:rPr>
        <w:t>17-19</w:t>
      </w:r>
      <w:r>
        <w:rPr>
          <w:rStyle w:val="13"/>
          <w:rFonts w:hint="eastAsia" w:ascii="仿宋_GB2312" w:hAnsi="仿宋_GB2312" w:eastAsia="仿宋_GB2312" w:cs="仿宋_GB2312"/>
          <w:sz w:val="32"/>
          <w:szCs w:val="32"/>
        </w:rPr>
        <w:t>）。</w:t>
      </w:r>
      <w:r>
        <w:rPr>
          <w:rStyle w:val="13"/>
          <w:rFonts w:ascii="仿宋_GB2312" w:hAnsi="仿宋_GB2312" w:eastAsia="仿宋_GB2312" w:cs="仿宋_GB2312"/>
          <w:sz w:val="32"/>
          <w:szCs w:val="32"/>
        </w:rPr>
        <w:t> </w:t>
      </w:r>
    </w:p>
    <w:p>
      <w:pPr>
        <w:tabs>
          <w:tab w:val="left" w:pos="7560"/>
        </w:tabs>
        <w:snapToGrid w:val="0"/>
        <w:spacing w:line="560" w:lineRule="exact"/>
        <w:ind w:firstLine="640" w:firstLineChars="200"/>
        <w:rPr>
          <w:rStyle w:val="13"/>
          <w:rFonts w:ascii="楷体_GB2312" w:hAnsi="宋体" w:eastAsia="楷体_GB2312" w:cs="宋体"/>
          <w:bCs/>
          <w:sz w:val="32"/>
          <w:szCs w:val="32"/>
        </w:rPr>
      </w:pPr>
      <w:r>
        <w:rPr>
          <w:rStyle w:val="13"/>
          <w:rFonts w:hint="eastAsia" w:ascii="楷体_GB2312" w:hAnsi="宋体" w:eastAsia="楷体_GB2312" w:cs="宋体"/>
          <w:bCs/>
          <w:sz w:val="32"/>
          <w:szCs w:val="32"/>
        </w:rPr>
        <w:t>（五）一般公共预算“三公”经费预算：</w:t>
      </w:r>
    </w:p>
    <w:p>
      <w:pPr>
        <w:tabs>
          <w:tab w:val="left" w:pos="7560"/>
        </w:tabs>
        <w:snapToGrid w:val="0"/>
        <w:spacing w:line="560" w:lineRule="exact"/>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年“三公”经费预算数</w:t>
      </w:r>
      <w:r>
        <w:rPr>
          <w:rFonts w:ascii="仿宋_GB2312" w:hAnsi="仿宋_GB2312" w:eastAsia="仿宋_GB2312" w:cs="仿宋_GB2312"/>
          <w:sz w:val="32"/>
          <w:szCs w:val="32"/>
          <w:shd w:val="clear" w:color="auto" w:fill="FFFFFF"/>
        </w:rPr>
        <w:t>0.3</w:t>
      </w:r>
      <w:r>
        <w:rPr>
          <w:rFonts w:hint="eastAsia" w:ascii="仿宋_GB2312" w:hAnsi="仿宋_GB2312" w:eastAsia="仿宋_GB2312" w:cs="仿宋_GB2312"/>
          <w:sz w:val="32"/>
          <w:szCs w:val="32"/>
          <w:shd w:val="clear" w:color="auto" w:fill="FFFFFF"/>
        </w:rPr>
        <w:t>万元，其中：公务接待费</w:t>
      </w:r>
      <w:r>
        <w:rPr>
          <w:rFonts w:ascii="仿宋_GB2312" w:hAnsi="仿宋_GB2312" w:eastAsia="仿宋_GB2312" w:cs="仿宋_GB2312"/>
          <w:sz w:val="32"/>
          <w:szCs w:val="32"/>
          <w:shd w:val="clear" w:color="auto" w:fill="FFFFFF"/>
        </w:rPr>
        <w:t>0.3</w:t>
      </w:r>
      <w:r>
        <w:rPr>
          <w:rFonts w:hint="eastAsia" w:ascii="仿宋_GB2312" w:hAnsi="仿宋_GB2312" w:eastAsia="仿宋_GB2312" w:cs="仿宋_GB2312"/>
          <w:sz w:val="32"/>
          <w:szCs w:val="32"/>
          <w:shd w:val="clear" w:color="auto" w:fill="FFFFFF"/>
        </w:rPr>
        <w:t>万元、公务用车购置及运行费</w:t>
      </w:r>
      <w:r>
        <w:rPr>
          <w:rFonts w:ascii="仿宋_GB2312" w:hAnsi="仿宋_GB2312" w:eastAsia="仿宋_GB2312" w:cs="仿宋_GB2312"/>
          <w:sz w:val="32"/>
          <w:szCs w:val="32"/>
          <w:shd w:val="clear" w:color="auto" w:fill="FFFFFF"/>
        </w:rPr>
        <w:t>0</w:t>
      </w:r>
      <w:r>
        <w:rPr>
          <w:rFonts w:hint="eastAsia" w:ascii="仿宋_GB2312" w:hAnsi="仿宋_GB2312" w:eastAsia="仿宋_GB2312" w:cs="仿宋_GB2312"/>
          <w:sz w:val="32"/>
          <w:szCs w:val="32"/>
          <w:shd w:val="clear" w:color="auto" w:fill="FFFFFF"/>
        </w:rPr>
        <w:t>万元、因公出国（境）费</w:t>
      </w:r>
      <w:r>
        <w:rPr>
          <w:rFonts w:ascii="仿宋_GB2312" w:hAnsi="仿宋_GB2312" w:eastAsia="仿宋_GB2312" w:cs="仿宋_GB2312"/>
          <w:sz w:val="32"/>
          <w:szCs w:val="32"/>
          <w:shd w:val="clear" w:color="auto" w:fill="FFFFFF"/>
        </w:rPr>
        <w:t>0</w:t>
      </w:r>
      <w:r>
        <w:rPr>
          <w:rFonts w:hint="eastAsia" w:ascii="仿宋_GB2312" w:hAnsi="仿宋_GB2312" w:eastAsia="仿宋_GB2312" w:cs="仿宋_GB2312"/>
          <w:sz w:val="32"/>
          <w:szCs w:val="32"/>
          <w:shd w:val="clear" w:color="auto" w:fill="FFFFFF"/>
        </w:rPr>
        <w:t>万元。</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年公务用车购置数</w:t>
      </w:r>
      <w:r>
        <w:rPr>
          <w:rFonts w:ascii="仿宋_GB2312" w:hAnsi="仿宋_GB2312" w:eastAsia="仿宋_GB2312" w:cs="仿宋_GB2312"/>
          <w:sz w:val="32"/>
          <w:szCs w:val="32"/>
          <w:shd w:val="clear" w:color="auto" w:fill="FFFFFF"/>
        </w:rPr>
        <w:t>0</w:t>
      </w:r>
      <w:r>
        <w:rPr>
          <w:rFonts w:hint="eastAsia" w:ascii="仿宋_GB2312" w:hAnsi="仿宋_GB2312" w:eastAsia="仿宋_GB2312" w:cs="仿宋_GB2312"/>
          <w:sz w:val="32"/>
          <w:szCs w:val="32"/>
          <w:shd w:val="clear" w:color="auto" w:fill="FFFFFF"/>
        </w:rPr>
        <w:t>台</w:t>
      </w:r>
      <w:r>
        <w:rPr>
          <w:rStyle w:val="8"/>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rPr>
        <w:br w:type="textWrapping"/>
      </w:r>
      <w:r>
        <w:rPr>
          <w:rFonts w:hint="eastAsia" w:ascii="仿宋_GB2312" w:hAnsi="仿宋_GB2312" w:eastAsia="仿宋_GB2312" w:cs="仿宋_GB2312"/>
          <w:color w:val="333333"/>
          <w:sz w:val="32"/>
          <w:szCs w:val="32"/>
          <w:shd w:val="clear" w:color="auto" w:fill="FFFFFF"/>
        </w:rPr>
        <w:t>　　</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年“三公”经费预算较去年</w:t>
      </w:r>
      <w:r>
        <w:rPr>
          <w:rFonts w:hint="eastAsia" w:ascii="仿宋_GB2312" w:hAnsi="仿宋_GB2312" w:eastAsia="仿宋_GB2312" w:cs="仿宋_GB2312"/>
          <w:sz w:val="32"/>
          <w:szCs w:val="32"/>
          <w:shd w:val="clear" w:color="auto" w:fill="FFFFFF"/>
          <w:lang w:eastAsia="zh-CN"/>
        </w:rPr>
        <w:t>持平</w:t>
      </w:r>
      <w:r>
        <w:rPr>
          <w:rFonts w:hint="eastAsia" w:ascii="仿宋_GB2312" w:hAnsi="仿宋_GB2312" w:eastAsia="仿宋_GB2312" w:cs="仿宋_GB2312"/>
          <w:sz w:val="32"/>
          <w:szCs w:val="32"/>
          <w:shd w:val="clear" w:color="auto" w:fill="FFFFFF"/>
        </w:rPr>
        <w:t>。</w:t>
      </w:r>
      <w:bookmarkStart w:id="0" w:name="_GoBack"/>
      <w:bookmarkEnd w:id="0"/>
    </w:p>
    <w:p>
      <w:pPr>
        <w:numPr>
          <w:ilvl w:val="0"/>
          <w:numId w:val="3"/>
        </w:numPr>
        <w:tabs>
          <w:tab w:val="left" w:pos="7560"/>
        </w:tabs>
        <w:snapToGrid w:val="0"/>
        <w:spacing w:line="560" w:lineRule="exact"/>
        <w:ind w:firstLine="640" w:firstLineChars="200"/>
        <w:rPr>
          <w:rStyle w:val="13"/>
          <w:rFonts w:hint="eastAsia" w:ascii="楷体_GB2312" w:hAnsi="宋体" w:eastAsia="楷体_GB2312" w:cs="宋体"/>
          <w:bCs/>
          <w:sz w:val="32"/>
          <w:szCs w:val="32"/>
        </w:rPr>
      </w:pPr>
      <w:r>
        <w:rPr>
          <w:rStyle w:val="13"/>
          <w:rFonts w:hint="eastAsia" w:ascii="楷体_GB2312" w:hAnsi="宋体" w:eastAsia="楷体_GB2312" w:cs="宋体"/>
          <w:bCs/>
          <w:sz w:val="32"/>
          <w:szCs w:val="32"/>
        </w:rPr>
        <w:t>会议费、培训费预算：</w:t>
      </w:r>
    </w:p>
    <w:p>
      <w:pPr>
        <w:numPr>
          <w:ilvl w:val="0"/>
          <w:numId w:val="0"/>
        </w:numPr>
        <w:tabs>
          <w:tab w:val="left" w:pos="7560"/>
        </w:tabs>
        <w:snapToGrid w:val="0"/>
        <w:spacing w:line="560" w:lineRule="exact"/>
        <w:rPr>
          <w:rStyle w:val="13"/>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 xml:space="preserve">     </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年预算未安排会议费与培训费。</w:t>
      </w:r>
    </w:p>
    <w:p>
      <w:pPr>
        <w:tabs>
          <w:tab w:val="left" w:pos="7560"/>
        </w:tabs>
        <w:snapToGrid w:val="0"/>
        <w:spacing w:line="560" w:lineRule="exact"/>
        <w:ind w:firstLine="640" w:firstLineChars="200"/>
        <w:rPr>
          <w:rStyle w:val="13"/>
          <w:rFonts w:ascii="楷体_GB2312" w:hAnsi="宋体" w:eastAsia="楷体_GB2312" w:cs="宋体"/>
          <w:bCs/>
          <w:sz w:val="32"/>
          <w:szCs w:val="32"/>
        </w:rPr>
      </w:pPr>
      <w:r>
        <w:rPr>
          <w:rStyle w:val="13"/>
          <w:rFonts w:hint="eastAsia" w:ascii="楷体_GB2312" w:hAnsi="宋体" w:eastAsia="楷体_GB2312" w:cs="宋体"/>
          <w:bCs/>
          <w:sz w:val="32"/>
          <w:szCs w:val="32"/>
        </w:rPr>
        <w:t>（七）其他事项。</w:t>
      </w:r>
    </w:p>
    <w:p>
      <w:pPr>
        <w:tabs>
          <w:tab w:val="left" w:pos="7560"/>
        </w:tabs>
        <w:snapToGrid w:val="0"/>
        <w:spacing w:line="560" w:lineRule="exact"/>
        <w:ind w:firstLine="640" w:firstLineChars="200"/>
        <w:rPr>
          <w:rStyle w:val="13"/>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、本单位</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年预算未安排政府性基金收支预算。</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shd w:val="clear" w:color="auto" w:fill="FFFFFF"/>
        </w:rPr>
        <w:t>　　</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、本单位</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年预算未安排纳入专户管理的非税收入预算。</w:t>
      </w:r>
    </w:p>
    <w:p>
      <w:pPr>
        <w:tabs>
          <w:tab w:val="left" w:pos="7560"/>
        </w:tabs>
        <w:snapToGrid w:val="0"/>
        <w:spacing w:line="560" w:lineRule="exact"/>
        <w:rPr>
          <w:rStyle w:val="13"/>
          <w:rFonts w:hint="eastAsia" w:ascii="黑体" w:hAnsi="黑体" w:eastAsia="黑体"/>
          <w:bCs/>
          <w:sz w:val="32"/>
          <w:szCs w:val="32"/>
        </w:rPr>
      </w:pPr>
    </w:p>
    <w:p>
      <w:pPr>
        <w:tabs>
          <w:tab w:val="left" w:pos="7560"/>
        </w:tabs>
        <w:snapToGrid w:val="0"/>
        <w:spacing w:line="560" w:lineRule="exact"/>
        <w:ind w:firstLine="640" w:firstLineChars="200"/>
        <w:rPr>
          <w:rStyle w:val="13"/>
          <w:rFonts w:ascii="黑体" w:hAnsi="黑体" w:eastAsia="黑体"/>
          <w:bCs/>
          <w:sz w:val="32"/>
          <w:szCs w:val="32"/>
        </w:rPr>
      </w:pPr>
      <w:r>
        <w:rPr>
          <w:rStyle w:val="13"/>
          <w:rFonts w:hint="eastAsia" w:ascii="黑体" w:hAnsi="黑体" w:eastAsia="黑体"/>
          <w:bCs/>
          <w:sz w:val="32"/>
          <w:szCs w:val="32"/>
          <w:lang w:eastAsia="zh-CN"/>
        </w:rPr>
        <w:t>五、</w:t>
      </w:r>
      <w:r>
        <w:rPr>
          <w:rStyle w:val="13"/>
          <w:rFonts w:hint="eastAsia" w:ascii="黑体" w:hAnsi="黑体" w:eastAsia="黑体"/>
          <w:bCs/>
          <w:sz w:val="32"/>
          <w:szCs w:val="32"/>
        </w:rPr>
        <w:t>名词解释</w:t>
      </w:r>
    </w:p>
    <w:p>
      <w:pPr>
        <w:tabs>
          <w:tab w:val="left" w:pos="7560"/>
        </w:tabs>
        <w:snapToGrid w:val="0"/>
        <w:spacing w:line="560" w:lineRule="exact"/>
        <w:ind w:firstLine="640" w:firstLineChars="200"/>
        <w:rPr>
          <w:rStyle w:val="13"/>
          <w:rFonts w:eastAsia="Times New Roman"/>
          <w:bCs/>
          <w:sz w:val="32"/>
          <w:szCs w:val="32"/>
        </w:rPr>
      </w:pPr>
      <w:r>
        <w:rPr>
          <w:rStyle w:val="13"/>
          <w:rFonts w:hint="eastAsia" w:ascii="楷体_GB2312" w:hAnsi="宋体" w:eastAsia="楷体_GB2312" w:cs="宋体"/>
          <w:bCs/>
          <w:sz w:val="32"/>
          <w:szCs w:val="32"/>
        </w:rPr>
        <w:t>（一）一般公共预算：</w:t>
      </w:r>
      <w:r>
        <w:rPr>
          <w:rStyle w:val="13"/>
          <w:rFonts w:hint="eastAsia"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Style w:val="13"/>
          <w:rFonts w:eastAsia="仿宋_GB2312"/>
          <w:sz w:val="32"/>
          <w:szCs w:val="32"/>
        </w:rPr>
        <w:t>“</w:t>
      </w:r>
      <w:r>
        <w:rPr>
          <w:rStyle w:val="13"/>
          <w:rFonts w:hint="eastAsia" w:eastAsia="仿宋_GB2312"/>
          <w:sz w:val="32"/>
          <w:szCs w:val="32"/>
        </w:rPr>
        <w:t>财政收入</w:t>
      </w:r>
      <w:r>
        <w:rPr>
          <w:rStyle w:val="13"/>
          <w:rFonts w:eastAsia="仿宋_GB2312"/>
          <w:sz w:val="32"/>
          <w:szCs w:val="32"/>
        </w:rPr>
        <w:t>”</w:t>
      </w:r>
      <w:r>
        <w:rPr>
          <w:rStyle w:val="13"/>
          <w:rFonts w:hint="eastAsia" w:eastAsia="仿宋_GB2312"/>
          <w:sz w:val="32"/>
          <w:szCs w:val="32"/>
        </w:rPr>
        <w:t>，按照</w:t>
      </w:r>
      <w:r>
        <w:rPr>
          <w:rStyle w:val="13"/>
          <w:rFonts w:eastAsia="仿宋_GB2312"/>
          <w:sz w:val="32"/>
          <w:szCs w:val="32"/>
        </w:rPr>
        <w:t>2015</w:t>
      </w:r>
      <w:r>
        <w:rPr>
          <w:rStyle w:val="13"/>
          <w:rFonts w:hint="eastAsia" w:eastAsia="仿宋_GB2312"/>
          <w:sz w:val="32"/>
          <w:szCs w:val="32"/>
        </w:rPr>
        <w:t>年</w:t>
      </w:r>
      <w:r>
        <w:rPr>
          <w:rStyle w:val="13"/>
          <w:rFonts w:eastAsia="仿宋_GB2312"/>
          <w:sz w:val="32"/>
          <w:szCs w:val="32"/>
        </w:rPr>
        <w:t>1</w:t>
      </w:r>
      <w:r>
        <w:rPr>
          <w:rStyle w:val="13"/>
          <w:rFonts w:hint="eastAsia" w:eastAsia="仿宋_GB2312"/>
          <w:sz w:val="32"/>
          <w:szCs w:val="32"/>
        </w:rPr>
        <w:t>月</w:t>
      </w:r>
      <w:r>
        <w:rPr>
          <w:rStyle w:val="13"/>
          <w:rFonts w:eastAsia="仿宋_GB2312"/>
          <w:sz w:val="32"/>
          <w:szCs w:val="32"/>
        </w:rPr>
        <w:t>1</w:t>
      </w:r>
      <w:r>
        <w:rPr>
          <w:rStyle w:val="13"/>
          <w:rFonts w:hint="eastAsia" w:eastAsia="仿宋_GB2312"/>
          <w:sz w:val="32"/>
          <w:szCs w:val="32"/>
        </w:rPr>
        <w:t>日起施行的新《预算法》，改称</w:t>
      </w:r>
      <w:r>
        <w:rPr>
          <w:rStyle w:val="13"/>
          <w:rFonts w:eastAsia="仿宋_GB2312"/>
          <w:sz w:val="32"/>
          <w:szCs w:val="32"/>
        </w:rPr>
        <w:t>“</w:t>
      </w:r>
      <w:r>
        <w:rPr>
          <w:rStyle w:val="13"/>
          <w:rFonts w:hint="eastAsia" w:eastAsia="仿宋_GB2312"/>
          <w:sz w:val="32"/>
          <w:szCs w:val="32"/>
        </w:rPr>
        <w:t>一般公共预算收入</w:t>
      </w:r>
      <w:r>
        <w:rPr>
          <w:rStyle w:val="13"/>
          <w:rFonts w:eastAsia="仿宋_GB2312"/>
          <w:sz w:val="32"/>
          <w:szCs w:val="32"/>
        </w:rPr>
        <w:t>”</w:t>
      </w:r>
      <w:r>
        <w:rPr>
          <w:rStyle w:val="13"/>
          <w:rFonts w:hint="eastAsia" w:eastAsia="仿宋_GB2312"/>
          <w:sz w:val="32"/>
          <w:szCs w:val="32"/>
        </w:rPr>
        <w:t>。全市一般公共预算收入由地方收入、上划中央收入、上划省级收入三部分构成。</w:t>
      </w:r>
    </w:p>
    <w:p>
      <w:pPr>
        <w:tabs>
          <w:tab w:val="left" w:pos="7560"/>
        </w:tabs>
        <w:snapToGrid w:val="0"/>
        <w:spacing w:line="560" w:lineRule="exact"/>
        <w:ind w:firstLine="640" w:firstLineChars="200"/>
        <w:rPr>
          <w:rStyle w:val="13"/>
          <w:rFonts w:eastAsia="Times New Roman"/>
          <w:bCs/>
          <w:sz w:val="32"/>
          <w:szCs w:val="32"/>
        </w:rPr>
      </w:pPr>
      <w:r>
        <w:rPr>
          <w:rStyle w:val="13"/>
          <w:rFonts w:hint="eastAsia" w:ascii="楷体_GB2312" w:hAnsi="宋体" w:eastAsia="楷体_GB2312" w:cs="宋体"/>
          <w:bCs/>
          <w:sz w:val="32"/>
          <w:szCs w:val="32"/>
        </w:rPr>
        <w:t>（二）政府性基金预算：</w:t>
      </w:r>
      <w:r>
        <w:rPr>
          <w:rStyle w:val="13"/>
          <w:rFonts w:hint="eastAsia"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snapToGrid w:val="0"/>
        <w:spacing w:line="560" w:lineRule="exact"/>
        <w:ind w:firstLine="640" w:firstLineChars="200"/>
        <w:rPr>
          <w:rStyle w:val="13"/>
          <w:rFonts w:eastAsia="Times New Roman"/>
          <w:bCs/>
          <w:sz w:val="32"/>
          <w:szCs w:val="32"/>
        </w:rPr>
      </w:pPr>
      <w:r>
        <w:rPr>
          <w:rStyle w:val="13"/>
          <w:rFonts w:hint="eastAsia" w:ascii="楷体_GB2312" w:hAnsi="宋体" w:eastAsia="楷体_GB2312" w:cs="宋体"/>
          <w:bCs/>
          <w:sz w:val="32"/>
          <w:szCs w:val="32"/>
        </w:rPr>
        <w:t>（三）国有资本经营预算：</w:t>
      </w:r>
      <w:r>
        <w:rPr>
          <w:rStyle w:val="13"/>
          <w:rFonts w:hint="eastAsia" w:eastAsia="仿宋_GB2312"/>
          <w:sz w:val="32"/>
          <w:szCs w:val="32"/>
        </w:rPr>
        <w:t>是对国有资本收益作出支出安排的收支预算。应当按照收支平衡的原则编制，不列赤字，并安排资金调入一般公共预算。</w:t>
      </w:r>
    </w:p>
    <w:p>
      <w:pPr>
        <w:tabs>
          <w:tab w:val="left" w:pos="7560"/>
        </w:tabs>
        <w:snapToGrid w:val="0"/>
        <w:spacing w:line="560" w:lineRule="exact"/>
        <w:ind w:firstLine="640" w:firstLineChars="200"/>
        <w:rPr>
          <w:rStyle w:val="13"/>
          <w:rFonts w:eastAsia="Times New Roman"/>
          <w:bCs/>
          <w:sz w:val="32"/>
          <w:szCs w:val="32"/>
        </w:rPr>
      </w:pPr>
      <w:r>
        <w:rPr>
          <w:rStyle w:val="13"/>
          <w:rFonts w:hint="eastAsia" w:ascii="楷体_GB2312" w:hAnsi="宋体" w:eastAsia="楷体_GB2312" w:cs="宋体"/>
          <w:bCs/>
          <w:sz w:val="32"/>
          <w:szCs w:val="32"/>
        </w:rPr>
        <w:t>（四）社会保险基金预算：</w:t>
      </w:r>
      <w:r>
        <w:rPr>
          <w:rStyle w:val="13"/>
          <w:rFonts w:hint="eastAsia"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snapToGrid w:val="0"/>
        <w:spacing w:line="560" w:lineRule="exact"/>
        <w:ind w:firstLine="640" w:firstLineChars="200"/>
        <w:rPr>
          <w:rStyle w:val="13"/>
          <w:rFonts w:eastAsia="Times New Roman"/>
          <w:bCs/>
          <w:sz w:val="32"/>
          <w:szCs w:val="32"/>
        </w:rPr>
      </w:pPr>
      <w:r>
        <w:rPr>
          <w:rStyle w:val="13"/>
          <w:rFonts w:hint="eastAsia" w:ascii="楷体_GB2312" w:hAnsi="宋体" w:eastAsia="楷体_GB2312" w:cs="宋体"/>
          <w:bCs/>
          <w:sz w:val="32"/>
          <w:szCs w:val="32"/>
        </w:rPr>
        <w:t>（五）基本支出：</w:t>
      </w:r>
      <w:r>
        <w:rPr>
          <w:rStyle w:val="13"/>
          <w:rFonts w:hint="eastAsia" w:eastAsia="仿宋_GB2312"/>
          <w:sz w:val="32"/>
          <w:szCs w:val="32"/>
        </w:rPr>
        <w:t>指为保障机构正常运转、完成日常工作任务而发生的人员支出和公用支出。</w:t>
      </w:r>
    </w:p>
    <w:p>
      <w:pPr>
        <w:tabs>
          <w:tab w:val="left" w:pos="7560"/>
        </w:tabs>
        <w:snapToGrid w:val="0"/>
        <w:spacing w:line="560" w:lineRule="exact"/>
        <w:ind w:firstLine="640" w:firstLineChars="200"/>
        <w:rPr>
          <w:rStyle w:val="13"/>
          <w:rFonts w:eastAsia="Times New Roman"/>
          <w:bCs/>
          <w:sz w:val="32"/>
          <w:szCs w:val="32"/>
        </w:rPr>
      </w:pPr>
      <w:r>
        <w:rPr>
          <w:rStyle w:val="13"/>
          <w:rFonts w:hint="eastAsia" w:ascii="楷体_GB2312" w:hAnsi="宋体" w:eastAsia="楷体_GB2312" w:cs="宋体"/>
          <w:bCs/>
          <w:sz w:val="32"/>
          <w:szCs w:val="32"/>
        </w:rPr>
        <w:t>（六）项目支出：</w:t>
      </w:r>
      <w:r>
        <w:rPr>
          <w:rStyle w:val="13"/>
          <w:rFonts w:hint="eastAsia" w:eastAsia="仿宋_GB2312"/>
          <w:sz w:val="32"/>
          <w:szCs w:val="32"/>
        </w:rPr>
        <w:t>指在基本支出之外为完成特定行政任务和事业发展目标所发生的支出。</w:t>
      </w:r>
    </w:p>
    <w:p>
      <w:pPr>
        <w:tabs>
          <w:tab w:val="left" w:pos="7560"/>
        </w:tabs>
        <w:snapToGrid w:val="0"/>
        <w:spacing w:line="560" w:lineRule="exact"/>
        <w:ind w:firstLine="640" w:firstLineChars="200"/>
        <w:rPr>
          <w:rStyle w:val="13"/>
          <w:rFonts w:eastAsia="仿宋_GB2312"/>
          <w:sz w:val="32"/>
          <w:szCs w:val="32"/>
        </w:rPr>
      </w:pPr>
      <w:r>
        <w:rPr>
          <w:rStyle w:val="13"/>
          <w:rFonts w:hint="eastAsia" w:ascii="楷体_GB2312" w:hAnsi="宋体" w:eastAsia="楷体_GB2312" w:cs="宋体"/>
          <w:bCs/>
          <w:sz w:val="32"/>
          <w:szCs w:val="32"/>
        </w:rPr>
        <w:t>（七）“三公”经费：</w:t>
      </w:r>
      <w:r>
        <w:rPr>
          <w:rStyle w:val="13"/>
          <w:rFonts w:hint="eastAsia" w:eastAsia="仿宋_GB2312"/>
          <w:sz w:val="32"/>
          <w:szCs w:val="32"/>
        </w:rPr>
        <w:t>是指商品和服务支出中的因公出国（境）费用、公务用车购置及运行维护费和公务接待费。</w:t>
      </w:r>
    </w:p>
    <w:p>
      <w:pPr>
        <w:tabs>
          <w:tab w:val="left" w:pos="7560"/>
        </w:tabs>
        <w:snapToGrid w:val="0"/>
        <w:spacing w:line="560" w:lineRule="exact"/>
        <w:ind w:firstLine="640" w:firstLineChars="200"/>
        <w:rPr>
          <w:rStyle w:val="13"/>
          <w:rFonts w:eastAsia="Times New Roman"/>
          <w:bCs/>
          <w:sz w:val="32"/>
          <w:szCs w:val="32"/>
        </w:rPr>
      </w:pPr>
      <w:r>
        <w:rPr>
          <w:rStyle w:val="13"/>
          <w:rFonts w:hint="eastAsia" w:ascii="楷体_GB2312" w:hAnsi="宋体" w:eastAsia="楷体_GB2312" w:cs="宋体"/>
          <w:bCs/>
          <w:sz w:val="32"/>
          <w:szCs w:val="32"/>
        </w:rPr>
        <w:t>（八）</w:t>
      </w:r>
      <w:r>
        <w:rPr>
          <w:rStyle w:val="13"/>
          <w:rFonts w:hint="eastAsia" w:ascii="楷体_GB2312" w:eastAsia="楷体_GB2312"/>
          <w:sz w:val="32"/>
          <w:szCs w:val="32"/>
        </w:rPr>
        <w:t>机关运行经费：</w:t>
      </w:r>
      <w:r>
        <w:rPr>
          <w:rStyle w:val="13"/>
          <w:rFonts w:hint="eastAsia"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19"/>
        <w:snapToGrid w:val="0"/>
        <w:spacing w:line="560" w:lineRule="exact"/>
        <w:rPr>
          <w:rStyle w:val="13"/>
          <w:rFonts w:ascii="Times New Roman" w:hAnsi="Times New Roman" w:eastAsia="仿宋_GB2312"/>
          <w:sz w:val="32"/>
          <w:szCs w:val="32"/>
        </w:rPr>
      </w:pPr>
    </w:p>
    <w:sectPr>
      <w:headerReference r:id="rId3" w:type="default"/>
      <w:footerReference r:id="rId4" w:type="even"/>
      <w:pgSz w:w="11906" w:h="16838"/>
      <w:pgMar w:top="1985" w:right="1531" w:bottom="2098"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outside" w:y="1"/>
      <w:rPr>
        <w:rStyle w:val="15"/>
      </w:rPr>
    </w:pPr>
  </w:p>
  <w:p>
    <w:pPr>
      <w:pStyle w:val="4"/>
      <w:ind w:right="360" w:firstLine="360"/>
      <w:rPr>
        <w:rStyle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AD75D"/>
    <w:multiLevelType w:val="singleLevel"/>
    <w:tmpl w:val="06BAD75D"/>
    <w:lvl w:ilvl="0" w:tentative="0">
      <w:start w:val="3"/>
      <w:numFmt w:val="chineseCounting"/>
      <w:suff w:val="nothing"/>
      <w:lvlText w:val="（%1）"/>
      <w:lvlJc w:val="left"/>
      <w:rPr>
        <w:rFonts w:hint="eastAsia"/>
      </w:rPr>
    </w:lvl>
  </w:abstractNum>
  <w:abstractNum w:abstractNumId="1">
    <w:nsid w:val="4BE3E0F9"/>
    <w:multiLevelType w:val="singleLevel"/>
    <w:tmpl w:val="4BE3E0F9"/>
    <w:lvl w:ilvl="0" w:tentative="0">
      <w:start w:val="1"/>
      <w:numFmt w:val="decimal"/>
      <w:suff w:val="nothing"/>
      <w:lvlText w:val="（%1）"/>
      <w:lvlJc w:val="left"/>
    </w:lvl>
  </w:abstractNum>
  <w:abstractNum w:abstractNumId="2">
    <w:nsid w:val="60AB02C7"/>
    <w:multiLevelType w:val="singleLevel"/>
    <w:tmpl w:val="60AB02C7"/>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ZhMTYyM2E1ZmUyNThiMTM4YmY1MTQ2OWE0NzU5NzgifQ=="/>
  </w:docVars>
  <w:rsids>
    <w:rsidRoot w:val="003E2232"/>
    <w:rsid w:val="000F06CA"/>
    <w:rsid w:val="00131C6D"/>
    <w:rsid w:val="001B3D1D"/>
    <w:rsid w:val="002654CB"/>
    <w:rsid w:val="003059E2"/>
    <w:rsid w:val="003764C1"/>
    <w:rsid w:val="00376F23"/>
    <w:rsid w:val="003D61C2"/>
    <w:rsid w:val="003E2232"/>
    <w:rsid w:val="00432999"/>
    <w:rsid w:val="00637005"/>
    <w:rsid w:val="006854A7"/>
    <w:rsid w:val="007F0A8D"/>
    <w:rsid w:val="00813408"/>
    <w:rsid w:val="00826A5B"/>
    <w:rsid w:val="00921BD4"/>
    <w:rsid w:val="009851DC"/>
    <w:rsid w:val="009C4CB5"/>
    <w:rsid w:val="00A45BB6"/>
    <w:rsid w:val="00B1351E"/>
    <w:rsid w:val="00B924DC"/>
    <w:rsid w:val="00BB44D2"/>
    <w:rsid w:val="00CF10EA"/>
    <w:rsid w:val="00DC3366"/>
    <w:rsid w:val="00DD623B"/>
    <w:rsid w:val="00F65A7A"/>
    <w:rsid w:val="00F8332B"/>
    <w:rsid w:val="0AF27E40"/>
    <w:rsid w:val="14392B2D"/>
    <w:rsid w:val="1461533D"/>
    <w:rsid w:val="24974BE3"/>
    <w:rsid w:val="249E72D7"/>
    <w:rsid w:val="2D411D6B"/>
    <w:rsid w:val="323516FE"/>
    <w:rsid w:val="325C6D5C"/>
    <w:rsid w:val="38DD3B18"/>
    <w:rsid w:val="398D5DFA"/>
    <w:rsid w:val="3A053EC6"/>
    <w:rsid w:val="3AD53D61"/>
    <w:rsid w:val="447F5ED7"/>
    <w:rsid w:val="48B24DC5"/>
    <w:rsid w:val="49980139"/>
    <w:rsid w:val="526C083C"/>
    <w:rsid w:val="5309612F"/>
    <w:rsid w:val="54911525"/>
    <w:rsid w:val="5A3438A6"/>
    <w:rsid w:val="5C592843"/>
    <w:rsid w:val="5E36628D"/>
    <w:rsid w:val="609F73A4"/>
    <w:rsid w:val="61F816D8"/>
    <w:rsid w:val="64AA6B1E"/>
    <w:rsid w:val="68855357"/>
    <w:rsid w:val="68AC76FD"/>
    <w:rsid w:val="6D79065D"/>
    <w:rsid w:val="6FAC3E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000000"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bCs/>
    </w:rPr>
  </w:style>
  <w:style w:type="character" w:customStyle="1" w:styleId="9">
    <w:name w:val="Date Char"/>
    <w:basedOn w:val="7"/>
    <w:link w:val="2"/>
    <w:qFormat/>
    <w:locked/>
    <w:uiPriority w:val="99"/>
    <w:rPr>
      <w:rFonts w:eastAsia="宋体" w:cs="Times New Roman"/>
      <w:kern w:val="2"/>
      <w:sz w:val="24"/>
    </w:rPr>
  </w:style>
  <w:style w:type="character" w:customStyle="1" w:styleId="10">
    <w:name w:val="Balloon Text Char"/>
    <w:basedOn w:val="7"/>
    <w:link w:val="3"/>
    <w:semiHidden/>
    <w:qFormat/>
    <w:locked/>
    <w:uiPriority w:val="99"/>
    <w:rPr>
      <w:rFonts w:cs="Times New Roman"/>
      <w:kern w:val="2"/>
      <w:sz w:val="18"/>
      <w:szCs w:val="18"/>
    </w:rPr>
  </w:style>
  <w:style w:type="character" w:customStyle="1" w:styleId="11">
    <w:name w:val="Footer Char"/>
    <w:basedOn w:val="7"/>
    <w:link w:val="4"/>
    <w:semiHidden/>
    <w:qFormat/>
    <w:locked/>
    <w:uiPriority w:val="99"/>
    <w:rPr>
      <w:rFonts w:cs="Times New Roman"/>
      <w:sz w:val="18"/>
      <w:szCs w:val="18"/>
    </w:rPr>
  </w:style>
  <w:style w:type="character" w:customStyle="1" w:styleId="12">
    <w:name w:val="Header Char"/>
    <w:basedOn w:val="7"/>
    <w:link w:val="5"/>
    <w:semiHidden/>
    <w:qFormat/>
    <w:locked/>
    <w:uiPriority w:val="99"/>
    <w:rPr>
      <w:rFonts w:cs="Times New Roman"/>
      <w:sz w:val="18"/>
      <w:szCs w:val="18"/>
    </w:rPr>
  </w:style>
  <w:style w:type="character" w:customStyle="1" w:styleId="13">
    <w:name w:val="NormalCharacter"/>
    <w:qFormat/>
    <w:uiPriority w:val="99"/>
  </w:style>
  <w:style w:type="table" w:customStyle="1" w:styleId="14">
    <w:name w:val="TableNormal"/>
    <w:semiHidden/>
    <w:qFormat/>
    <w:uiPriority w:val="99"/>
    <w:rPr>
      <w:kern w:val="0"/>
      <w:sz w:val="20"/>
      <w:szCs w:val="20"/>
    </w:rPr>
    <w:tblPr>
      <w:tblCellMar>
        <w:top w:w="0" w:type="dxa"/>
        <w:left w:w="0" w:type="dxa"/>
        <w:bottom w:w="0" w:type="dxa"/>
        <w:right w:w="0" w:type="dxa"/>
      </w:tblCellMar>
    </w:tblPr>
  </w:style>
  <w:style w:type="character" w:customStyle="1" w:styleId="15">
    <w:name w:val="PageNumber"/>
    <w:basedOn w:val="13"/>
    <w:qFormat/>
    <w:uiPriority w:val="99"/>
    <w:rPr>
      <w:rFonts w:cs="Times New Roman"/>
    </w:rPr>
  </w:style>
  <w:style w:type="paragraph" w:customStyle="1" w:styleId="16">
    <w:name w:val="HtmlNormal"/>
    <w:basedOn w:val="1"/>
    <w:qFormat/>
    <w:uiPriority w:val="99"/>
    <w:pPr>
      <w:spacing w:before="100" w:beforeAutospacing="1" w:after="100" w:afterAutospacing="1"/>
      <w:jc w:val="left"/>
    </w:pPr>
    <w:rPr>
      <w:rFonts w:ascii="宋体"/>
      <w:color w:val="000000"/>
      <w:kern w:val="0"/>
      <w:sz w:val="24"/>
    </w:rPr>
  </w:style>
  <w:style w:type="paragraph" w:customStyle="1" w:styleId="17">
    <w:name w:val="BodyText"/>
    <w:basedOn w:val="1"/>
    <w:qFormat/>
    <w:uiPriority w:val="99"/>
    <w:pPr>
      <w:spacing w:line="400" w:lineRule="atLeast"/>
    </w:pPr>
    <w:rPr>
      <w:rFonts w:ascii="??_GB2312" w:eastAsia="Times New Roman"/>
      <w:sz w:val="32"/>
    </w:rPr>
  </w:style>
  <w:style w:type="paragraph" w:customStyle="1" w:styleId="18">
    <w:name w:val="Acetate"/>
    <w:basedOn w:val="1"/>
    <w:qFormat/>
    <w:uiPriority w:val="99"/>
    <w:rPr>
      <w:sz w:val="18"/>
      <w:szCs w:val="18"/>
    </w:rPr>
  </w:style>
  <w:style w:type="paragraph" w:customStyle="1" w:styleId="19">
    <w:name w:val="PlainText"/>
    <w:basedOn w:val="1"/>
    <w:qFormat/>
    <w:uiPriority w:val="99"/>
    <w:rPr>
      <w:rFonts w:ascii="宋体" w:hAnsi="Courier New"/>
    </w:rPr>
  </w:style>
  <w:style w:type="paragraph" w:customStyle="1" w:styleId="20">
    <w:name w:val="BodyTextIndent"/>
    <w:basedOn w:val="1"/>
    <w:qFormat/>
    <w:uiPriority w:val="99"/>
    <w:pPr>
      <w:spacing w:line="360" w:lineRule="auto"/>
      <w:ind w:firstLine="200" w:firstLineChars="200"/>
    </w:pPr>
    <w:rPr>
      <w:rFonts w:ascii="方正仿宋_GBK" w:eastAsia="方正仿宋_GBK"/>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13</Pages>
  <Words>4888</Words>
  <Characters>5139</Characters>
  <Lines>0</Lines>
  <Paragraphs>0</Paragraphs>
  <TotalTime>0</TotalTime>
  <ScaleCrop>false</ScaleCrop>
  <LinksUpToDate>false</LinksUpToDate>
  <CharactersWithSpaces>5195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2021-05-07T05:57:00Z</dcterms:created>
  <dc:creator>Administrator</dc:creator>
  <cp:lastModifiedBy>绮梦1369367186</cp:lastModifiedBy>
  <cp:lastPrinted>2021-05-07T05:59:00Z</cp:lastPrinted>
  <dcterms:modified xsi:type="dcterms:W3CDTF">2022-09-06T10:01:20Z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E7AA39E39E9F4EA3B10D750652ABD3DC</vt:lpwstr>
  </property>
</Properties>
</file>