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napToGrid w:val="0"/>
        <w:spacing w:line="560" w:lineRule="exact"/>
        <w:jc w:val="center"/>
        <w:rPr>
          <w:rStyle w:val="10"/>
          <w:rFonts w:eastAsia="方正小标宋简体"/>
          <w:bCs/>
          <w:sz w:val="44"/>
          <w:szCs w:val="44"/>
        </w:rPr>
      </w:pPr>
    </w:p>
    <w:p>
      <w:pPr>
        <w:tabs>
          <w:tab w:val="left" w:pos="7560"/>
        </w:tabs>
        <w:snapToGrid w:val="0"/>
        <w:spacing w:line="560" w:lineRule="exact"/>
        <w:jc w:val="center"/>
        <w:rPr>
          <w:rStyle w:val="10"/>
          <w:rFonts w:eastAsia="方正小标宋简体"/>
          <w:bCs/>
          <w:sz w:val="44"/>
          <w:szCs w:val="44"/>
        </w:rPr>
      </w:pPr>
    </w:p>
    <w:p>
      <w:pPr>
        <w:tabs>
          <w:tab w:val="left" w:pos="7560"/>
        </w:tabs>
        <w:snapToGrid w:val="0"/>
        <w:spacing w:line="560" w:lineRule="exact"/>
        <w:jc w:val="center"/>
        <w:rPr>
          <w:rStyle w:val="10"/>
          <w:rFonts w:eastAsia="方正小标宋简体"/>
          <w:bCs/>
          <w:sz w:val="44"/>
          <w:szCs w:val="44"/>
        </w:rPr>
      </w:pPr>
    </w:p>
    <w:p>
      <w:pPr>
        <w:tabs>
          <w:tab w:val="left" w:pos="7560"/>
        </w:tabs>
        <w:snapToGrid w:val="0"/>
        <w:spacing w:line="560" w:lineRule="exact"/>
        <w:jc w:val="center"/>
        <w:rPr>
          <w:rStyle w:val="10"/>
          <w:rFonts w:eastAsia="方正小标宋简体"/>
          <w:bCs/>
          <w:sz w:val="44"/>
          <w:szCs w:val="44"/>
        </w:rPr>
      </w:pPr>
    </w:p>
    <w:p>
      <w:pPr>
        <w:tabs>
          <w:tab w:val="left" w:pos="7560"/>
        </w:tabs>
        <w:snapToGrid w:val="0"/>
        <w:jc w:val="center"/>
        <w:rPr>
          <w:rStyle w:val="10"/>
          <w:rFonts w:eastAsia="方正小标宋简体"/>
          <w:bCs/>
          <w:sz w:val="84"/>
          <w:szCs w:val="84"/>
        </w:rPr>
      </w:pPr>
      <w:r>
        <w:rPr>
          <w:rStyle w:val="10"/>
          <w:rFonts w:hint="eastAsia" w:eastAsia="方正小标宋简体"/>
          <w:bCs/>
          <w:sz w:val="84"/>
          <w:szCs w:val="84"/>
        </w:rPr>
        <w:t>株洲市芦淞区行政审批服务</w:t>
      </w:r>
      <w:r>
        <w:rPr>
          <w:rStyle w:val="10"/>
          <w:rFonts w:eastAsia="方正小标宋简体"/>
          <w:bCs/>
          <w:sz w:val="84"/>
          <w:szCs w:val="84"/>
        </w:rPr>
        <w:t>局2021年部门预算</w:t>
      </w: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left"/>
        <w:rPr>
          <w:rStyle w:val="10"/>
          <w:rFonts w:eastAsia="仿宋_GB2312"/>
          <w:bCs/>
          <w:sz w:val="32"/>
          <w:szCs w:val="32"/>
        </w:rPr>
      </w:pPr>
    </w:p>
    <w:p>
      <w:pPr>
        <w:tabs>
          <w:tab w:val="left" w:pos="7560"/>
        </w:tabs>
        <w:snapToGrid w:val="0"/>
        <w:spacing w:line="560" w:lineRule="exact"/>
        <w:jc w:val="center"/>
        <w:rPr>
          <w:rStyle w:val="10"/>
          <w:rFonts w:hAnsi="黑体" w:eastAsia="黑体"/>
          <w:bCs/>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部门预算公开信息目录</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一、部门职能职责</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三、部门收支概况</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（一）收入预算</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（二）支出预算</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（三）预算收支增减变化情况说明</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四、其他重要事项情况说明</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（二）政府采购预算</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（三）国有资产占有情况</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（四）预算绩效目标</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（五）一般公共预算“三公”经费预算</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（六）会议费、培训费</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（七）其他事项</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五、名词解释</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六、部门预算公开表格</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（一）部门收支总表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（二）部门收入总体情况表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（三）部门支出总体情况表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（四）部门支出总表（按部门预算经济分类）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（五）基本支出预算明细表-工资福利支出（按部门预算经济分类）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）基本支出预算明细表-商品和服务支出（按部门预算经济分类）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）基本支出预算明细表-对个人和家庭的补助（按部门预算经济分类）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）财政拨款收支总体情况表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）一般公共预算支出情况表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（十）一般公共预算基本支出情况表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）一般公共预算基本支出预算明细表-工资福利支出（按部门预算经济分类）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）一般公共预算基本支出预算明细表-商品和服务支出(按部门预算经济分类)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）一般公共预算基本支出预算明细表-对个人和家庭的补助（按部门预算经济分类）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）政府性基金预算支出情况表（按部门预算经济分类）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）纳入专户管理的非税收入拨款预算分类汇总表（按部门预算经济分类）</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十六</w:t>
      </w:r>
      <w:r>
        <w:rPr>
          <w:rFonts w:hint="default" w:ascii="Times New Roman" w:hAnsi="Times New Roman" w:eastAsia="仿宋_GB2312" w:cs="Times New Roman"/>
          <w:sz w:val="32"/>
          <w:szCs w:val="32"/>
        </w:rPr>
        <w:t>）项目支出预算表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十七</w:t>
      </w:r>
      <w:r>
        <w:rPr>
          <w:rFonts w:hint="default" w:ascii="Times New Roman" w:hAnsi="Times New Roman" w:eastAsia="仿宋_GB2312" w:cs="Times New Roman"/>
          <w:sz w:val="32"/>
          <w:szCs w:val="32"/>
        </w:rPr>
        <w:t>）一般公共预算</w:t>
      </w:r>
      <w:r>
        <w:rPr>
          <w:rFonts w:hint="eastAsia" w:eastAsia="仿宋_GB2312" w:cs="Times New Roman"/>
          <w:sz w:val="32"/>
          <w:szCs w:val="32"/>
          <w:lang w:eastAsia="zh-CN"/>
        </w:rPr>
        <w:t>拨款</w:t>
      </w:r>
      <w:r>
        <w:rPr>
          <w:rFonts w:hint="default" w:ascii="Times New Roman" w:hAnsi="Times New Roman" w:eastAsia="仿宋_GB2312" w:cs="Times New Roman"/>
          <w:sz w:val="32"/>
          <w:szCs w:val="32"/>
        </w:rPr>
        <w:t>“三公”经费预算表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十八</w:t>
      </w:r>
      <w:r>
        <w:rPr>
          <w:rFonts w:hint="default" w:ascii="Times New Roman" w:hAnsi="Times New Roman" w:eastAsia="仿宋_GB2312" w:cs="Times New Roman"/>
          <w:sz w:val="32"/>
          <w:szCs w:val="32"/>
        </w:rPr>
        <w:t>）政府采购预算表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十九</w:t>
      </w:r>
      <w:r>
        <w:rPr>
          <w:rFonts w:hint="default" w:ascii="Times New Roman" w:hAnsi="Times New Roman" w:eastAsia="仿宋_GB2312" w:cs="Times New Roman"/>
          <w:sz w:val="32"/>
          <w:szCs w:val="32"/>
        </w:rPr>
        <w:t>）政府购买服务预算表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）2021年部门整体支出绩效目标表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二十一</w:t>
      </w:r>
      <w:r>
        <w:rPr>
          <w:rFonts w:hint="default" w:ascii="Times New Roman" w:hAnsi="Times New Roman" w:eastAsia="仿宋_GB2312" w:cs="Times New Roman"/>
          <w:sz w:val="32"/>
          <w:szCs w:val="32"/>
        </w:rPr>
        <w:t>）2021年专项资金预算绩效目标汇总表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二十二</w:t>
      </w:r>
      <w:r>
        <w:rPr>
          <w:rFonts w:hint="default" w:ascii="Times New Roman" w:hAnsi="Times New Roman" w:eastAsia="仿宋_GB2312" w:cs="Times New Roman"/>
          <w:sz w:val="32"/>
          <w:szCs w:val="32"/>
        </w:rPr>
        <w:t>）2021年专项资金支出方向绩效目标表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w:t>
      </w:r>
      <w:r>
        <w:rPr>
          <w:rFonts w:hint="eastAsia" w:eastAsia="仿宋_GB2312"/>
          <w:sz w:val="32"/>
          <w:szCs w:val="32"/>
          <w:lang w:val="en-US" w:eastAsia="zh-CN"/>
        </w:rPr>
        <w:t>三</w:t>
      </w:r>
      <w:r>
        <w:rPr>
          <w:rFonts w:eastAsia="仿宋_GB2312"/>
          <w:sz w:val="32"/>
          <w:szCs w:val="32"/>
        </w:rPr>
        <w:t>）</w:t>
      </w:r>
      <w:r>
        <w:rPr>
          <w:rFonts w:hint="eastAsia" w:eastAsia="仿宋_GB2312"/>
          <w:sz w:val="32"/>
          <w:szCs w:val="32"/>
        </w:rPr>
        <w:t>一般公共预算基本支出情况表</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jc w:val="left"/>
        <w:rPr>
          <w:rFonts w:hint="default" w:ascii="Times New Roman" w:hAnsi="Times New Roman" w:eastAsia="仿宋_GB2312" w:cs="Times New Roman"/>
          <w:sz w:val="32"/>
          <w:szCs w:val="32"/>
        </w:rPr>
      </w:pP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黑体"/>
          <w:sz w:val="32"/>
          <w:szCs w:val="32"/>
        </w:rPr>
      </w:pPr>
      <w:r>
        <w:rPr>
          <w:rStyle w:val="10"/>
          <w:rFonts w:hAnsi="黑体" w:eastAsia="黑体"/>
          <w:sz w:val="32"/>
          <w:szCs w:val="32"/>
        </w:rPr>
        <w:t>一、</w:t>
      </w:r>
      <w:r>
        <w:rPr>
          <w:rStyle w:val="10"/>
          <w:rFonts w:eastAsia="黑体"/>
          <w:sz w:val="32"/>
          <w:szCs w:val="32"/>
        </w:rPr>
        <w:t xml:space="preserve"> </w:t>
      </w:r>
      <w:r>
        <w:rPr>
          <w:rStyle w:val="10"/>
          <w:rFonts w:hAnsi="黑体" w:eastAsia="黑体"/>
          <w:sz w:val="32"/>
          <w:szCs w:val="32"/>
        </w:rPr>
        <w:t>部门职能职责</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（一）负责指导、协调、推进全区行政审批制度改革工作。</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xml:space="preserve">    （二）统筹协调、监督评估全区政府系统电子政务信息化建设工作；统筹规划、协调指导、监督评估全区数据资源管理和智慧城市建设工作。</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xml:space="preserve">    （三）协调推进全区“放管服”改革工作。</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xml:space="preserve">    （四）负责区集中统一办事大厅标准化、规范化建设以及进驻部门和人员的日常管理、培训、监督和考核工作。</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xml:space="preserve">    （五）完成区委和区政府交办的其他任务。</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黑体" w:hAnsi="黑体" w:eastAsia="黑体" w:cs="黑体"/>
          <w:sz w:val="32"/>
          <w:szCs w:val="32"/>
        </w:rPr>
      </w:pPr>
      <w:r>
        <w:rPr>
          <w:rStyle w:val="10"/>
          <w:rFonts w:hint="eastAsia" w:ascii="黑体" w:hAnsi="黑体" w:eastAsia="黑体" w:cs="黑体"/>
          <w:sz w:val="32"/>
          <w:szCs w:val="32"/>
        </w:rPr>
        <w:t>二、机构设置</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行政审批服务局</w:t>
      </w:r>
      <w:r>
        <w:rPr>
          <w:rFonts w:hint="eastAsia" w:ascii="仿宋_GB2312" w:hAnsi="仿宋_GB2312" w:eastAsia="仿宋_GB2312" w:cs="仿宋_GB2312"/>
          <w:i w:val="0"/>
          <w:iCs w:val="0"/>
          <w:caps w:val="0"/>
          <w:color w:val="333333"/>
          <w:spacing w:val="0"/>
          <w:sz w:val="32"/>
          <w:szCs w:val="32"/>
          <w:shd w:val="clear" w:fill="FFFFFF"/>
          <w:lang w:eastAsia="zh-CN"/>
        </w:rPr>
        <w:t>共有</w:t>
      </w:r>
      <w:r>
        <w:rPr>
          <w:rFonts w:hint="eastAsia" w:ascii="仿宋_GB2312" w:hAnsi="仿宋_GB2312" w:eastAsia="仿宋_GB2312" w:cs="仿宋_GB2312"/>
          <w:i w:val="0"/>
          <w:iCs w:val="0"/>
          <w:caps w:val="0"/>
          <w:color w:val="333333"/>
          <w:spacing w:val="0"/>
          <w:sz w:val="32"/>
          <w:szCs w:val="32"/>
          <w:shd w:val="clear" w:fill="FFFFFF"/>
        </w:rPr>
        <w:t>行政编制3名名；政务服务中心事业编制7名。实有在职人员8名（行政审批服务局2名，政务服务中心6名），无退休人员。</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本单位无内设机构，含一个下属事业单位：政务服务中心，对外加挂区政府电子政务中心牌子，为副科级全额拨款公益一类事业单位。</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本部门无下属预算单位，2020年部门预算编报范围为行政审批服务局机关。</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黑体"/>
          <w:sz w:val="32"/>
          <w:szCs w:val="32"/>
        </w:rPr>
      </w:pPr>
      <w:r>
        <w:rPr>
          <w:rStyle w:val="10"/>
          <w:rFonts w:hint="eastAsia" w:hAnsi="黑体" w:eastAsia="黑体"/>
          <w:sz w:val="32"/>
          <w:szCs w:val="32"/>
          <w:lang w:eastAsia="zh-CN"/>
        </w:rPr>
        <w:t>三</w:t>
      </w:r>
      <w:r>
        <w:rPr>
          <w:rStyle w:val="10"/>
          <w:rFonts w:hAnsi="黑体" w:eastAsia="黑体"/>
          <w:sz w:val="32"/>
          <w:szCs w:val="32"/>
        </w:rPr>
        <w:t>、</w:t>
      </w:r>
      <w:r>
        <w:rPr>
          <w:rStyle w:val="10"/>
          <w:rFonts w:eastAsia="黑体"/>
          <w:sz w:val="32"/>
          <w:szCs w:val="32"/>
        </w:rPr>
        <w:t xml:space="preserve"> </w:t>
      </w:r>
      <w:r>
        <w:rPr>
          <w:rStyle w:val="10"/>
          <w:rFonts w:hAnsi="黑体" w:eastAsia="黑体"/>
          <w:sz w:val="32"/>
          <w:szCs w:val="32"/>
        </w:rPr>
        <w:t>部门收支总体情况</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2021年行政审批服务局公开的部门预算为局机关，</w:t>
      </w:r>
      <w:r>
        <w:rPr>
          <w:rStyle w:val="10"/>
          <w:rFonts w:hint="eastAsia" w:ascii="仿宋_GB2312" w:hAnsi="仿宋_GB2312" w:eastAsia="仿宋_GB2312" w:cs="仿宋_GB2312"/>
          <w:sz w:val="32"/>
          <w:szCs w:val="32"/>
          <w:lang w:eastAsia="zh-CN"/>
        </w:rPr>
        <w:t>无下属预算单位。</w:t>
      </w:r>
      <w:r>
        <w:rPr>
          <w:rStyle w:val="10"/>
          <w:rFonts w:hint="eastAsia" w:ascii="仿宋_GB2312" w:hAnsi="仿宋_GB2312" w:eastAsia="仿宋_GB2312" w:cs="仿宋_GB2312"/>
          <w:sz w:val="32"/>
          <w:szCs w:val="32"/>
        </w:rPr>
        <w:t>收入包括一般公共预算收入，支出既包括保障局机关及下属事业单位基本运行的经费，也包括归口管理、面向全区分配的政务大厅管理及“互联网+政务服务”建设、政务公开及政府门户网站建设、政务信息化网络租赁及维护等专项经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center"/>
        <w:rPr>
          <w:rStyle w:val="10"/>
          <w:rFonts w:hint="eastAsia" w:ascii="仿宋_GB2312" w:hAnsi="仿宋_GB2312" w:eastAsia="仿宋_GB2312" w:cs="仿宋_GB2312"/>
          <w:kern w:val="2"/>
          <w:sz w:val="32"/>
          <w:szCs w:val="32"/>
          <w:lang w:val="en-US" w:eastAsia="zh-CN" w:bidi="ar-SA"/>
        </w:rPr>
      </w:pPr>
      <w:r>
        <w:rPr>
          <w:rStyle w:val="10"/>
          <w:rFonts w:eastAsia="楷体_GB2312"/>
          <w:bCs/>
          <w:sz w:val="32"/>
          <w:szCs w:val="32"/>
        </w:rPr>
        <w:t>（一）</w:t>
      </w:r>
      <w:r>
        <w:rPr>
          <w:rStyle w:val="10"/>
          <w:rFonts w:hint="eastAsia" w:eastAsia="楷体_GB2312"/>
          <w:bCs/>
          <w:sz w:val="32"/>
          <w:szCs w:val="32"/>
          <w:lang w:eastAsia="zh-CN"/>
        </w:rPr>
        <w:t>部门</w:t>
      </w:r>
      <w:r>
        <w:rPr>
          <w:rStyle w:val="10"/>
          <w:rFonts w:eastAsia="楷体_GB2312"/>
          <w:bCs/>
          <w:sz w:val="32"/>
          <w:szCs w:val="32"/>
        </w:rPr>
        <w:t>收入预算</w:t>
      </w:r>
      <w:r>
        <w:rPr>
          <w:rStyle w:val="10"/>
          <w:rFonts w:eastAsia="楷体_GB2312"/>
          <w:sz w:val="32"/>
          <w:szCs w:val="32"/>
        </w:rPr>
        <w:t>：</w:t>
      </w:r>
      <w:r>
        <w:rPr>
          <w:rStyle w:val="10"/>
          <w:rFonts w:hint="eastAsia" w:ascii="仿宋_GB2312" w:hAnsi="仿宋_GB2312" w:eastAsia="仿宋_GB2312" w:cs="仿宋_GB2312"/>
          <w:kern w:val="2"/>
          <w:sz w:val="32"/>
          <w:szCs w:val="32"/>
          <w:lang w:val="en-US" w:eastAsia="zh-CN" w:bidi="ar-SA"/>
        </w:rPr>
        <w:t>2021年年初预算数440.32万元，其中，一般公共预算拨款440.32万元,政府性基金预算拨款0万元，国</w:t>
      </w:r>
      <w:r>
        <w:rPr>
          <w:rStyle w:val="10"/>
          <w:rFonts w:hint="eastAsia" w:ascii="仿宋_GB2312" w:hAnsi="仿宋_GB2312" w:eastAsia="仿宋_GB2312" w:cs="仿宋_GB2312"/>
          <w:spacing w:val="-20"/>
          <w:kern w:val="2"/>
          <w:sz w:val="32"/>
          <w:szCs w:val="32"/>
          <w:lang w:val="en-US" w:eastAsia="zh-CN" w:bidi="ar-SA"/>
        </w:rPr>
        <w:t>有资本经营预算拨款0万元，纳入专户管理的非税收入0万元。</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eastAsia="仿宋_GB2312"/>
          <w:sz w:val="32"/>
          <w:szCs w:val="32"/>
          <w:lang w:eastAsia="zh-CN"/>
        </w:rPr>
      </w:pPr>
      <w:r>
        <w:rPr>
          <w:rStyle w:val="10"/>
          <w:rFonts w:eastAsia="楷体_GB2312"/>
          <w:bCs/>
          <w:sz w:val="32"/>
          <w:szCs w:val="32"/>
        </w:rPr>
        <w:t>（二）</w:t>
      </w:r>
      <w:r>
        <w:rPr>
          <w:rStyle w:val="10"/>
          <w:rFonts w:hint="eastAsia" w:eastAsia="楷体_GB2312"/>
          <w:bCs/>
          <w:sz w:val="32"/>
          <w:szCs w:val="32"/>
          <w:lang w:eastAsia="zh-CN"/>
        </w:rPr>
        <w:t>部门</w:t>
      </w:r>
      <w:r>
        <w:rPr>
          <w:rStyle w:val="10"/>
          <w:rFonts w:eastAsia="楷体_GB2312"/>
          <w:bCs/>
          <w:sz w:val="32"/>
          <w:szCs w:val="32"/>
        </w:rPr>
        <w:t>支出预算：</w:t>
      </w:r>
      <w:r>
        <w:rPr>
          <w:rStyle w:val="10"/>
          <w:rFonts w:hint="eastAsia" w:ascii="仿宋_GB2312" w:hAnsi="仿宋_GB2312" w:eastAsia="仿宋_GB2312" w:cs="仿宋_GB2312"/>
          <w:sz w:val="32"/>
          <w:szCs w:val="32"/>
        </w:rPr>
        <w:t>2021年年初预算数440.32万元，其中，一般公共服务支出440.32万元。</w:t>
      </w:r>
      <w:r>
        <w:rPr>
          <w:rStyle w:val="10"/>
          <w:rFonts w:hint="eastAsia" w:ascii="仿宋_GB2312" w:hAnsi="仿宋_GB2312" w:eastAsia="仿宋_GB2312" w:cs="仿宋_GB2312"/>
          <w:sz w:val="32"/>
          <w:szCs w:val="32"/>
          <w:lang w:eastAsia="zh-CN"/>
        </w:rPr>
        <w:t>具体安排如下：</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hint="eastAsia" w:eastAsia="楷体_GB2312"/>
          <w:bCs/>
          <w:sz w:val="32"/>
          <w:szCs w:val="32"/>
          <w:lang w:val="en-US" w:eastAsia="zh-CN"/>
        </w:rPr>
        <w:t>1.</w:t>
      </w:r>
      <w:r>
        <w:rPr>
          <w:rStyle w:val="10"/>
          <w:rFonts w:eastAsia="楷体_GB2312"/>
          <w:bCs/>
          <w:sz w:val="32"/>
          <w:szCs w:val="32"/>
        </w:rPr>
        <w:t>基本支出</w:t>
      </w:r>
      <w:r>
        <w:rPr>
          <w:rStyle w:val="10"/>
          <w:rFonts w:hint="eastAsia" w:eastAsia="楷体_GB2312"/>
          <w:bCs/>
          <w:sz w:val="32"/>
          <w:szCs w:val="32"/>
          <w:lang w:eastAsia="zh-CN"/>
        </w:rPr>
        <w:t>：</w:t>
      </w:r>
      <w:r>
        <w:rPr>
          <w:rStyle w:val="10"/>
          <w:rFonts w:hint="eastAsia" w:ascii="仿宋_GB2312" w:hAnsi="仿宋_GB2312" w:eastAsia="仿宋_GB2312" w:cs="仿宋_GB2312"/>
          <w:sz w:val="32"/>
          <w:szCs w:val="32"/>
        </w:rPr>
        <w:t>2021年年初预算数为206.79万元，是指为保障单位机构正常运转、完成日常工作任务而发生的各项支出，包括用于基本工资、津贴补贴等人员经费以及日常公用经费、业务性商品和服务支出。其中包括基本工资28.52万元、津贴补贴21.54万元、奖金23.37万元、其他工资福利支出86.72万元、公用经费16.86万元等。</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hint="eastAsia" w:eastAsia="楷体_GB2312"/>
          <w:bCs/>
          <w:sz w:val="32"/>
          <w:szCs w:val="32"/>
          <w:lang w:val="en-US" w:eastAsia="zh-CN"/>
        </w:rPr>
        <w:t>2.业务类</w:t>
      </w:r>
      <w:r>
        <w:rPr>
          <w:rStyle w:val="10"/>
          <w:rFonts w:eastAsia="楷体_GB2312"/>
          <w:bCs/>
          <w:sz w:val="32"/>
          <w:szCs w:val="32"/>
        </w:rPr>
        <w:t>项目支出</w:t>
      </w:r>
      <w:r>
        <w:rPr>
          <w:rStyle w:val="10"/>
          <w:rFonts w:hint="eastAsia" w:eastAsia="楷体_GB2312"/>
          <w:bCs/>
          <w:sz w:val="32"/>
          <w:szCs w:val="32"/>
          <w:lang w:eastAsia="zh-CN"/>
        </w:rPr>
        <w:t>：</w:t>
      </w:r>
      <w:r>
        <w:rPr>
          <w:rStyle w:val="10"/>
          <w:rFonts w:hint="eastAsia" w:ascii="仿宋_GB2312" w:hAnsi="仿宋_GB2312" w:eastAsia="仿宋_GB2312" w:cs="仿宋_GB2312"/>
          <w:sz w:val="32"/>
          <w:szCs w:val="32"/>
        </w:rPr>
        <w:t>2021年年初预算数为233.53万元，是指单位为完成特定行政工作任务或事业发展目标而发生的支出，包括有关事业发展专项、基本建设支出、资本性支出等。其中：</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（1）政务公开及政府门户网站建设专项30.23万元，</w:t>
      </w:r>
      <w:r>
        <w:rPr>
          <w:rStyle w:val="10"/>
          <w:rFonts w:hint="eastAsia" w:ascii="仿宋_GB2312" w:hAnsi="仿宋_GB2312" w:eastAsia="仿宋_GB2312" w:cs="仿宋_GB2312"/>
          <w:sz w:val="32"/>
          <w:szCs w:val="32"/>
          <w:lang w:eastAsia="zh-CN"/>
        </w:rPr>
        <w:t>主要用于</w:t>
      </w:r>
      <w:r>
        <w:rPr>
          <w:rStyle w:val="10"/>
          <w:rFonts w:hint="eastAsia" w:ascii="仿宋_GB2312" w:hAnsi="仿宋_GB2312" w:eastAsia="仿宋_GB2312" w:cs="仿宋_GB2312"/>
          <w:sz w:val="32"/>
          <w:szCs w:val="32"/>
        </w:rPr>
        <w:t>加强政府网站信息内容建设管理，进一步巩固政务公开标准化工作的成果。提升政府网站发布信息、解读政策、回应关切、引导舆论的能力和水平，将政府网站打造成更加及时、准确、有效的政府信息发布、互动交流和公共服务平台。</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仿宋_GB2312"/>
          <w:sz w:val="32"/>
          <w:szCs w:val="32"/>
        </w:rPr>
      </w:pPr>
      <w:r>
        <w:rPr>
          <w:rStyle w:val="10"/>
          <w:rFonts w:hint="eastAsia" w:ascii="仿宋_GB2312" w:hAnsi="仿宋_GB2312" w:eastAsia="仿宋_GB2312" w:cs="仿宋_GB2312"/>
          <w:sz w:val="32"/>
          <w:szCs w:val="32"/>
        </w:rPr>
        <w:t>（2）</w:t>
      </w:r>
      <w:r>
        <w:rPr>
          <w:rStyle w:val="10"/>
          <w:rFonts w:hint="eastAsia" w:ascii="仿宋_GB2312" w:hAnsi="仿宋_GB2312" w:eastAsia="仿宋_GB2312" w:cs="仿宋_GB2312"/>
          <w:sz w:val="32"/>
          <w:szCs w:val="32"/>
          <w:lang w:eastAsia="zh-CN"/>
        </w:rPr>
        <w:t>政务信息化网络租赁及维护</w:t>
      </w:r>
      <w:r>
        <w:rPr>
          <w:rStyle w:val="10"/>
          <w:rFonts w:hint="eastAsia" w:ascii="仿宋_GB2312" w:hAnsi="仿宋_GB2312" w:eastAsia="仿宋_GB2312" w:cs="仿宋_GB2312"/>
          <w:sz w:val="32"/>
          <w:szCs w:val="32"/>
        </w:rPr>
        <w:t>专项203.3万元，主要用于做好区数据中心机房和全区包括各镇（街道）、村（社区）电子政务外网系统的租赁和维护，能够使系统更加稳定，使经办机构能够更有效的完成业务办理，保障全区网络安全运行。</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eastAsia="楷体_GB2312"/>
          <w:bCs/>
          <w:sz w:val="32"/>
          <w:szCs w:val="32"/>
        </w:rPr>
        <w:t>（三）预算收支增减变化情况说明：</w:t>
      </w:r>
      <w:r>
        <w:rPr>
          <w:rStyle w:val="10"/>
          <w:rFonts w:hint="eastAsia" w:ascii="仿宋_GB2312" w:hAnsi="仿宋_GB2312" w:eastAsia="仿宋_GB2312" w:cs="仿宋_GB2312"/>
          <w:sz w:val="32"/>
          <w:szCs w:val="32"/>
        </w:rPr>
        <w:t>2021年度本部门年初预算数为440.32万元，比上年增加239.97万元，主要原因是增加了部门专项资金。</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Style w:val="10"/>
          <w:rFonts w:hint="default" w:eastAsia="楷体_GB2312"/>
          <w:bCs/>
          <w:sz w:val="32"/>
          <w:szCs w:val="32"/>
        </w:rPr>
        <w:t>（</w:t>
      </w:r>
      <w:r>
        <w:rPr>
          <w:rStyle w:val="10"/>
          <w:rFonts w:hint="default" w:eastAsia="楷体_GB2312"/>
          <w:bCs/>
          <w:sz w:val="32"/>
          <w:szCs w:val="32"/>
          <w:lang w:eastAsia="zh-CN"/>
        </w:rPr>
        <w:t>四</w:t>
      </w:r>
      <w:r>
        <w:rPr>
          <w:rStyle w:val="10"/>
          <w:rFonts w:hint="default" w:eastAsia="楷体_GB2312"/>
          <w:bCs/>
          <w:sz w:val="32"/>
          <w:szCs w:val="32"/>
        </w:rPr>
        <w:t>）</w:t>
      </w:r>
      <w:r>
        <w:rPr>
          <w:rStyle w:val="10"/>
          <w:rFonts w:hint="default" w:eastAsia="楷体_GB2312"/>
          <w:bCs/>
          <w:sz w:val="32"/>
          <w:szCs w:val="32"/>
          <w:lang w:eastAsia="zh-CN"/>
        </w:rPr>
        <w:t>归口管理的区本级项目支出</w:t>
      </w:r>
      <w:r>
        <w:rPr>
          <w:rStyle w:val="10"/>
          <w:rFonts w:hint="default" w:eastAsia="楷体_GB2312"/>
          <w:bCs/>
          <w:sz w:val="32"/>
          <w:szCs w:val="32"/>
        </w:rPr>
        <w:t>：</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年年初预算数</w:t>
      </w:r>
      <w:r>
        <w:rPr>
          <w:rFonts w:hint="eastAsia" w:ascii="仿宋_GB2312" w:hAnsi="仿宋_GB2312" w:eastAsia="仿宋_GB2312" w:cs="仿宋_GB2312"/>
          <w:color w:val="000000"/>
          <w:sz w:val="32"/>
          <w:szCs w:val="32"/>
          <w:lang w:val="en-US" w:eastAsia="zh-CN"/>
        </w:rPr>
        <w:t>137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是指</w:t>
      </w:r>
      <w:r>
        <w:rPr>
          <w:rFonts w:hint="eastAsia" w:ascii="仿宋_GB2312" w:hAnsi="仿宋_GB2312" w:eastAsia="仿宋_GB2312" w:cs="仿宋_GB2312"/>
          <w:color w:val="000000"/>
          <w:sz w:val="32"/>
          <w:szCs w:val="32"/>
        </w:rPr>
        <w:t>为完成特定行政工作任务或事业发展目标而发生的</w:t>
      </w:r>
      <w:r>
        <w:rPr>
          <w:rFonts w:hint="eastAsia" w:ascii="仿宋_GB2312" w:hAnsi="仿宋_GB2312" w:eastAsia="仿宋_GB2312" w:cs="仿宋_GB2312"/>
          <w:color w:val="000000"/>
          <w:sz w:val="32"/>
          <w:szCs w:val="32"/>
          <w:lang w:eastAsia="zh-CN"/>
        </w:rPr>
        <w:t>，由本部门归口管理、面向全区分配的项目支出，</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000000"/>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政务大厅管理及“互联网+政务服务”建设专项</w:t>
      </w:r>
      <w:r>
        <w:rPr>
          <w:rFonts w:hint="eastAsia" w:ascii="仿宋_GB2312" w:hAnsi="仿宋_GB2312" w:eastAsia="仿宋_GB2312" w:cs="仿宋_GB2312"/>
          <w:color w:val="000000"/>
          <w:sz w:val="32"/>
          <w:szCs w:val="32"/>
          <w:lang w:val="en-US" w:eastAsia="zh-CN"/>
        </w:rPr>
        <w:t>137</w:t>
      </w:r>
      <w:r>
        <w:rPr>
          <w:rFonts w:hint="eastAsia" w:ascii="仿宋_GB2312" w:hAnsi="仿宋_GB2312" w:eastAsia="仿宋_GB2312" w:cs="仿宋_GB2312"/>
          <w:color w:val="000000"/>
          <w:sz w:val="32"/>
          <w:szCs w:val="32"/>
          <w:lang w:eastAsia="zh-CN"/>
        </w:rPr>
        <w:t>万元。主要用于大厅日常管理(含人员管理）、迎检考核、设备维修维护、便民服务；四级联动建设相关设备的维修维护；“一件事一次办”工作的宣传推广、办事指南印发、专用设备维修维护、资料档案管理、自助终端机扩容开发等。</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黑体"/>
          <w:sz w:val="32"/>
          <w:szCs w:val="32"/>
        </w:rPr>
      </w:pPr>
      <w:r>
        <w:rPr>
          <w:rStyle w:val="10"/>
          <w:rFonts w:hint="eastAsia" w:hAnsi="黑体" w:eastAsia="黑体"/>
          <w:sz w:val="32"/>
          <w:szCs w:val="32"/>
          <w:lang w:eastAsia="zh-CN"/>
        </w:rPr>
        <w:t>四</w:t>
      </w:r>
      <w:r>
        <w:rPr>
          <w:rStyle w:val="10"/>
          <w:rFonts w:hAnsi="黑体" w:eastAsia="黑体"/>
          <w:sz w:val="32"/>
          <w:szCs w:val="32"/>
        </w:rPr>
        <w:t>、其他重要事项情况说明</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eastAsia="楷体_GB2312"/>
          <w:bCs/>
          <w:sz w:val="32"/>
          <w:szCs w:val="32"/>
        </w:rPr>
        <w:t>（一）机关运行经费：</w:t>
      </w:r>
      <w:r>
        <w:rPr>
          <w:rStyle w:val="10"/>
          <w:rFonts w:hint="eastAsia" w:ascii="仿宋_GB2312" w:hAnsi="仿宋_GB2312" w:eastAsia="仿宋_GB2312" w:cs="仿宋_GB2312"/>
          <w:sz w:val="32"/>
          <w:szCs w:val="32"/>
        </w:rPr>
        <w:t>本部门2021年年初预算机关运行经费(商品和服务支出+业务性专项)共安排16.86万元，比上年度预算减少4.8万元，</w:t>
      </w:r>
      <w:r>
        <w:rPr>
          <w:rStyle w:val="10"/>
          <w:rFonts w:hint="eastAsia" w:ascii="仿宋_GB2312" w:hAnsi="仿宋_GB2312" w:eastAsia="仿宋_GB2312" w:cs="仿宋_GB2312"/>
          <w:bCs/>
          <w:sz w:val="32"/>
          <w:szCs w:val="32"/>
        </w:rPr>
        <w:t>减少的主要原因是：厉行节约，压减经费。</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Fonts w:hint="eastAsia" w:ascii="仿宋" w:hAnsi="仿宋" w:eastAsia="仿宋" w:cs="仿宋"/>
          <w:color w:val="000000"/>
          <w:sz w:val="32"/>
          <w:szCs w:val="32"/>
        </w:rPr>
      </w:pPr>
      <w:r>
        <w:rPr>
          <w:rStyle w:val="10"/>
          <w:rFonts w:eastAsia="楷体_GB2312"/>
          <w:bCs/>
          <w:sz w:val="32"/>
          <w:szCs w:val="32"/>
        </w:rPr>
        <w:t>（二)政府采购预算</w:t>
      </w:r>
      <w:r>
        <w:rPr>
          <w:rStyle w:val="10"/>
          <w:rFonts w:hint="eastAsia" w:ascii="仿宋_GB2312" w:hAnsi="仿宋_GB2312" w:eastAsia="仿宋_GB2312" w:cs="仿宋_GB2312"/>
          <w:bCs/>
          <w:sz w:val="32"/>
          <w:szCs w:val="32"/>
        </w:rPr>
        <w:t>：</w:t>
      </w:r>
      <w:r>
        <w:rPr>
          <w:rStyle w:val="10"/>
          <w:rFonts w:hint="eastAsia" w:ascii="仿宋_GB2312" w:hAnsi="仿宋_GB2312" w:eastAsia="仿宋_GB2312" w:cs="仿宋_GB2312"/>
          <w:color w:val="auto"/>
          <w:sz w:val="32"/>
          <w:szCs w:val="32"/>
        </w:rPr>
        <w:t>2021年年初预算数为</w:t>
      </w:r>
      <w:r>
        <w:rPr>
          <w:rStyle w:val="10"/>
          <w:rFonts w:hint="eastAsia" w:ascii="仿宋_GB2312" w:hAnsi="仿宋_GB2312" w:eastAsia="仿宋_GB2312" w:cs="仿宋_GB2312"/>
          <w:color w:val="auto"/>
          <w:sz w:val="32"/>
          <w:szCs w:val="32"/>
          <w:lang w:val="en-US" w:eastAsia="zh-CN"/>
        </w:rPr>
        <w:t>201.88</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val="en-US" w:eastAsia="zh-CN"/>
        </w:rPr>
        <w:t>(不含区本级项目政府采购金额)</w:t>
      </w:r>
      <w:r>
        <w:rPr>
          <w:rStyle w:val="10"/>
          <w:rFonts w:hint="eastAsia" w:ascii="仿宋_GB2312" w:hAnsi="仿宋_GB2312" w:eastAsia="仿宋_GB2312" w:cs="仿宋_GB2312"/>
          <w:color w:val="auto"/>
          <w:sz w:val="32"/>
          <w:szCs w:val="32"/>
        </w:rPr>
        <w:t>。</w:t>
      </w:r>
      <w:r>
        <w:rPr>
          <w:rFonts w:hint="eastAsia" w:ascii="仿宋" w:hAnsi="仿宋" w:eastAsia="仿宋" w:cs="仿宋"/>
          <w:color w:val="000000"/>
          <w:sz w:val="32"/>
          <w:szCs w:val="32"/>
        </w:rPr>
        <w:t>其中：政府采购货物</w:t>
      </w:r>
      <w:r>
        <w:rPr>
          <w:rFonts w:hint="eastAsia" w:ascii="仿宋" w:hAnsi="仿宋" w:eastAsia="仿宋" w:cs="仿宋"/>
          <w:color w:val="000000"/>
          <w:sz w:val="32"/>
          <w:szCs w:val="32"/>
          <w:lang w:val="en-US" w:eastAsia="zh-CN"/>
        </w:rPr>
        <w:t>79.6</w:t>
      </w:r>
      <w:r>
        <w:rPr>
          <w:rFonts w:hint="eastAsia" w:ascii="仿宋" w:hAnsi="仿宋" w:eastAsia="仿宋" w:cs="仿宋"/>
          <w:color w:val="000000"/>
          <w:sz w:val="32"/>
          <w:szCs w:val="32"/>
        </w:rPr>
        <w:t>万元，政府采购工程0万元，政府采购服务</w:t>
      </w:r>
      <w:r>
        <w:rPr>
          <w:rFonts w:hint="eastAsia" w:ascii="仿宋" w:hAnsi="仿宋" w:eastAsia="仿宋" w:cs="仿宋"/>
          <w:color w:val="000000"/>
          <w:sz w:val="32"/>
          <w:szCs w:val="32"/>
          <w:lang w:val="en-US" w:eastAsia="zh-CN"/>
        </w:rPr>
        <w:t>122.28</w:t>
      </w:r>
      <w:r>
        <w:rPr>
          <w:rFonts w:hint="eastAsia" w:ascii="仿宋" w:hAnsi="仿宋" w:eastAsia="仿宋" w:cs="仿宋"/>
          <w:color w:val="000000"/>
          <w:sz w:val="32"/>
          <w:szCs w:val="32"/>
        </w:rPr>
        <w:t>万元。</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rPr>
      </w:pPr>
      <w:r>
        <w:rPr>
          <w:rStyle w:val="10"/>
          <w:rFonts w:eastAsia="楷体_GB2312"/>
          <w:bCs/>
          <w:sz w:val="32"/>
          <w:szCs w:val="32"/>
        </w:rPr>
        <w:t>（三）国有资产占有情况：</w:t>
      </w:r>
      <w:r>
        <w:rPr>
          <w:rStyle w:val="10"/>
          <w:rFonts w:hint="eastAsia" w:ascii="仿宋_GB2312" w:hAnsi="仿宋_GB2312" w:eastAsia="仿宋_GB2312" w:cs="仿宋_GB2312"/>
          <w:sz w:val="32"/>
          <w:szCs w:val="32"/>
        </w:rPr>
        <w:t>截止20</w:t>
      </w:r>
      <w:r>
        <w:rPr>
          <w:rStyle w:val="10"/>
          <w:rFonts w:hint="eastAsia" w:ascii="仿宋_GB2312" w:hAnsi="仿宋_GB2312" w:eastAsia="仿宋_GB2312" w:cs="仿宋_GB2312"/>
          <w:sz w:val="32"/>
          <w:szCs w:val="32"/>
          <w:lang w:val="en-US" w:eastAsia="zh-CN"/>
        </w:rPr>
        <w:t>20</w:t>
      </w:r>
      <w:r>
        <w:rPr>
          <w:rStyle w:val="10"/>
          <w:rFonts w:hint="eastAsia" w:ascii="仿宋_GB2312" w:hAnsi="仿宋_GB2312" w:eastAsia="仿宋_GB2312" w:cs="仿宋_GB2312"/>
          <w:sz w:val="32"/>
          <w:szCs w:val="32"/>
        </w:rPr>
        <w:t>年12月31日，本部门现共有办公及业务用房</w:t>
      </w:r>
      <w:r>
        <w:rPr>
          <w:rStyle w:val="10"/>
          <w:rFonts w:hint="eastAsia" w:ascii="仿宋_GB2312" w:hAnsi="仿宋_GB2312" w:eastAsia="仿宋_GB2312" w:cs="仿宋_GB2312"/>
          <w:sz w:val="32"/>
          <w:szCs w:val="32"/>
          <w:lang w:val="en-US" w:eastAsia="zh-CN"/>
        </w:rPr>
        <w:t>218.7</w:t>
      </w:r>
      <w:r>
        <w:rPr>
          <w:rStyle w:val="10"/>
          <w:rFonts w:hint="eastAsia" w:ascii="仿宋_GB2312" w:hAnsi="仿宋_GB2312" w:eastAsia="仿宋_GB2312" w:cs="仿宋_GB2312"/>
          <w:sz w:val="32"/>
          <w:szCs w:val="32"/>
        </w:rPr>
        <w:t>平方米；车辆 0 辆，其中一般公务用车0辆，一般执法执勤用车0辆、货币化用车0 辆；单位价值200万以上大型设备0套。2020年部门预算安排购置车辆0辆，预算安排购置价值200万以上大型设备0 套。</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b/>
          <w:bCs/>
          <w:sz w:val="32"/>
          <w:szCs w:val="32"/>
        </w:rPr>
      </w:pPr>
      <w:r>
        <w:rPr>
          <w:rStyle w:val="10"/>
          <w:rFonts w:eastAsia="楷体_GB2312"/>
          <w:bCs/>
          <w:sz w:val="32"/>
          <w:szCs w:val="32"/>
        </w:rPr>
        <w:t>（四）预算绩效目标：</w:t>
      </w:r>
      <w:r>
        <w:rPr>
          <w:rStyle w:val="10"/>
          <w:rFonts w:hint="eastAsia" w:ascii="仿宋_GB2312" w:hAnsi="仿宋_GB2312" w:eastAsia="仿宋_GB2312" w:cs="仿宋_GB2312"/>
          <w:sz w:val="32"/>
          <w:szCs w:val="32"/>
        </w:rPr>
        <w:t>本部门整体支出和项目支出实行绩效目标管理，纳入2021年部门整体支出绩效目标的金额为440.32万元，其中，基本支出206.79万元，项目支出233.53万元，区级专项资金政务大厅管理及“互联网+政务服务”建设137万元。</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楷体_GB2312"/>
          <w:bCs/>
          <w:sz w:val="32"/>
          <w:szCs w:val="32"/>
        </w:rPr>
      </w:pPr>
      <w:r>
        <w:rPr>
          <w:rStyle w:val="10"/>
          <w:rFonts w:eastAsia="楷体_GB2312"/>
          <w:bCs/>
          <w:sz w:val="32"/>
          <w:szCs w:val="32"/>
        </w:rPr>
        <w:t>（五）“三公”经费预算：</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default" w:eastAsia="仿宋_GB2312"/>
          <w:sz w:val="32"/>
          <w:szCs w:val="32"/>
          <w:lang w:val="en-US" w:eastAsia="zh-CN"/>
        </w:rPr>
      </w:pPr>
      <w:r>
        <w:rPr>
          <w:rStyle w:val="10"/>
          <w:rFonts w:hint="eastAsia" w:ascii="仿宋_GB2312" w:hAnsi="仿宋_GB2312" w:eastAsia="仿宋_GB2312" w:cs="仿宋_GB2312"/>
          <w:sz w:val="32"/>
          <w:szCs w:val="32"/>
        </w:rPr>
        <w:t>本单位无公共财政拨款三公经费预算，所有“三公”经费均为自有资金安排。</w:t>
      </w:r>
      <w:r>
        <w:rPr>
          <w:rStyle w:val="10"/>
          <w:rFonts w:hint="eastAsia" w:ascii="仿宋_GB2312" w:hAnsi="仿宋_GB2312" w:eastAsia="仿宋_GB2312" w:cs="仿宋_GB2312"/>
          <w:sz w:val="32"/>
          <w:szCs w:val="32"/>
          <w:lang w:eastAsia="zh-CN"/>
        </w:rPr>
        <w:t>与</w:t>
      </w:r>
      <w:r>
        <w:rPr>
          <w:rStyle w:val="10"/>
          <w:rFonts w:hint="eastAsia" w:ascii="仿宋_GB2312" w:hAnsi="仿宋_GB2312" w:eastAsia="仿宋_GB2312" w:cs="仿宋_GB2312"/>
          <w:sz w:val="32"/>
          <w:szCs w:val="32"/>
          <w:lang w:val="en-US" w:eastAsia="zh-CN"/>
        </w:rPr>
        <w:t>2020年相比持平</w:t>
      </w:r>
      <w:r>
        <w:rPr>
          <w:rStyle w:val="10"/>
          <w:rFonts w:hint="eastAsia" w:ascii="仿宋_GB2312" w:hAnsi="仿宋_GB2312" w:eastAsia="仿宋_GB2312" w:cs="仿宋_GB2312"/>
          <w:bCs/>
          <w:sz w:val="32"/>
          <w:szCs w:val="32"/>
        </w:rPr>
        <w:t>。</w:t>
      </w:r>
      <w:bookmarkStart w:id="0" w:name="_GoBack"/>
      <w:bookmarkEnd w:id="0"/>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楷体_GB2312"/>
          <w:bCs/>
          <w:sz w:val="32"/>
          <w:szCs w:val="32"/>
        </w:rPr>
      </w:pPr>
      <w:r>
        <w:rPr>
          <w:rStyle w:val="10"/>
          <w:rFonts w:eastAsia="楷体_GB2312"/>
          <w:bCs/>
          <w:sz w:val="32"/>
          <w:szCs w:val="32"/>
        </w:rPr>
        <w:t>（六）会议费、培训费预算：</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2021年预算安排会议费0万元</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2021年预算安排培训费0万元</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eastAsia="楷体_GB2312"/>
          <w:bCs/>
          <w:sz w:val="32"/>
          <w:szCs w:val="32"/>
        </w:rPr>
      </w:pPr>
      <w:r>
        <w:rPr>
          <w:rStyle w:val="10"/>
          <w:rFonts w:eastAsia="楷体_GB2312"/>
          <w:bCs/>
          <w:sz w:val="32"/>
          <w:szCs w:val="32"/>
        </w:rPr>
        <w:t>（七）其他事项。</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本单位2021年预算未安排政府性基金收支预算</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本单位2021年预算未安排对个人和家庭的补助收支预算</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本单位2021年预算未安排纳入专户管理的非税收入拨款收支预算</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snapToGrid w:val="0"/>
        <w:spacing w:line="560" w:lineRule="exact"/>
        <w:ind w:firstLine="640" w:firstLineChars="200"/>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本单位2021年预算未安排三公经费拨款收支预算</w:t>
      </w:r>
      <w:r>
        <w:rPr>
          <w:rStyle w:val="10"/>
          <w:rFonts w:hint="eastAsia" w:ascii="仿宋_GB2312" w:hAnsi="仿宋_GB2312" w:eastAsia="仿宋_GB2312" w:cs="仿宋_GB2312"/>
          <w:sz w:val="32"/>
          <w:szCs w:val="32"/>
          <w:lang w:eastAsia="zh-CN"/>
        </w:rPr>
        <w:t>。</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b/>
          <w:bCs/>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名词解释：</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1.一般公共预算:</w:t>
      </w:r>
      <w:r>
        <w:rPr>
          <w:rFonts w:hint="default" w:ascii="Times New Roman" w:hAnsi="Times New Roman" w:eastAsia="仿宋_GB2312" w:cs="Times New Roman"/>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2.政府性基金预算:</w:t>
      </w:r>
      <w:r>
        <w:rPr>
          <w:rFonts w:hint="default" w:ascii="Times New Roman" w:hAnsi="Times New Roman" w:eastAsia="仿宋_GB2312" w:cs="Times New Roman"/>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3.国有资本经营预算: </w:t>
      </w:r>
      <w:r>
        <w:rPr>
          <w:rFonts w:hint="default" w:ascii="Times New Roman" w:hAnsi="Times New Roman" w:eastAsia="仿宋_GB2312" w:cs="Times New Roman"/>
          <w:sz w:val="32"/>
          <w:szCs w:val="32"/>
        </w:rPr>
        <w:t>是对国有资本收益作出支出安排的收支预算。应当按照收支平衡的原则编制，不列赤字，并安排资金调入一般公共预算。</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4.社会保险基金预算:</w:t>
      </w:r>
      <w:r>
        <w:rPr>
          <w:rFonts w:hint="default" w:ascii="Times New Roman" w:hAnsi="Times New Roman" w:eastAsia="仿宋_GB2312" w:cs="Times New Roman"/>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5.基本支出：</w:t>
      </w:r>
      <w:r>
        <w:rPr>
          <w:rFonts w:hint="default" w:ascii="Times New Roman" w:hAnsi="Times New Roman" w:eastAsia="仿宋_GB2312" w:cs="Times New Roman"/>
          <w:sz w:val="32"/>
          <w:szCs w:val="32"/>
        </w:rPr>
        <w:t>指为保障机构正常运转、完成日常工作任务而发生的人员支出和公用支出。</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6.项目支出：</w:t>
      </w:r>
      <w:r>
        <w:rPr>
          <w:rFonts w:hint="default" w:ascii="Times New Roman" w:hAnsi="Times New Roman" w:eastAsia="仿宋_GB2312" w:cs="Times New Roman"/>
          <w:sz w:val="32"/>
          <w:szCs w:val="32"/>
        </w:rPr>
        <w:t>指在基本支出之外为完成特定行政任务和事业发展目标所发生的支出。</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7.“三公”经费：</w:t>
      </w:r>
      <w:r>
        <w:rPr>
          <w:rFonts w:hint="default" w:ascii="Times New Roman" w:hAnsi="Times New Roman" w:eastAsia="仿宋_GB2312" w:cs="Times New Roman"/>
          <w:sz w:val="32"/>
          <w:szCs w:val="32"/>
        </w:rPr>
        <w:t>是指商品和服务支出中的因公出国（境）费用、公务用车购置及运行维护费和公务接待费。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sz w:val="28"/>
          <w:szCs w:val="28"/>
        </w:rPr>
      </w:pPr>
    </w:p>
    <w:p>
      <w:pPr>
        <w:rPr>
          <w:rFonts w:hint="default" w:ascii="Times New Roman" w:hAnsi="Times New Roman" w:cs="Times New Roman"/>
        </w:rPr>
      </w:pPr>
    </w:p>
    <w:p>
      <w:pPr>
        <w:pStyle w:val="17"/>
        <w:snapToGrid w:val="0"/>
        <w:spacing w:line="560" w:lineRule="exact"/>
        <w:rPr>
          <w:rStyle w:val="10"/>
          <w:rFonts w:ascii="Times New Roman" w:hAnsi="Times New Roman" w:eastAsia="仿宋_GB2312"/>
          <w:sz w:val="32"/>
          <w:szCs w:val="32"/>
        </w:rPr>
      </w:pPr>
    </w:p>
    <w:sectPr>
      <w:footerReference r:id="rId3" w:type="default"/>
      <w:footerReference r:id="rId4" w:type="even"/>
      <w:pgSz w:w="11906" w:h="16838"/>
      <w:pgMar w:top="1985" w:right="1531" w:bottom="2098"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Style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1"/>
      <w:rPr>
        <w:rStyle w:val="13"/>
      </w:rPr>
    </w:pPr>
  </w:p>
  <w:p>
    <w:pPr>
      <w:pStyle w:val="4"/>
      <w:ind w:right="360" w:firstLine="360"/>
      <w:rPr>
        <w:rStyle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WZhMTYyM2E1ZmUyNThiMTM4YmY1MTQ2OWE0NzU5NzgifQ=="/>
  </w:docVars>
  <w:rsids>
    <w:rsidRoot w:val="003E2232"/>
    <w:rsid w:val="00061C46"/>
    <w:rsid w:val="000C2DED"/>
    <w:rsid w:val="000D37C6"/>
    <w:rsid w:val="000E1D6E"/>
    <w:rsid w:val="000F06CA"/>
    <w:rsid w:val="00144F0B"/>
    <w:rsid w:val="00223FD5"/>
    <w:rsid w:val="002314A0"/>
    <w:rsid w:val="002622C3"/>
    <w:rsid w:val="00304F3C"/>
    <w:rsid w:val="00306FBE"/>
    <w:rsid w:val="00324562"/>
    <w:rsid w:val="003607F3"/>
    <w:rsid w:val="00385CCC"/>
    <w:rsid w:val="003D61C2"/>
    <w:rsid w:val="003E04D7"/>
    <w:rsid w:val="003E2232"/>
    <w:rsid w:val="0045285F"/>
    <w:rsid w:val="0051200C"/>
    <w:rsid w:val="00633C1B"/>
    <w:rsid w:val="006C46F4"/>
    <w:rsid w:val="006F1992"/>
    <w:rsid w:val="00743F34"/>
    <w:rsid w:val="00754B17"/>
    <w:rsid w:val="00823D03"/>
    <w:rsid w:val="00826A5B"/>
    <w:rsid w:val="00943514"/>
    <w:rsid w:val="00981B9F"/>
    <w:rsid w:val="009961DB"/>
    <w:rsid w:val="009A3487"/>
    <w:rsid w:val="009C2343"/>
    <w:rsid w:val="009C4CB5"/>
    <w:rsid w:val="00A351F4"/>
    <w:rsid w:val="00A90ACC"/>
    <w:rsid w:val="00A97136"/>
    <w:rsid w:val="00AA3B50"/>
    <w:rsid w:val="00B96B79"/>
    <w:rsid w:val="00BE5C06"/>
    <w:rsid w:val="00CA0CB4"/>
    <w:rsid w:val="00D60183"/>
    <w:rsid w:val="00DD623B"/>
    <w:rsid w:val="00E5206F"/>
    <w:rsid w:val="00EA2B93"/>
    <w:rsid w:val="00F4731C"/>
    <w:rsid w:val="00F65A7A"/>
    <w:rsid w:val="08862F67"/>
    <w:rsid w:val="3362126B"/>
    <w:rsid w:val="3C204D92"/>
    <w:rsid w:val="4C0376BA"/>
    <w:rsid w:val="4FE63FC9"/>
    <w:rsid w:val="5C322D75"/>
    <w:rsid w:val="6F115921"/>
    <w:rsid w:val="71E3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NormalCharacter"/>
    <w:qFormat/>
    <w:uiPriority w:val="0"/>
  </w:style>
  <w:style w:type="table" w:customStyle="1" w:styleId="11">
    <w:name w:val="TableNormal"/>
    <w:semiHidden/>
    <w:qFormat/>
    <w:uiPriority w:val="0"/>
    <w:tblPr>
      <w:tblCellMar>
        <w:top w:w="0" w:type="dxa"/>
        <w:left w:w="0" w:type="dxa"/>
        <w:bottom w:w="0" w:type="dxa"/>
        <w:right w:w="0" w:type="dxa"/>
      </w:tblCellMar>
    </w:tblPr>
  </w:style>
  <w:style w:type="character" w:customStyle="1" w:styleId="12">
    <w:name w:val="日期 字符"/>
    <w:link w:val="2"/>
    <w:qFormat/>
    <w:uiPriority w:val="0"/>
    <w:rPr>
      <w:rFonts w:eastAsia="宋体"/>
      <w:kern w:val="2"/>
      <w:sz w:val="21"/>
      <w:szCs w:val="24"/>
    </w:rPr>
  </w:style>
  <w:style w:type="character" w:customStyle="1" w:styleId="13">
    <w:name w:val="PageNumber"/>
    <w:basedOn w:val="10"/>
    <w:qFormat/>
    <w:uiPriority w:val="0"/>
  </w:style>
  <w:style w:type="paragraph" w:customStyle="1" w:styleId="14">
    <w:name w:val="HtmlNormal"/>
    <w:basedOn w:val="1"/>
    <w:qFormat/>
    <w:uiPriority w:val="0"/>
    <w:pPr>
      <w:spacing w:before="100" w:beforeAutospacing="1" w:after="100" w:afterAutospacing="1"/>
      <w:jc w:val="left"/>
    </w:pPr>
    <w:rPr>
      <w:rFonts w:ascii="宋体"/>
      <w:color w:val="000000"/>
      <w:kern w:val="0"/>
      <w:sz w:val="24"/>
    </w:rPr>
  </w:style>
  <w:style w:type="paragraph" w:customStyle="1" w:styleId="15">
    <w:name w:val="BodyText"/>
    <w:basedOn w:val="1"/>
    <w:qFormat/>
    <w:uiPriority w:val="0"/>
    <w:pPr>
      <w:spacing w:line="400" w:lineRule="atLeast"/>
    </w:pPr>
    <w:rPr>
      <w:rFonts w:ascii="楷体_GB2312" w:eastAsia="楷体_GB2312"/>
      <w:sz w:val="32"/>
    </w:rPr>
  </w:style>
  <w:style w:type="paragraph" w:customStyle="1" w:styleId="16">
    <w:name w:val="Acetate"/>
    <w:basedOn w:val="1"/>
    <w:qFormat/>
    <w:uiPriority w:val="0"/>
    <w:rPr>
      <w:sz w:val="18"/>
      <w:szCs w:val="18"/>
    </w:rPr>
  </w:style>
  <w:style w:type="paragraph" w:customStyle="1" w:styleId="17">
    <w:name w:val="PlainText"/>
    <w:basedOn w:val="1"/>
    <w:qFormat/>
    <w:uiPriority w:val="0"/>
    <w:rPr>
      <w:rFonts w:ascii="宋体" w:hAnsi="Courier New"/>
    </w:rPr>
  </w:style>
  <w:style w:type="paragraph" w:customStyle="1" w:styleId="18">
    <w:name w:val="BodyTextIndent"/>
    <w:basedOn w:val="1"/>
    <w:qFormat/>
    <w:uiPriority w:val="0"/>
    <w:pPr>
      <w:spacing w:line="360" w:lineRule="auto"/>
      <w:ind w:firstLine="200" w:firstLineChars="200"/>
    </w:pPr>
    <w:rPr>
      <w:rFonts w:ascii="方正仿宋_GBK" w:eastAsia="方正仿宋_GBK"/>
      <w:sz w:val="30"/>
    </w:rPr>
  </w:style>
  <w:style w:type="character" w:customStyle="1" w:styleId="19">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3320</Words>
  <Characters>3529</Characters>
  <Lines>22</Lines>
  <Paragraphs>6</Paragraphs>
  <TotalTime>1</TotalTime>
  <ScaleCrop>false</ScaleCrop>
  <LinksUpToDate>false</LinksUpToDate>
  <CharactersWithSpaces>3557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2021-05-07T05:57:00Z</dcterms:created>
  <dc:creator>Administrator</dc:creator>
  <cp:lastModifiedBy>绮梦1369367186</cp:lastModifiedBy>
  <cp:lastPrinted>2021-05-13T09:53:00Z</cp:lastPrinted>
  <dcterms:modified xsi:type="dcterms:W3CDTF">2022-09-06T09:33:14Z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951D189859794D2690E1DB27C8D005B9</vt:lpwstr>
  </property>
</Properties>
</file>