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lvetica" w:hAnsi="Helvetica" w:eastAsia="宋体" w:cs="Helvetica"/>
          <w:b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2</w:t>
      </w:r>
      <w:r>
        <w:rPr>
          <w:rFonts w:ascii="Helvetica" w:hAnsi="Helvetica" w:eastAsia="Helvetica" w:cs="Helvetica"/>
          <w:b/>
          <w:i w:val="0"/>
          <w:caps w:val="0"/>
          <w:color w:val="333333"/>
          <w:spacing w:val="0"/>
          <w:sz w:val="33"/>
          <w:szCs w:val="33"/>
          <w:shd w:val="clear" w:fill="FFFFFF"/>
        </w:rPr>
        <w:t>021年重大政策和重点项目绩效目标</w:t>
      </w:r>
      <w:r>
        <w:rPr>
          <w:rFonts w:hint="eastAsia" w:ascii="Helvetica" w:hAnsi="Helvetica" w:eastAsia="宋体" w:cs="Helvetica"/>
          <w:b/>
          <w:i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说明</w:t>
      </w:r>
    </w:p>
    <w:p>
      <w:pPr>
        <w:ind w:firstLine="630" w:firstLineChars="200"/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为贯彻落实中央关于全面实施预算绩效管理的决策部署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，加强政府专项债券项目资金管理，按照湖南省人民政府《关于全面推进预算绩效管理的意见》（湘政发〔2012〕33号）精神，株洲市荷塘区财政局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  <w:t>将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从2021年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月至12月对全区预算单位开展部门整体支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出绩效评价自评工作以及第三方评价工作。</w:t>
      </w:r>
    </w:p>
    <w:p>
      <w:pPr>
        <w:ind w:firstLine="630" w:firstLineChars="200"/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  <w:t>70家预算单位的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部门整体支出绩效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  <w:t>目标及重点项目绩效目标均在各单位的预算公开中单独列明。</w:t>
      </w:r>
    </w:p>
    <w:p>
      <w:pPr>
        <w:ind w:firstLine="63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val="en-US" w:eastAsia="zh-CN"/>
        </w:rPr>
        <w:t>我区在期间将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</w:rPr>
        <w:t>按每个评价组至少评价一个部门（单位）的原则，邀请独立的第三方机构对其做绩效评价</w:t>
      </w:r>
      <w:r>
        <w:rPr>
          <w:rFonts w:hint="eastAsia" w:ascii="仿宋_GB2312" w:hAnsi="宋体" w:eastAsia="仿宋_GB2312" w:cs="仿宋_GB2312"/>
          <w:i w:val="0"/>
          <w:caps w:val="0"/>
          <w:color w:val="4C4C4C"/>
          <w:spacing w:val="0"/>
          <w:sz w:val="31"/>
          <w:szCs w:val="31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2F0F"/>
    <w:rsid w:val="1E9B4CF5"/>
    <w:rsid w:val="594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2022-09-07T04:25:00Z</dcterms:created>
  <dc:creator>W。</dc:creator>
  <cp:lastModifiedBy>W。</cp:lastModifiedBy>
  <dcterms:modified xsi:type="dcterms:W3CDTF">2022-09-07T04:29:30Z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