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5" w:beforeAutospacing="0" w:after="75" w:afterAutospacing="0" w:line="555" w:lineRule="atLeast"/>
        <w:jc w:val="center"/>
        <w:rPr>
          <w:rFonts w:ascii="Helvetica" w:hAnsi="Helvetica" w:cs="Helvetica"/>
          <w:color w:val="000000"/>
          <w:sz w:val="21"/>
          <w:szCs w:val="21"/>
        </w:rPr>
      </w:pPr>
      <w:r>
        <w:rPr>
          <w:rFonts w:hint="eastAsia" w:ascii="方正小标宋简体" w:hAnsi="Helvetica" w:eastAsia="方正小标宋简体" w:cs="Helvetica"/>
          <w:color w:val="000000"/>
          <w:sz w:val="44"/>
          <w:szCs w:val="44"/>
        </w:rPr>
        <w:t>株洲市生态环境局炎陵分局</w:t>
      </w:r>
    </w:p>
    <w:p>
      <w:pPr>
        <w:pStyle w:val="2"/>
        <w:spacing w:before="75" w:beforeAutospacing="0" w:after="75" w:afterAutospacing="0" w:line="555" w:lineRule="atLeast"/>
        <w:jc w:val="center"/>
        <w:rPr>
          <w:rFonts w:ascii="Helvetica" w:hAnsi="Helvetica" w:cs="Helvetica"/>
          <w:color w:val="000000"/>
          <w:sz w:val="21"/>
          <w:szCs w:val="21"/>
        </w:rPr>
      </w:pPr>
      <w:r>
        <w:rPr>
          <w:rFonts w:hint="eastAsia" w:ascii="方正小标宋简体" w:hAnsi="Helvetica" w:eastAsia="方正小标宋简体" w:cs="Helvetica"/>
          <w:color w:val="000000"/>
          <w:sz w:val="44"/>
          <w:szCs w:val="44"/>
        </w:rPr>
        <w:t>2021年部门预算和“三公”经费预算说明</w:t>
      </w:r>
    </w:p>
    <w:p>
      <w:pPr>
        <w:pStyle w:val="2"/>
        <w:spacing w:before="75" w:beforeAutospacing="0" w:after="75" w:afterAutospacing="0" w:line="555" w:lineRule="atLeast"/>
        <w:rPr>
          <w:rFonts w:ascii="Helvetica" w:hAnsi="Helvetica" w:cs="Helvetica"/>
          <w:color w:val="000000"/>
          <w:sz w:val="21"/>
          <w:szCs w:val="21"/>
        </w:rPr>
      </w:pPr>
      <w:r>
        <w:rPr>
          <w:rFonts w:hint="eastAsia" w:ascii="仿宋_GB2312" w:hAnsi="Helvetica" w:eastAsia="仿宋_GB2312" w:cs="Helvetica"/>
          <w:color w:val="000000"/>
          <w:sz w:val="32"/>
          <w:szCs w:val="32"/>
        </w:rPr>
        <w:t> </w:t>
      </w:r>
    </w:p>
    <w:p>
      <w:pPr>
        <w:pStyle w:val="2"/>
        <w:spacing w:before="75" w:beforeAutospacing="0" w:after="75" w:afterAutospacing="0" w:line="555" w:lineRule="atLeast"/>
        <w:ind w:firstLine="645"/>
        <w:jc w:val="center"/>
        <w:rPr>
          <w:rFonts w:ascii="Helvetica" w:hAnsi="Helvetica" w:cs="Helvetica"/>
          <w:color w:val="000000"/>
          <w:sz w:val="21"/>
          <w:szCs w:val="21"/>
        </w:rPr>
      </w:pPr>
      <w:r>
        <w:rPr>
          <w:rFonts w:hint="eastAsia" w:ascii="黑体" w:hAnsi="黑体" w:eastAsia="黑体" w:cs="Helvetica"/>
          <w:color w:val="000000"/>
          <w:sz w:val="32"/>
          <w:szCs w:val="32"/>
        </w:rPr>
        <w:t>部门预算公开信息目录</w:t>
      </w:r>
    </w:p>
    <w:p>
      <w:pPr>
        <w:pStyle w:val="2"/>
        <w:spacing w:before="75" w:beforeAutospacing="0" w:after="75" w:afterAutospacing="0" w:line="555"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  </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一、部门职能职责</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二、机构设置</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三、部门收支概况</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（一）收入预算</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（二）支出预算</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（三）预算收支增减变化情况说明</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四、其他重要事项情况说明</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（一）机关运行经费</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（二）政府采购预算</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（三）国有资产占有情况</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（四）重点项目预算的绩效目标等情况</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（五）一般公共预算“三公”经费情况</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（六）会议费、培训费</w:t>
      </w:r>
    </w:p>
    <w:p>
      <w:pPr>
        <w:tabs>
          <w:tab w:val="left" w:pos="7560"/>
        </w:tabs>
        <w:adjustRightInd w:val="0"/>
        <w:snapToGrid w:val="0"/>
        <w:spacing w:line="540" w:lineRule="exact"/>
        <w:ind w:firstLine="640" w:firstLineChars="200"/>
        <w:jc w:val="left"/>
        <w:rPr>
          <w:rFonts w:hint="eastAsia" w:ascii="仿宋_GB2312" w:hAnsi="Helvetica" w:eastAsia="仿宋_GB2312" w:cs="Helvetica"/>
          <w:color w:val="000000"/>
          <w:kern w:val="0"/>
          <w:sz w:val="32"/>
          <w:szCs w:val="32"/>
          <w:lang w:val="en-US" w:eastAsia="zh-CN" w:bidi="ar-SA"/>
        </w:rPr>
      </w:pPr>
      <w:r>
        <w:rPr>
          <w:rFonts w:hint="eastAsia" w:ascii="仿宋_GB2312" w:hAnsi="Helvetica" w:eastAsia="仿宋_GB2312" w:cs="Helvetica"/>
          <w:color w:val="000000"/>
          <w:kern w:val="0"/>
          <w:sz w:val="32"/>
          <w:szCs w:val="32"/>
          <w:lang w:val="en-US" w:eastAsia="zh-CN" w:bidi="ar-SA"/>
        </w:rPr>
        <w:t>（七）其他事项</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五、名词解释</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六、部门预算公开表格目录</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七、公开表格附件</w:t>
      </w:r>
    </w:p>
    <w:p>
      <w:pPr>
        <w:pStyle w:val="2"/>
        <w:spacing w:before="75" w:beforeAutospacing="0" w:after="75" w:afterAutospacing="0"/>
        <w:rPr>
          <w:rFonts w:ascii="Helvetica" w:hAnsi="Helvetica" w:cs="Helvetica"/>
          <w:color w:val="000000"/>
          <w:sz w:val="21"/>
          <w:szCs w:val="21"/>
        </w:rPr>
      </w:pPr>
      <w:r>
        <w:rPr>
          <w:rFonts w:hint="eastAsia" w:ascii="仿宋_GB2312" w:hAnsi="Helvetica" w:eastAsia="仿宋_GB2312" w:cs="Helvetica"/>
          <w:color w:val="000000"/>
          <w:sz w:val="32"/>
          <w:szCs w:val="32"/>
        </w:rPr>
        <w:br w:type="textWrapping" w:clear="all"/>
      </w:r>
    </w:p>
    <w:p>
      <w:pPr>
        <w:pStyle w:val="2"/>
        <w:spacing w:before="75" w:beforeAutospacing="0" w:after="75" w:afterAutospacing="0" w:line="540" w:lineRule="atLeast"/>
        <w:rPr>
          <w:rFonts w:ascii="Helvetica" w:hAnsi="Helvetica" w:cs="Helvetica"/>
          <w:color w:val="000000"/>
          <w:sz w:val="21"/>
          <w:szCs w:val="21"/>
        </w:rPr>
      </w:pPr>
      <w:r>
        <w:rPr>
          <w:rFonts w:hint="eastAsia" w:ascii="仿宋_GB2312" w:hAnsi="Helvetica" w:eastAsia="仿宋_GB2312" w:cs="Helvetica"/>
          <w:color w:val="000000"/>
          <w:sz w:val="32"/>
          <w:szCs w:val="32"/>
        </w:rPr>
        <w:t> </w:t>
      </w:r>
    </w:p>
    <w:p>
      <w:pPr>
        <w:pStyle w:val="2"/>
        <w:spacing w:before="75" w:beforeAutospacing="0" w:after="75" w:afterAutospacing="0" w:line="540" w:lineRule="atLeast"/>
        <w:ind w:firstLine="645"/>
        <w:rPr>
          <w:rFonts w:ascii="Helvetica" w:hAnsi="Helvetica" w:cs="Helvetica"/>
          <w:color w:val="000000"/>
          <w:sz w:val="21"/>
          <w:szCs w:val="21"/>
        </w:rPr>
      </w:pPr>
      <w:r>
        <w:rPr>
          <w:rStyle w:val="5"/>
          <w:rFonts w:hint="eastAsia" w:ascii="黑体" w:hAnsi="黑体" w:eastAsia="黑体" w:cs="Helvetica"/>
          <w:color w:val="000000"/>
          <w:sz w:val="32"/>
          <w:szCs w:val="32"/>
        </w:rPr>
        <w:t>一、 部门职能职责</w:t>
      </w:r>
    </w:p>
    <w:p>
      <w:pPr>
        <w:pStyle w:val="2"/>
        <w:spacing w:before="75" w:beforeAutospacing="0" w:after="75" w:afterAutospacing="0" w:line="555"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株洲市生态环境局炎陵分局的部门职责主要是：贯彻执行国家、省、市生态环境保护方针政策、法律和法规；贯彻执行国家生态环境基本制度；承担株洲市生态环境局授权范围内的生态环境问题的协调处理和监督管理、减排目标的落实、生态环境保护资金申报和配合做好项目的实施及监管、生态保护修复的指导协调和监督、核与辐射安全的监督管理、生态环境准入的监督管理、生态环境监测和信息的发布、应对气候变化、生态环境执法、配合中央、省级生态环境保护督察、指导和协调生态环境宣传教育等工作；完成株洲市生态环境局和县委、县政府交办的其他工作。</w:t>
      </w:r>
    </w:p>
    <w:p>
      <w:pPr>
        <w:pStyle w:val="2"/>
        <w:spacing w:before="75" w:beforeAutospacing="0" w:after="75" w:afterAutospacing="0" w:line="540" w:lineRule="atLeast"/>
        <w:ind w:firstLine="645"/>
        <w:rPr>
          <w:rFonts w:ascii="Helvetica" w:hAnsi="Helvetica" w:cs="Helvetica"/>
          <w:color w:val="000000"/>
          <w:sz w:val="21"/>
          <w:szCs w:val="21"/>
        </w:rPr>
      </w:pPr>
      <w:r>
        <w:rPr>
          <w:rStyle w:val="5"/>
          <w:rFonts w:hint="eastAsia" w:ascii="黑体" w:hAnsi="黑体" w:eastAsia="黑体" w:cs="Helvetica"/>
          <w:color w:val="000000"/>
          <w:sz w:val="32"/>
          <w:szCs w:val="32"/>
        </w:rPr>
        <w:t>二、机构设置</w:t>
      </w:r>
    </w:p>
    <w:p>
      <w:pPr>
        <w:pStyle w:val="2"/>
        <w:spacing w:before="75" w:beforeAutospacing="0" w:after="75" w:afterAutospacing="0" w:line="540" w:lineRule="atLeast"/>
        <w:ind w:firstLine="645"/>
        <w:rPr>
          <w:rFonts w:ascii="Helvetica" w:hAnsi="Helvetica" w:cs="Helvetica"/>
          <w:color w:val="000000"/>
          <w:sz w:val="21"/>
          <w:szCs w:val="21"/>
        </w:rPr>
      </w:pPr>
      <w:r>
        <w:rPr>
          <w:rFonts w:ascii="Calibri" w:hAnsi="Calibri" w:eastAsia="仿宋_GB2312" w:cs="Helvetica"/>
          <w:color w:val="000000"/>
          <w:sz w:val="32"/>
          <w:szCs w:val="32"/>
        </w:rPr>
        <w:t> </w:t>
      </w:r>
      <w:r>
        <w:rPr>
          <w:rFonts w:hint="eastAsia" w:ascii="仿宋_GB2312" w:hAnsi="Helvetica" w:eastAsia="仿宋_GB2312" w:cs="Helvetica"/>
          <w:color w:val="000000"/>
          <w:sz w:val="32"/>
          <w:szCs w:val="32"/>
        </w:rPr>
        <w:t>本部门共有编制人数38人，实有人数27人。内设科室7个（含下属副科级事业单位2个），分别为：办公室、综合协调股、水与大气生态环境股、土壤与固废股、环境影响评价股（行政审批股）、炎陵县生态环境保护综合行政执法大队、炎陵生态环境监测站。</w:t>
      </w:r>
    </w:p>
    <w:p>
      <w:pPr>
        <w:pStyle w:val="2"/>
        <w:spacing w:before="75" w:beforeAutospacing="0" w:after="75" w:afterAutospacing="0" w:line="555" w:lineRule="atLeast"/>
        <w:ind w:firstLine="645"/>
        <w:rPr>
          <w:rFonts w:ascii="Helvetica" w:hAnsi="Helvetica" w:cs="Helvetica"/>
          <w:color w:val="000000"/>
          <w:sz w:val="21"/>
          <w:szCs w:val="21"/>
        </w:rPr>
      </w:pPr>
      <w:r>
        <w:rPr>
          <w:rStyle w:val="5"/>
          <w:rFonts w:hint="eastAsia" w:ascii="黑体" w:hAnsi="黑体" w:eastAsia="黑体" w:cs="Helvetica"/>
          <w:color w:val="000000"/>
          <w:sz w:val="32"/>
          <w:szCs w:val="32"/>
        </w:rPr>
        <w:t>三、部门收支概况</w:t>
      </w:r>
    </w:p>
    <w:p>
      <w:pPr>
        <w:pStyle w:val="2"/>
        <w:spacing w:before="75" w:beforeAutospacing="0" w:after="75" w:afterAutospacing="0" w:line="555"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2021年部门预算编报范围只包括株洲市生态环境局炎陵分局机关，无二级预算单位。收入包括一般公共预算收入、政府性基金收入、事业单位经营服务等收入；支出包括基本支出和项目支出。</w:t>
      </w:r>
    </w:p>
    <w:p>
      <w:pPr>
        <w:pStyle w:val="2"/>
        <w:spacing w:before="75" w:beforeAutospacing="0" w:after="75" w:afterAutospacing="0" w:line="555"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本部门无下属预算单位</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（一）收入预算：</w:t>
      </w:r>
      <w:r>
        <w:rPr>
          <w:rFonts w:hint="eastAsia" w:ascii="仿宋_GB2312" w:hAnsi="Helvetica" w:eastAsia="仿宋_GB2312" w:cs="Helvetica"/>
          <w:color w:val="000000"/>
          <w:sz w:val="32"/>
          <w:szCs w:val="32"/>
        </w:rPr>
        <w:t>2021年年初预算数4505647元，其中，一般公共预算拨4505647元；政府性基金拨款0元；财政专户管理的非税收入拨款0元；其他收入0元；上年结转0元。</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（二）支出预算：</w:t>
      </w:r>
      <w:r>
        <w:rPr>
          <w:rFonts w:hint="eastAsia" w:ascii="仿宋_GB2312" w:hAnsi="Helvetica" w:eastAsia="仿宋_GB2312" w:cs="Helvetica"/>
          <w:color w:val="000000"/>
          <w:sz w:val="32"/>
          <w:szCs w:val="32"/>
        </w:rPr>
        <w:t>2021年年初预算数4505647元，其中，社会保障和就业支出307920元，卫生健康支出338185元，节能环保支出3564342元，住房保障支出295200元。</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具体安排如下：</w:t>
      </w:r>
    </w:p>
    <w:p>
      <w:pPr>
        <w:pStyle w:val="2"/>
        <w:spacing w:before="75" w:beforeAutospacing="0" w:after="75" w:afterAutospacing="0" w:line="540" w:lineRule="atLeast"/>
        <w:ind w:firstLine="645"/>
        <w:rPr>
          <w:rFonts w:ascii="Helvetica" w:hAnsi="Helvetica" w:cs="Helvetica"/>
          <w:color w:val="000000"/>
          <w:sz w:val="21"/>
          <w:szCs w:val="21"/>
        </w:rPr>
      </w:pPr>
      <w:r>
        <w:rPr>
          <w:rStyle w:val="5"/>
          <w:rFonts w:hint="eastAsia" w:ascii="仿宋_GB2312" w:hAnsi="Helvetica" w:eastAsia="仿宋_GB2312" w:cs="Helvetica"/>
          <w:color w:val="000000"/>
          <w:sz w:val="32"/>
          <w:szCs w:val="32"/>
        </w:rPr>
        <w:t>1.基本支出：</w:t>
      </w:r>
      <w:r>
        <w:rPr>
          <w:rFonts w:hint="eastAsia" w:ascii="仿宋_GB2312" w:hAnsi="Helvetica" w:eastAsia="仿宋_GB2312" w:cs="Helvetica"/>
          <w:color w:val="000000"/>
          <w:sz w:val="32"/>
          <w:szCs w:val="32"/>
        </w:rPr>
        <w:t>2021年年初预算数为3195647元，是指为保障单位机构正常运转、完成日常工作任务而发生的各项支出，包括用于基本工资、津贴补贴等人员经费以及日常公用经费、业务性商品和服务支出等。其中包括基本工资1091268元、津贴补贴158796元、绩效工资422088元、奖金138491元、其他人员经费956545元、公用经费428459元。</w:t>
      </w:r>
    </w:p>
    <w:p>
      <w:pPr>
        <w:pStyle w:val="2"/>
        <w:spacing w:before="75" w:beforeAutospacing="0" w:after="75" w:afterAutospacing="0" w:line="540" w:lineRule="atLeast"/>
        <w:ind w:firstLine="645"/>
        <w:rPr>
          <w:rFonts w:ascii="Helvetica" w:hAnsi="Helvetica" w:cs="Helvetica"/>
          <w:color w:val="000000"/>
          <w:sz w:val="21"/>
          <w:szCs w:val="21"/>
        </w:rPr>
      </w:pPr>
      <w:r>
        <w:rPr>
          <w:rStyle w:val="5"/>
          <w:rFonts w:hint="eastAsia" w:ascii="仿宋_GB2312" w:hAnsi="Helvetica" w:eastAsia="仿宋_GB2312" w:cs="Helvetica"/>
          <w:color w:val="000000"/>
          <w:sz w:val="32"/>
          <w:szCs w:val="32"/>
        </w:rPr>
        <w:t>2.项目支出：</w:t>
      </w:r>
      <w:r>
        <w:rPr>
          <w:rFonts w:hint="eastAsia" w:ascii="仿宋_GB2312" w:hAnsi="Helvetica" w:eastAsia="仿宋_GB2312" w:cs="Helvetica"/>
          <w:color w:val="000000"/>
          <w:sz w:val="32"/>
          <w:szCs w:val="32"/>
        </w:rPr>
        <w:t>2021年年初预算数为1310000元，是指单位为完成特定行政工作任务或事业发展目标而发生的支出。主要是生态功能区转移支付安排的环境监测专项经费。其中：</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（1）环境监测工作经费400000元。主要用于炎陵县环境质量监测和考核等工作。</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（2）农村生态监测、生态质量监测、应急监测和执法监测委托第三方服务费585000元。</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（3）空气质量监测自动站仪器设备更新325000元。</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（三）预算收支增减变化情况说明：</w:t>
      </w:r>
      <w:r>
        <w:rPr>
          <w:rFonts w:hint="eastAsia" w:ascii="仿宋_GB2312" w:hAnsi="Helvetica" w:eastAsia="仿宋_GB2312" w:cs="Helvetica"/>
          <w:color w:val="000000"/>
          <w:sz w:val="32"/>
          <w:szCs w:val="32"/>
        </w:rPr>
        <w:t>2021年度本单位年初预算数为4505647元，比上年增加1320546元，主要原因一是生态功能区转移支付的环境监测专项经费较上年增加91</w:t>
      </w:r>
      <w:r>
        <w:rPr>
          <w:rFonts w:hint="eastAsia" w:ascii="仿宋_GB2312" w:hAnsi="Helvetica" w:eastAsia="仿宋_GB2312" w:cs="Helvetica"/>
          <w:color w:val="000000"/>
          <w:sz w:val="32"/>
          <w:szCs w:val="32"/>
          <w:lang w:val="en-US" w:eastAsia="zh-CN"/>
        </w:rPr>
        <w:t>0000</w:t>
      </w:r>
      <w:r>
        <w:rPr>
          <w:rFonts w:hint="eastAsia" w:ascii="仿宋_GB2312" w:hAnsi="Helvetica" w:eastAsia="仿宋_GB2312" w:cs="Helvetica"/>
          <w:color w:val="000000"/>
          <w:sz w:val="32"/>
          <w:szCs w:val="32"/>
        </w:rPr>
        <w:t>元；二是在职人员新进5人以及工资调标。</w:t>
      </w:r>
    </w:p>
    <w:p>
      <w:pPr>
        <w:pStyle w:val="2"/>
        <w:spacing w:before="75" w:beforeAutospacing="0" w:after="75" w:afterAutospacing="0" w:line="555" w:lineRule="atLeast"/>
        <w:ind w:firstLine="645"/>
        <w:rPr>
          <w:rFonts w:ascii="Helvetica" w:hAnsi="Helvetica" w:cs="Helvetica"/>
          <w:color w:val="000000"/>
          <w:sz w:val="21"/>
          <w:szCs w:val="21"/>
        </w:rPr>
      </w:pPr>
      <w:r>
        <w:rPr>
          <w:rStyle w:val="5"/>
          <w:rFonts w:hint="eastAsia" w:ascii="黑体" w:hAnsi="黑体" w:eastAsia="黑体" w:cs="Helvetica"/>
          <w:color w:val="000000"/>
          <w:sz w:val="32"/>
          <w:szCs w:val="32"/>
        </w:rPr>
        <w:t>四、其他重要事项情况说明</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（一）机关运行经费：</w:t>
      </w:r>
      <w:r>
        <w:rPr>
          <w:rFonts w:hint="eastAsia" w:ascii="仿宋_GB2312" w:hAnsi="Helvetica" w:eastAsia="仿宋_GB2312" w:cs="Helvetica"/>
          <w:color w:val="000000"/>
          <w:sz w:val="32"/>
          <w:szCs w:val="32"/>
        </w:rPr>
        <w:t>本部门2021年年初预算机关运行经费(商品和服务支出+业务性专项)共安排428459元，比上年度预算增加17286元，增加的主要原因是：新增加5人的办公经费纳入预算。</w:t>
      </w:r>
    </w:p>
    <w:p>
      <w:pPr>
        <w:pStyle w:val="2"/>
        <w:spacing w:before="75" w:beforeAutospacing="0" w:after="75" w:afterAutospacing="0" w:line="540" w:lineRule="atLeast"/>
        <w:ind w:firstLine="645"/>
        <w:rPr>
          <w:rFonts w:hint="eastAsia" w:ascii="仿宋_GB2312" w:hAnsi="Helvetica" w:eastAsia="仿宋_GB2312" w:cs="Helvetica"/>
          <w:color w:val="000000"/>
          <w:sz w:val="32"/>
          <w:szCs w:val="32"/>
        </w:rPr>
      </w:pPr>
      <w:r>
        <w:rPr>
          <w:rFonts w:hint="eastAsia" w:ascii="楷体_GB2312" w:hAnsi="Helvetica" w:eastAsia="楷体_GB2312" w:cs="Helvetica"/>
          <w:color w:val="000000"/>
          <w:sz w:val="32"/>
          <w:szCs w:val="32"/>
        </w:rPr>
        <w:t>（二)政府采购预算：</w:t>
      </w:r>
      <w:r>
        <w:rPr>
          <w:rFonts w:hint="eastAsia" w:ascii="仿宋_GB2312" w:hAnsi="Helvetica" w:eastAsia="仿宋_GB2312" w:cs="Helvetica"/>
          <w:color w:val="000000"/>
          <w:sz w:val="32"/>
          <w:szCs w:val="32"/>
        </w:rPr>
        <w:t>2021年年初预算数为137700元。</w:t>
      </w:r>
      <w:r>
        <w:rPr>
          <w:rFonts w:hint="eastAsia" w:ascii="仿宋_GB2312" w:hAnsi="Helvetica" w:eastAsia="仿宋_GB2312" w:cs="Helvetica"/>
          <w:color w:val="000000"/>
          <w:sz w:val="32"/>
          <w:szCs w:val="32"/>
          <w:lang w:eastAsia="zh-CN"/>
        </w:rPr>
        <w:t>其中：</w:t>
      </w:r>
      <w:r>
        <w:rPr>
          <w:rFonts w:hint="eastAsia" w:ascii="仿宋_GB2312" w:hAnsi="Helvetica" w:eastAsia="仿宋_GB2312" w:cs="Helvetica"/>
          <w:color w:val="000000"/>
          <w:sz w:val="32"/>
          <w:szCs w:val="32"/>
        </w:rPr>
        <w:t>货物类117700元、工程类0元、服务类20000元。包括：复印纸等办公耗材22100元、台式计算机2台10000元、喷墨打印机3台3600元、移动打印机1台5000元、复印机1台30000元、扫描仪2台4000元、多功能一体机2台2000元、空调3台10000元、录音笔1个3000元、执法手机7台24000元。服务类20000元，主要是会议费。</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（三）国有资产占有情况：</w:t>
      </w:r>
      <w:r>
        <w:rPr>
          <w:rFonts w:hint="eastAsia" w:ascii="仿宋_GB2312" w:hAnsi="Helvetica" w:eastAsia="仿宋_GB2312" w:cs="Helvetica"/>
          <w:color w:val="000000"/>
          <w:sz w:val="32"/>
          <w:szCs w:val="32"/>
        </w:rPr>
        <w:t>截止2020年12月31日，本部门共有办公及业务用房1617.17平方米；车辆1辆，其中一般公务用车0辆、一般执法执勤用车0辆、特种专业技术用车0辆、货币化用车0辆、其他用车1辆，其他用车主要是我局事业单位环境监察大队的车辆；单位价值50万以上大型设备1套。2020年部门预算安排购置车辆 0辆，预算安排购置价值50万以上大型设备0套。</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（四）</w:t>
      </w:r>
      <w:r>
        <w:rPr>
          <w:rFonts w:hint="eastAsia" w:ascii="楷体_GB2312" w:hAnsi="楷体" w:eastAsia="楷体_GB2312"/>
          <w:bCs/>
          <w:sz w:val="32"/>
          <w:szCs w:val="32"/>
          <w:lang w:val="en-US" w:eastAsia="zh-CN"/>
        </w:rPr>
        <w:t>重点项目预算的绩效目标等情况</w:t>
      </w:r>
      <w:r>
        <w:rPr>
          <w:rFonts w:hint="eastAsia" w:ascii="楷体_GB2312" w:hAnsi="Helvetica" w:eastAsia="楷体_GB2312" w:cs="Helvetica"/>
          <w:color w:val="000000"/>
          <w:sz w:val="32"/>
          <w:szCs w:val="32"/>
        </w:rPr>
        <w:t>：</w:t>
      </w:r>
      <w:r>
        <w:rPr>
          <w:rFonts w:hint="eastAsia" w:ascii="仿宋_GB2312" w:hAnsi="Helvetica" w:eastAsia="仿宋_GB2312" w:cs="Helvetica"/>
          <w:color w:val="000000"/>
          <w:sz w:val="32"/>
          <w:szCs w:val="32"/>
        </w:rPr>
        <w:t>本部门整体支出和项目支出实行绩效目标管理，纳入2021年部门整体支出绩效目标的金额为4505647元，其中，基本支出3195647元，项目支出1310000元（具体绩效目标详见附表）。</w:t>
      </w:r>
      <w:r>
        <w:rPr>
          <w:rFonts w:ascii="Calibri" w:hAnsi="Calibri" w:eastAsia="仿宋_GB2312" w:cs="Helvetica"/>
          <w:color w:val="000000"/>
          <w:sz w:val="32"/>
          <w:szCs w:val="32"/>
        </w:rPr>
        <w:t> </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（五）</w:t>
      </w:r>
      <w:r>
        <w:rPr>
          <w:rFonts w:hint="eastAsia" w:ascii="楷体_GB2312" w:hAnsi="楷体" w:eastAsia="楷体_GB2312"/>
          <w:bCs/>
          <w:sz w:val="32"/>
          <w:szCs w:val="32"/>
          <w:lang w:val="en-US" w:eastAsia="zh-CN"/>
        </w:rPr>
        <w:t>一般公共预算</w:t>
      </w:r>
      <w:r>
        <w:rPr>
          <w:rFonts w:hint="eastAsia" w:ascii="楷体_GB2312" w:hAnsi="楷体" w:eastAsia="楷体_GB2312"/>
          <w:bCs/>
          <w:sz w:val="32"/>
          <w:szCs w:val="32"/>
        </w:rPr>
        <w:t>“三公”经费</w:t>
      </w:r>
      <w:r>
        <w:rPr>
          <w:rFonts w:hint="eastAsia" w:ascii="楷体_GB2312" w:hAnsi="楷体" w:eastAsia="楷体_GB2312"/>
          <w:bCs/>
          <w:sz w:val="32"/>
          <w:szCs w:val="32"/>
          <w:lang w:val="en-US" w:eastAsia="zh-CN"/>
        </w:rPr>
        <w:t>情况</w:t>
      </w:r>
      <w:r>
        <w:rPr>
          <w:rFonts w:hint="eastAsia" w:ascii="楷体_GB2312" w:hAnsi="Helvetica" w:eastAsia="楷体_GB2312" w:cs="Helvetica"/>
          <w:color w:val="000000"/>
          <w:sz w:val="32"/>
          <w:szCs w:val="32"/>
        </w:rPr>
        <w:t>：</w:t>
      </w:r>
      <w:r>
        <w:rPr>
          <w:rFonts w:hint="eastAsia" w:ascii="仿宋_GB2312" w:hAnsi="Helvetica" w:eastAsia="仿宋_GB2312" w:cs="Helvetica"/>
          <w:color w:val="000000"/>
          <w:sz w:val="32"/>
          <w:szCs w:val="32"/>
        </w:rPr>
        <w:t>2021年“三公”经费预算数30000元，其中：公务接待费30000元、公务用车购置费0元，公务用车运行费0元、因公出国（境）费0元。2021年公务用车购置数0台</w:t>
      </w:r>
      <w:r>
        <w:rPr>
          <w:rStyle w:val="5"/>
          <w:rFonts w:hint="eastAsia" w:ascii="仿宋_GB2312" w:hAnsi="Helvetica" w:eastAsia="仿宋_GB2312" w:cs="Helvetica"/>
          <w:color w:val="000000"/>
          <w:sz w:val="32"/>
          <w:szCs w:val="32"/>
        </w:rPr>
        <w:t>。</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仿宋_GB2312" w:hAnsi="Helvetica" w:eastAsia="仿宋_GB2312" w:cs="Helvetica"/>
          <w:color w:val="000000"/>
          <w:sz w:val="32"/>
          <w:szCs w:val="32"/>
        </w:rPr>
        <w:t>2021年“三公”经费预算数比2020年减少33000元，其中公务接待费减少17000元，公务用车运行费减少16000元，减少的主要原因是严格遵守中央八项规定，规范公务接待活动，强化内部控制制度。同时公务用车运行费纳入国资统一管理。</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（六）会议费、培训费预算：</w:t>
      </w:r>
    </w:p>
    <w:p>
      <w:pPr>
        <w:pStyle w:val="2"/>
        <w:spacing w:before="75" w:beforeAutospacing="0" w:after="75" w:afterAutospacing="0" w:line="540" w:lineRule="atLeast"/>
        <w:ind w:firstLine="645"/>
        <w:rPr>
          <w:rFonts w:hint="eastAsia" w:ascii="仿宋_GB2312" w:hAnsi="Helvetica" w:eastAsia="仿宋_GB2312" w:cs="Helvetica"/>
          <w:color w:val="000000"/>
          <w:sz w:val="32"/>
          <w:szCs w:val="32"/>
        </w:rPr>
      </w:pPr>
      <w:r>
        <w:rPr>
          <w:rFonts w:hint="eastAsia" w:ascii="仿宋_GB2312" w:hAnsi="Helvetica" w:eastAsia="仿宋_GB2312" w:cs="Helvetica"/>
          <w:color w:val="000000"/>
          <w:sz w:val="32"/>
          <w:szCs w:val="32"/>
        </w:rPr>
        <w:t>2021年预算安排会议费5000元，主要包括召开污染防治攻坚动员会、“夏季攻势”、“春雷行动”任务部署会议等4次，参会人数300人。</w:t>
      </w:r>
    </w:p>
    <w:p>
      <w:pPr>
        <w:pStyle w:val="2"/>
        <w:spacing w:before="75" w:beforeAutospacing="0" w:after="75" w:afterAutospacing="0" w:line="540" w:lineRule="atLeast"/>
        <w:ind w:firstLine="645"/>
        <w:rPr>
          <w:rFonts w:hint="default" w:ascii="仿宋_GB2312" w:hAnsi="Helvetica" w:eastAsia="仿宋_GB2312" w:cs="Helvetica"/>
          <w:color w:val="000000"/>
          <w:sz w:val="32"/>
          <w:szCs w:val="32"/>
        </w:rPr>
      </w:pPr>
      <w:r>
        <w:rPr>
          <w:rFonts w:hint="eastAsia" w:ascii="仿宋_GB2312" w:hAnsi="Helvetica" w:eastAsia="仿宋_GB2312" w:cs="Helvetica"/>
          <w:color w:val="000000"/>
          <w:sz w:val="32"/>
          <w:szCs w:val="32"/>
        </w:rPr>
        <w:t>2021年预算安排培训费5000元，主要包括环保专业知识和其他培训，计划每个季度1次，每次1250元，培训人数200人。</w:t>
      </w:r>
    </w:p>
    <w:p>
      <w:pPr>
        <w:pStyle w:val="2"/>
        <w:spacing w:before="75" w:beforeAutospacing="0" w:after="75" w:afterAutospacing="0" w:line="540" w:lineRule="atLeast"/>
        <w:ind w:firstLine="645"/>
        <w:rPr>
          <w:rFonts w:ascii="Helvetica" w:hAnsi="Helvetica" w:cs="Helvetica"/>
          <w:color w:val="000000"/>
          <w:sz w:val="21"/>
          <w:szCs w:val="21"/>
        </w:rPr>
      </w:pPr>
      <w:r>
        <w:rPr>
          <w:rFonts w:hint="eastAsia" w:ascii="楷体_GB2312" w:hAnsi="Helvetica" w:eastAsia="楷体_GB2312" w:cs="Helvetica"/>
          <w:color w:val="000000"/>
          <w:sz w:val="32"/>
          <w:szCs w:val="32"/>
        </w:rPr>
        <w:t>（七）其他事项</w:t>
      </w:r>
      <w:r>
        <w:rPr>
          <w:rFonts w:hint="eastAsia" w:ascii="楷体_GB2312" w:hAnsi="Helvetica" w:eastAsia="楷体_GB2312" w:cs="Helvetica"/>
          <w:color w:val="000000"/>
          <w:sz w:val="32"/>
          <w:szCs w:val="32"/>
          <w:lang w:eastAsia="zh-CN"/>
        </w:rPr>
        <w:t>：</w:t>
      </w:r>
      <w:r>
        <w:rPr>
          <w:rFonts w:hint="eastAsia" w:ascii="仿宋_GB2312" w:hAnsi="Helvetica" w:eastAsia="仿宋_GB2312" w:cs="Helvetica"/>
          <w:color w:val="000000"/>
          <w:sz w:val="32"/>
          <w:szCs w:val="32"/>
        </w:rPr>
        <w:t>1</w:t>
      </w:r>
      <w:r>
        <w:rPr>
          <w:rFonts w:hint="eastAsia" w:ascii="仿宋" w:hAnsi="仿宋" w:eastAsia="仿宋" w:cs="Helvetica"/>
          <w:color w:val="000000"/>
          <w:sz w:val="32"/>
          <w:szCs w:val="32"/>
        </w:rPr>
        <w:t>、</w:t>
      </w:r>
      <w:r>
        <w:rPr>
          <w:rFonts w:hint="eastAsia" w:ascii="仿宋_GB2312" w:hAnsi="Helvetica" w:eastAsia="仿宋_GB2312" w:cs="Helvetica"/>
          <w:color w:val="000000"/>
          <w:sz w:val="32"/>
          <w:szCs w:val="32"/>
        </w:rPr>
        <w:t>本单位2021年预算未安排政府性基金收支预算；2、本单位2021年无纳入专户管理的非税收入拨款部门收支预算。</w:t>
      </w:r>
    </w:p>
    <w:p>
      <w:pPr>
        <w:pStyle w:val="2"/>
        <w:spacing w:before="75" w:beforeAutospacing="0" w:after="75" w:afterAutospacing="0" w:line="540" w:lineRule="atLeast"/>
        <w:ind w:firstLine="645"/>
        <w:rPr>
          <w:rFonts w:ascii="Helvetica" w:hAnsi="Helvetica" w:cs="Helvetica"/>
          <w:b w:val="0"/>
          <w:bCs w:val="0"/>
          <w:color w:val="000000"/>
          <w:sz w:val="21"/>
          <w:szCs w:val="21"/>
        </w:rPr>
      </w:pPr>
      <w:r>
        <w:rPr>
          <w:rStyle w:val="5"/>
          <w:rFonts w:hint="eastAsia" w:ascii="黑体" w:hAnsi="黑体" w:eastAsia="黑体" w:cs="Helvetica"/>
          <w:b/>
          <w:bCs/>
          <w:color w:val="000000"/>
          <w:sz w:val="32"/>
          <w:szCs w:val="32"/>
        </w:rPr>
        <w:t>五、名词解释</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）政府性基金预算:</w:t>
      </w:r>
      <w:r>
        <w:rPr>
          <w:rFonts w:hint="eastAsia" w:ascii="仿宋_GB2312" w:hAnsi="仿宋_GB2312" w:eastAsia="仿宋_GB2312" w:cs="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）国有</w:t>
      </w:r>
      <w:r>
        <w:rPr>
          <w:rFonts w:hint="eastAsia" w:ascii="仿宋_GB2312" w:hAnsi="仿宋_GB2312" w:eastAsia="仿宋_GB2312" w:cs="仿宋_GB2312"/>
          <w:b/>
          <w:sz w:val="32"/>
          <w:szCs w:val="32"/>
        </w:rPr>
        <w:t xml:space="preserve">资本经营预算: </w:t>
      </w:r>
      <w:r>
        <w:rPr>
          <w:rFonts w:hint="eastAsia" w:ascii="仿宋_GB2312" w:hAnsi="仿宋_GB2312" w:eastAsia="仿宋_GB2312" w:cs="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）社会</w:t>
      </w:r>
      <w:r>
        <w:rPr>
          <w:rFonts w:hint="eastAsia" w:ascii="仿宋_GB2312" w:hAnsi="仿宋_GB2312" w:eastAsia="仿宋_GB2312" w:cs="仿宋_GB2312"/>
          <w:b/>
          <w:sz w:val="32"/>
          <w:szCs w:val="32"/>
        </w:rPr>
        <w:t>保险基金预算:</w:t>
      </w:r>
      <w:r>
        <w:rPr>
          <w:rFonts w:hint="eastAsia" w:ascii="仿宋_GB2312" w:hAnsi="仿宋_GB2312" w:eastAsia="仿宋_GB2312" w:cs="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）基本</w:t>
      </w:r>
      <w:r>
        <w:rPr>
          <w:rFonts w:hint="eastAsia" w:ascii="仿宋_GB2312" w:hAnsi="仿宋_GB2312" w:eastAsia="仿宋_GB2312" w:cs="仿宋_GB2312"/>
          <w:b/>
          <w:sz w:val="32"/>
          <w:szCs w:val="32"/>
        </w:rPr>
        <w:t>支出：</w:t>
      </w:r>
      <w:r>
        <w:rPr>
          <w:rFonts w:hint="eastAsia" w:ascii="仿宋_GB2312" w:hAnsi="仿宋_GB2312" w:eastAsia="仿宋_GB2312" w:cs="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）项</w:t>
      </w:r>
      <w:r>
        <w:rPr>
          <w:rFonts w:hint="eastAsia" w:ascii="仿宋_GB2312" w:hAnsi="仿宋_GB2312" w:eastAsia="仿宋_GB2312" w:cs="仿宋_GB2312"/>
          <w:b/>
          <w:sz w:val="32"/>
          <w:szCs w:val="32"/>
        </w:rPr>
        <w:t>目支出：</w:t>
      </w:r>
      <w:r>
        <w:rPr>
          <w:rFonts w:hint="eastAsia" w:ascii="仿宋_GB2312" w:hAnsi="仿宋_GB2312" w:eastAsia="仿宋_GB2312" w:cs="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b/>
          <w:sz w:val="32"/>
          <w:szCs w:val="32"/>
        </w:rPr>
        <w:t>三公”经费：</w:t>
      </w:r>
      <w:r>
        <w:rPr>
          <w:rFonts w:hint="eastAsia" w:ascii="仿宋_GB2312" w:hAnsi="仿宋_GB2312" w:eastAsia="仿宋_GB2312" w:cs="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）机关</w:t>
      </w:r>
      <w:r>
        <w:rPr>
          <w:rFonts w:hint="eastAsia" w:ascii="仿宋_GB2312" w:hAnsi="仿宋_GB2312" w:eastAsia="仿宋_GB2312" w:cs="仿宋_GB2312"/>
          <w:b/>
          <w:sz w:val="32"/>
          <w:szCs w:val="32"/>
        </w:rPr>
        <w:t>运行经费：</w:t>
      </w:r>
      <w:r>
        <w:rPr>
          <w:rFonts w:hint="eastAsia" w:ascii="仿宋_GB2312" w:hAnsi="仿宋_GB2312" w:eastAsia="仿宋_GB2312" w:cs="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4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i w:val="0"/>
          <w:iCs w:val="0"/>
          <w:caps w:val="0"/>
          <w:color w:val="333333"/>
          <w:spacing w:val="0"/>
          <w:sz w:val="32"/>
          <w:szCs w:val="32"/>
          <w:shd w:val="clear" w:color="auto" w:fill="FFFFFF"/>
        </w:rPr>
        <w:t>六、部门预算公开表格目录</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部门收支总表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部门收入总表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部门支出总表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部门支出总表（分类）</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基本支出预算明细表-工资福利支出</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单位运转经费支出预算表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基本支出预算明细表-对个人和家庭的补助</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财政拨款收支总表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一般公共预算拨款支出预算分类汇总表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一般公共预算基本支出预算明细表-工资福利支出</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一般公共预算基本支出预算明细表-一般商品和服务支出</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一般公共预算基本支出预算明细表-对个人和家庭的补助</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政府性基金拨款部门支出总表(分类)</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纳入专户管理的非税收入拨款部门支出总表(分类)</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项目支出预算明细表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“三公”经费预算表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部门整体支出绩效申报表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县级专项资金预算绩效目标汇总表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县级专项资金支出方向绩效目标表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一般公共预算基本支出情况表</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二十</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一般公共预算基本支出预算明细表--工资福利支出（经济性质分类款级科目）</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二十</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一般公共预算基本</w:t>
      </w:r>
      <w:bookmarkStart w:id="0" w:name="_GoBack"/>
      <w:bookmarkEnd w:id="0"/>
      <w:r>
        <w:rPr>
          <w:rFonts w:hint="eastAsia" w:ascii="仿宋_GB2312" w:hAnsi="仿宋_GB2312" w:eastAsia="仿宋_GB2312" w:cs="仿宋_GB2312"/>
          <w:kern w:val="0"/>
          <w:sz w:val="32"/>
          <w:szCs w:val="32"/>
        </w:rPr>
        <w:t>支出预算明细表-一般商品和服务支出（经济性质分类款级科目）</w:t>
      </w:r>
    </w:p>
    <w:p>
      <w:pPr>
        <w:widowControl/>
        <w:spacing w:line="560" w:lineRule="exact"/>
        <w:ind w:firstLine="63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二十</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一般公共预算基本支出预算明细表-对个人和家庭的补助（经济性质分类款级科目）</w:t>
      </w:r>
    </w:p>
    <w:p>
      <w:pPr>
        <w:widowControl/>
        <w:spacing w:line="560" w:lineRule="exact"/>
        <w:ind w:firstLine="630"/>
        <w:jc w:val="left"/>
        <w:rPr>
          <w:rFonts w:hint="eastAsia" w:ascii="仿宋_GB2312" w:hAnsi="仿宋_GB2312" w:eastAsia="仿宋_GB2312" w:cs="仿宋_GB2312"/>
          <w:color w:val="000000"/>
          <w:sz w:val="32"/>
          <w:szCs w:val="32"/>
        </w:rPr>
      </w:pPr>
      <w:r>
        <w:rPr>
          <w:rFonts w:hint="eastAsia" w:ascii="黑体" w:hAnsi="黑体" w:eastAsia="黑体" w:cs="黑体"/>
          <w:b/>
          <w:bCs/>
          <w:i w:val="0"/>
          <w:iCs w:val="0"/>
          <w:caps w:val="0"/>
          <w:color w:val="333333"/>
          <w:spacing w:val="0"/>
          <w:sz w:val="32"/>
          <w:szCs w:val="32"/>
          <w:shd w:val="clear" w:color="auto" w:fill="FFFFFF"/>
        </w:rPr>
        <w:t>七、公开表格附件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NzZlNmFkNTI2ZGNkMDk1NTU5ZDFiNTIyY2JkMjUifQ=="/>
  </w:docVars>
  <w:rsids>
    <w:rsidRoot w:val="0098655E"/>
    <w:rsid w:val="0098655E"/>
    <w:rsid w:val="00C67003"/>
    <w:rsid w:val="12457E2F"/>
    <w:rsid w:val="14DB3AC7"/>
    <w:rsid w:val="15C0756E"/>
    <w:rsid w:val="15D36EC0"/>
    <w:rsid w:val="19081FB0"/>
    <w:rsid w:val="1B216DEA"/>
    <w:rsid w:val="27382E17"/>
    <w:rsid w:val="27CB6C3E"/>
    <w:rsid w:val="2B5E729B"/>
    <w:rsid w:val="34F30AB6"/>
    <w:rsid w:val="3962620A"/>
    <w:rsid w:val="43400830"/>
    <w:rsid w:val="4973604F"/>
    <w:rsid w:val="51547F41"/>
    <w:rsid w:val="638A2F20"/>
    <w:rsid w:val="79A0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3241</Words>
  <Characters>3546</Characters>
  <Lines>23</Lines>
  <Paragraphs>6</Paragraphs>
  <TotalTime>4</TotalTime>
  <ScaleCrop>false</ScaleCrop>
  <LinksUpToDate>false</LinksUpToDate>
  <CharactersWithSpaces>3558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2022-08-24T12:34:00Z</dcterms:created>
  <dc:creator>Administrator</dc:creator>
  <cp:lastModifiedBy>Administrator</cp:lastModifiedBy>
  <dcterms:modified xsi:type="dcterms:W3CDTF">2022-09-06T02:25:32Z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5F656E98C22B4CCA93157FE0CB4296D7</vt:lpwstr>
  </property>
</Properties>
</file>