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555" w:lineRule="atLeast"/>
        <w:ind w:left="0" w:right="0" w:firstLine="0"/>
        <w:jc w:val="center"/>
        <w:rPr>
          <w:rFonts w:ascii="helvetica" w:hAnsi="helvetica" w:eastAsia="helvetica" w:cs="helvetica"/>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sz w:val="43"/>
          <w:szCs w:val="43"/>
        </w:rPr>
        <w:t>炎陵县商务和粮食局</w:t>
      </w:r>
    </w:p>
    <w:p>
      <w:pPr>
        <w:pStyle w:val="2"/>
        <w:keepNext w:val="0"/>
        <w:keepLines w:val="0"/>
        <w:widowControl/>
        <w:suppressLineNumbers w:val="0"/>
        <w:spacing w:before="75" w:beforeAutospacing="0" w:after="75" w:afterAutospacing="0" w:line="555" w:lineRule="atLeast"/>
        <w:ind w:left="0" w:right="0" w:firstLine="0"/>
        <w:jc w:val="center"/>
        <w:rPr>
          <w:rFonts w:hint="default" w:ascii="helvetica" w:hAnsi="helvetica" w:eastAsia="helvetica" w:cs="helvetica"/>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2021年部门预算和“三公经费”预算说明</w:t>
      </w:r>
    </w:p>
    <w:p>
      <w:pPr>
        <w:pStyle w:val="2"/>
        <w:keepNext w:val="0"/>
        <w:keepLines w:val="0"/>
        <w:widowControl/>
        <w:suppressLineNumbers w:val="0"/>
        <w:spacing w:before="75" w:beforeAutospacing="0" w:after="75" w:afterAutospacing="0" w:line="555" w:lineRule="atLeast"/>
        <w:ind w:left="0" w:right="0" w:firstLine="0"/>
        <w:rPr>
          <w:rFonts w:hint="default" w:ascii="helvetica" w:hAnsi="helvetica" w:eastAsia="helvetica" w:cs="helvetica"/>
          <w:i w:val="0"/>
          <w:iCs w:val="0"/>
          <w:caps w:val="0"/>
          <w:color w:val="000000"/>
          <w:spacing w:val="0"/>
          <w:sz w:val="21"/>
          <w:szCs w:val="21"/>
        </w:rPr>
      </w:pPr>
      <w:r>
        <w:rPr>
          <w:rFonts w:ascii="仿宋_GB2312" w:hAnsi="helvetica"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line="555" w:lineRule="atLeast"/>
        <w:ind w:left="0" w:right="0" w:firstLine="645"/>
        <w:jc w:val="center"/>
        <w:rPr>
          <w:rFonts w:hint="default" w:ascii="helvetica" w:hAnsi="helvetica" w:eastAsia="helvetica" w:cs="helvetica"/>
          <w:i w:val="0"/>
          <w:iCs w:val="0"/>
          <w:caps w:val="0"/>
          <w:color w:val="000000"/>
          <w:spacing w:val="0"/>
          <w:sz w:val="21"/>
          <w:szCs w:val="21"/>
        </w:rPr>
      </w:pPr>
      <w:r>
        <w:rPr>
          <w:rFonts w:ascii="黑体" w:hAnsi="宋体" w:eastAsia="黑体" w:cs="黑体"/>
          <w:i w:val="0"/>
          <w:iCs w:val="0"/>
          <w:caps w:val="0"/>
          <w:color w:val="000000"/>
          <w:spacing w:val="0"/>
          <w:sz w:val="31"/>
          <w:szCs w:val="31"/>
        </w:rPr>
        <w:t>部门预算公开信息目录</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 </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一、部门职能职责</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二、机构设置</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三、部门收支概况</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（一）收入预算</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（二）支出预算</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（三）预算收支增减变化情况说明</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四、其他重要事项情况说明</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（一）机关运行经费</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（二）政府采购预算</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（三）国有资产占有情况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（四）重点项目预算的绩效目标等情况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仿宋_GB2312" w:eastAsia="仿宋_GB2312" w:cs="仿宋_GB2312"/>
          <w:color w:val="auto"/>
          <w:sz w:val="32"/>
          <w:szCs w:val="32"/>
        </w:rPr>
      </w:pPr>
      <w:r>
        <w:rPr>
          <w:rFonts w:hint="eastAsia" w:ascii="仿宋_GB2312" w:hAnsi="helvetica" w:eastAsia="仿宋_GB2312" w:cs="仿宋_GB2312"/>
          <w:i w:val="0"/>
          <w:iCs w:val="0"/>
          <w:caps w:val="0"/>
          <w:color w:val="000000"/>
          <w:spacing w:val="0"/>
          <w:kern w:val="0"/>
          <w:sz w:val="31"/>
          <w:szCs w:val="31"/>
          <w:lang w:val="en-US" w:eastAsia="zh-CN" w:bidi="ar"/>
        </w:rPr>
        <w:t>（五）一般公共预算“三公”经费情况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六</w:t>
      </w:r>
      <w:r>
        <w:rPr>
          <w:rFonts w:hint="eastAsia" w:ascii="仿宋_GB2312" w:hAnsi="仿宋_GB2312" w:eastAsia="仿宋_GB2312" w:cs="仿宋_GB2312"/>
          <w:color w:val="auto"/>
          <w:sz w:val="32"/>
          <w:szCs w:val="32"/>
        </w:rPr>
        <w:t>）会议费、培训费</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七</w:t>
      </w:r>
      <w:r>
        <w:rPr>
          <w:rFonts w:hint="eastAsia" w:ascii="仿宋_GB2312" w:hAnsi="仿宋_GB2312" w:eastAsia="仿宋_GB2312" w:cs="仿宋_GB2312"/>
          <w:color w:val="auto"/>
          <w:sz w:val="32"/>
          <w:szCs w:val="32"/>
        </w:rPr>
        <w:t>）其他事项</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五、名词解释</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六、部门预算公开表格目录</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七、公开表格附件</w:t>
      </w:r>
    </w:p>
    <w:p>
      <w:pPr>
        <w:pStyle w:val="2"/>
        <w:keepNext w:val="0"/>
        <w:keepLines w:val="0"/>
        <w:widowControl/>
        <w:suppressLineNumbers w:val="0"/>
        <w:spacing w:before="75" w:beforeAutospacing="0" w:after="75" w:afterAutospacing="0"/>
        <w:ind w:left="0" w:right="0" w:firstLine="0"/>
        <w:rPr>
          <w:rFonts w:hint="default" w:ascii="helvetica" w:hAnsi="helvetica" w:eastAsia="helvetica" w:cs="helvetica"/>
          <w:i w:val="0"/>
          <w:iCs w:val="0"/>
          <w:caps w:val="0"/>
          <w:color w:val="000000"/>
          <w:spacing w:val="0"/>
          <w:sz w:val="21"/>
          <w:szCs w:val="21"/>
        </w:rPr>
      </w:pPr>
    </w:p>
    <w:p>
      <w:pPr>
        <w:pStyle w:val="2"/>
        <w:keepNext w:val="0"/>
        <w:keepLines w:val="0"/>
        <w:widowControl/>
        <w:suppressLineNumbers w:val="0"/>
        <w:spacing w:before="75" w:beforeAutospacing="0" w:after="75" w:afterAutospacing="0" w:line="555" w:lineRule="atLeast"/>
        <w:ind w:left="0" w:right="0" w:firstLine="0"/>
        <w:rPr>
          <w:rFonts w:hint="default" w:ascii="helvetica" w:hAnsi="helvetica" w:eastAsia="helvetica" w:cs="helvetica"/>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 </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一、 部门职能职责</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50" w:lineRule="atLeast"/>
        <w:ind w:left="0" w:right="0" w:firstLine="0"/>
        <w:textAlignment w:val="auto"/>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     贯彻执行国家、省、市有关国内外贸易、国际经济合作、粮食流通及粮食储备相关发展战略、法律法规和方针政策，并拟定相关中长期发展计划及年度计划；负责推进流通产业结构调整，促进商贸服务区和社区商业发展；拟定全县国内贸易发展计划，促进城乡市场发展、商业网点规划及商业体系建设，推进农村市场体系建设，组织实施农村现代流通网路工程；负责全县招商引资和承接产业转移工作，拟定并组织实施相关政策；承担粮食监测预警、应急责任，负责全县粮食流通调控及库存监督、保障军队供粮；负责粮食流通行业管理，执行省、市行业发展规划及粮食流通、粮食质量有关标准政策，对粮食流通、收购、储存、运输环节实施质量安全和原粮卫生监督，组织实施粮食库存检查；承担辖区内市级储备粮管理工作，会同有关部门拟定县级储备粮规模、总体布局、购销计划、轮换计划，监督检查县级储备粮数量、质量和储存安全；拟定全县粮食市场体系建设及发展规划并组织实施；完成县委、县政府交代的其他任务。</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二、机构设置</w:t>
      </w:r>
    </w:p>
    <w:p>
      <w:pPr>
        <w:pStyle w:val="2"/>
        <w:keepNext w:val="0"/>
        <w:keepLines w:val="0"/>
        <w:widowControl/>
        <w:suppressLineNumbers w:val="0"/>
        <w:spacing w:before="75" w:beforeAutospacing="0" w:after="75" w:afterAutospacing="0" w:line="555" w:lineRule="atLeast"/>
        <w:ind w:left="0" w:right="0" w:firstLine="570"/>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本部门共有编制人数25人，实际人数22人。内设科室6个，分别为：办公室、招商引资股（贸易股）、法规股（行政审批股）、商务信息股（电子商务股）、粮食调控股、粮食行业发展股。</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三、 部门收支概况</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炎陵县商务和粮食局为县级一级预算单位，下无二级预算单位。收入包括一般公共预算收入，支出包括基本支出和项目支出。</w:t>
      </w:r>
    </w:p>
    <w:p>
      <w:pPr>
        <w:pStyle w:val="2"/>
        <w:keepNext w:val="0"/>
        <w:keepLines w:val="0"/>
        <w:widowControl/>
        <w:suppressLineNumbers w:val="0"/>
        <w:spacing w:before="75" w:beforeAutospacing="0" w:after="75" w:afterAutospacing="0" w:line="555" w:lineRule="atLeast"/>
        <w:ind w:left="0" w:right="0" w:firstLine="0"/>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    （一）收入预算：2021年年初预算数3116964元，其中一般公共预算拨款3116964万元；政府性基金拨款0万元；财政专户管理的非税收入拨款0元；其他收入0万元；上年结转0万元。</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（二）支出预算：2021年年初预算数311694元，支出一般公共服务支出2090165元、社会保障和就业支出525031元、卫生健康267936元、住房保障支出233832元。</w:t>
      </w:r>
    </w:p>
    <w:p>
      <w:pPr>
        <w:pStyle w:val="2"/>
        <w:keepNext w:val="0"/>
        <w:keepLines w:val="0"/>
        <w:widowControl/>
        <w:suppressLineNumbers w:val="0"/>
        <w:spacing w:before="75" w:beforeAutospacing="0" w:after="75" w:afterAutospacing="0" w:line="555" w:lineRule="atLeast"/>
        <w:ind w:left="0" w:right="0" w:firstLine="0"/>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    具体安排如下：</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1.基本支出：2021年年初预算数为2816964元，是指为保障单位机构正常运转、完成日常工作任务而发生的各项支出，包括用于基本工资、津补贴等人员经费以及日常公用经费、业务性商品和服务支出。其中包括：包含基本工资841200元、</w:t>
      </w:r>
      <w:r>
        <w:rPr>
          <w:rFonts w:hint="eastAsia" w:ascii="仿宋_GB2312" w:eastAsia="仿宋_GB2312"/>
          <w:sz w:val="32"/>
          <w:szCs w:val="32"/>
        </w:rPr>
        <w:t>津</w:t>
      </w:r>
      <w:r>
        <w:rPr>
          <w:rFonts w:hint="eastAsia" w:ascii="仿宋_GB2312" w:eastAsia="仿宋_GB2312"/>
          <w:sz w:val="32"/>
          <w:szCs w:val="32"/>
          <w:lang w:eastAsia="zh-CN"/>
        </w:rPr>
        <w:t>贴</w:t>
      </w:r>
      <w:r>
        <w:rPr>
          <w:rFonts w:hint="eastAsia" w:ascii="仿宋_GB2312" w:eastAsia="仿宋_GB2312"/>
          <w:sz w:val="32"/>
          <w:szCs w:val="32"/>
        </w:rPr>
        <w:t>补贴</w:t>
      </w:r>
      <w:r>
        <w:rPr>
          <w:rFonts w:hint="eastAsia" w:ascii="仿宋_GB2312" w:eastAsia="仿宋_GB2312"/>
          <w:sz w:val="32"/>
          <w:szCs w:val="32"/>
          <w:lang w:val="en-US" w:eastAsia="zh-CN"/>
        </w:rPr>
        <w:t>267684元</w:t>
      </w:r>
      <w:r>
        <w:rPr>
          <w:rFonts w:hint="eastAsia" w:ascii="仿宋_GB2312" w:eastAsia="仿宋_GB2312"/>
          <w:sz w:val="32"/>
          <w:szCs w:val="32"/>
        </w:rPr>
        <w:t>、</w:t>
      </w:r>
      <w:r>
        <w:rPr>
          <w:rFonts w:hint="eastAsia" w:ascii="仿宋_GB2312" w:eastAsia="仿宋_GB2312"/>
          <w:sz w:val="32"/>
          <w:szCs w:val="32"/>
          <w:lang w:eastAsia="zh-CN"/>
        </w:rPr>
        <w:t>绩效工资</w:t>
      </w:r>
      <w:r>
        <w:rPr>
          <w:rFonts w:hint="eastAsia" w:ascii="仿宋_GB2312" w:eastAsia="仿宋_GB2312"/>
          <w:sz w:val="32"/>
          <w:szCs w:val="32"/>
        </w:rPr>
        <w:t>201900</w:t>
      </w:r>
      <w:r>
        <w:rPr>
          <w:rFonts w:hint="eastAsia" w:ascii="仿宋_GB2312" w:eastAsia="仿宋_GB2312"/>
          <w:sz w:val="32"/>
          <w:szCs w:val="32"/>
          <w:lang w:eastAsia="zh-CN"/>
        </w:rPr>
        <w:t>元、</w:t>
      </w:r>
      <w:r>
        <w:rPr>
          <w:rFonts w:hint="eastAsia" w:ascii="仿宋_GB2312" w:eastAsia="仿宋_GB2312"/>
          <w:sz w:val="32"/>
          <w:szCs w:val="32"/>
        </w:rPr>
        <w:t>奖金</w:t>
      </w:r>
      <w:r>
        <w:rPr>
          <w:rFonts w:hint="eastAsia" w:ascii="仿宋_GB2312" w:eastAsia="仿宋_GB2312"/>
          <w:sz w:val="32"/>
          <w:szCs w:val="32"/>
          <w:lang w:val="en-US" w:eastAsia="zh-CN"/>
        </w:rPr>
        <w:t>108722元</w:t>
      </w:r>
      <w:r>
        <w:rPr>
          <w:rFonts w:hint="eastAsia" w:ascii="仿宋_GB2312" w:eastAsia="仿宋_GB2312"/>
          <w:sz w:val="32"/>
          <w:szCs w:val="32"/>
        </w:rPr>
        <w:t>、</w:t>
      </w:r>
      <w:r>
        <w:rPr>
          <w:rFonts w:hint="eastAsia" w:ascii="仿宋_GB2312" w:hAnsi="helvetica" w:eastAsia="仿宋_GB2312" w:cs="仿宋_GB2312"/>
          <w:i w:val="0"/>
          <w:iCs w:val="0"/>
          <w:caps w:val="0"/>
          <w:color w:val="000000"/>
          <w:spacing w:val="0"/>
          <w:sz w:val="31"/>
          <w:szCs w:val="31"/>
        </w:rPr>
        <w:t>其他人员经费1026799元、公用经费370659元、业务性专项0元</w:t>
      </w:r>
      <w:r>
        <w:rPr>
          <w:rFonts w:hint="eastAsia" w:ascii="仿宋_GB2312" w:hAnsi="helvetica" w:eastAsia="仿宋_GB2312" w:cs="仿宋_GB2312"/>
          <w:i w:val="0"/>
          <w:iCs w:val="0"/>
          <w:caps w:val="0"/>
          <w:color w:val="000000"/>
          <w:spacing w:val="0"/>
          <w:sz w:val="31"/>
          <w:szCs w:val="31"/>
          <w:lang w:eastAsia="zh-CN"/>
        </w:rPr>
        <w:t>等</w:t>
      </w:r>
      <w:r>
        <w:rPr>
          <w:rFonts w:hint="eastAsia" w:ascii="仿宋_GB2312" w:hAnsi="helvetica" w:eastAsia="仿宋_GB2312" w:cs="仿宋_GB2312"/>
          <w:i w:val="0"/>
          <w:iCs w:val="0"/>
          <w:caps w:val="0"/>
          <w:color w:val="000000"/>
          <w:spacing w:val="0"/>
          <w:sz w:val="31"/>
          <w:szCs w:val="31"/>
        </w:rPr>
        <w:t>。</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2.项目支出：2021年初预算数为300000元，是指单位为完成特定行政工作任务或事业发展目标而发生的支出，包括有关事业发展专项、基本建设支出、资本性支出等 。其中：县级招商引资专项资金300000元。主要用于招商引资差旅费、接待费、业务宣传资料费。</w:t>
      </w:r>
    </w:p>
    <w:p>
      <w:pPr>
        <w:pStyle w:val="2"/>
        <w:keepNext w:val="0"/>
        <w:keepLines w:val="0"/>
        <w:widowControl/>
        <w:suppressLineNumbers w:val="0"/>
        <w:spacing w:before="75" w:beforeAutospacing="0" w:after="75" w:afterAutospacing="0" w:line="555" w:lineRule="atLeast"/>
        <w:ind w:left="0" w:right="0" w:firstLine="0"/>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三）预算收支增减变化情况说明：2021年度本单位年初预算数为3116964元，比上年增加85407元，主要原因是增加项目支出300000元（县级招商引资专项资金）基本支出减少214593元。（新进及退休人员工资级差减少工资福利支出208058元，商品和服务支出减少45486元、对个人和家庭的生活补助增38951元。）</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四、其他重要事项情况说明</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（一）机关运行经费： 本部门年初预算机关运行经费(商品和服务支出+业务性专项)共安排370659元，比上年度预算减少45486元。减少原因为压缩经费开支。</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（二)政府采购预算</w:t>
      </w:r>
      <w:r>
        <w:rPr>
          <w:rFonts w:ascii="楷体_GB2312" w:hAnsi="helvetica" w:eastAsia="楷体_GB2312" w:cs="楷体_GB2312"/>
          <w:i w:val="0"/>
          <w:iCs w:val="0"/>
          <w:caps w:val="0"/>
          <w:color w:val="000000"/>
          <w:spacing w:val="0"/>
          <w:sz w:val="31"/>
          <w:szCs w:val="31"/>
        </w:rPr>
        <w:t>：</w:t>
      </w:r>
      <w:r>
        <w:rPr>
          <w:rFonts w:hint="eastAsia" w:ascii="仿宋_GB2312" w:hAnsi="helvetica" w:eastAsia="仿宋_GB2312" w:cs="仿宋_GB2312"/>
          <w:i w:val="0"/>
          <w:iCs w:val="0"/>
          <w:caps w:val="0"/>
          <w:color w:val="000000"/>
          <w:spacing w:val="0"/>
          <w:sz w:val="31"/>
          <w:szCs w:val="31"/>
        </w:rPr>
        <w:t>2021年年初预算数为40000元。</w:t>
      </w:r>
      <w:r>
        <w:rPr>
          <w:rFonts w:hint="eastAsia" w:ascii="仿宋_GB2312" w:hAnsi="helvetica" w:eastAsia="仿宋_GB2312" w:cs="仿宋_GB2312"/>
          <w:i w:val="0"/>
          <w:iCs w:val="0"/>
          <w:caps w:val="0"/>
          <w:color w:val="000000"/>
          <w:spacing w:val="0"/>
          <w:sz w:val="31"/>
          <w:szCs w:val="31"/>
          <w:lang w:eastAsia="zh-CN"/>
        </w:rPr>
        <w:t>其中：货物类</w:t>
      </w:r>
      <w:r>
        <w:rPr>
          <w:rFonts w:hint="eastAsia" w:ascii="仿宋_GB2312" w:hAnsi="helvetica" w:eastAsia="仿宋_GB2312" w:cs="仿宋_GB2312"/>
          <w:i w:val="0"/>
          <w:iCs w:val="0"/>
          <w:caps w:val="0"/>
          <w:color w:val="000000"/>
          <w:spacing w:val="0"/>
          <w:sz w:val="31"/>
          <w:szCs w:val="31"/>
          <w:lang w:val="en-US" w:eastAsia="zh-CN"/>
        </w:rPr>
        <w:t>40000元、工程类0元、服务类0元。</w:t>
      </w:r>
      <w:r>
        <w:rPr>
          <w:rFonts w:hint="eastAsia" w:ascii="仿宋_GB2312" w:hAnsi="helvetica" w:eastAsia="仿宋_GB2312" w:cs="仿宋_GB2312"/>
          <w:i w:val="0"/>
          <w:iCs w:val="0"/>
          <w:caps w:val="0"/>
          <w:color w:val="000000"/>
          <w:spacing w:val="0"/>
          <w:sz w:val="31"/>
          <w:szCs w:val="31"/>
        </w:rPr>
        <w:t>包含：台式计算机5台20000元、其他打印设备10000元、复印纸5000元、其他办公文具5000元。</w:t>
      </w:r>
    </w:p>
    <w:p>
      <w:pPr>
        <w:pStyle w:val="2"/>
        <w:keepNext w:val="0"/>
        <w:keepLines w:val="0"/>
        <w:widowControl/>
        <w:suppressLineNumbers w:val="0"/>
        <w:spacing w:before="75" w:beforeAutospacing="0" w:after="75" w:afterAutospacing="0" w:line="555" w:lineRule="atLeast"/>
        <w:ind w:left="0" w:right="0" w:firstLine="0"/>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    （三）国有资产占有情况说明</w:t>
      </w:r>
      <w:r>
        <w:rPr>
          <w:rFonts w:hint="default" w:ascii="楷体_GB2312" w:hAnsi="helvetica" w:eastAsia="楷体_GB2312" w:cs="楷体_GB2312"/>
          <w:i w:val="0"/>
          <w:iCs w:val="0"/>
          <w:caps w:val="0"/>
          <w:color w:val="000000"/>
          <w:spacing w:val="0"/>
          <w:sz w:val="31"/>
          <w:szCs w:val="31"/>
        </w:rPr>
        <w:t>：</w:t>
      </w:r>
      <w:r>
        <w:rPr>
          <w:rFonts w:hint="eastAsia" w:ascii="仿宋_GB2312" w:hAnsi="helvetica" w:eastAsia="仿宋_GB2312" w:cs="仿宋_GB2312"/>
          <w:i w:val="0"/>
          <w:iCs w:val="0"/>
          <w:caps w:val="0"/>
          <w:color w:val="000000"/>
          <w:spacing w:val="0"/>
          <w:sz w:val="31"/>
          <w:szCs w:val="31"/>
        </w:rPr>
        <w:t>截止202</w:t>
      </w:r>
      <w:r>
        <w:rPr>
          <w:rFonts w:hint="eastAsia" w:ascii="仿宋_GB2312" w:hAnsi="helvetica" w:eastAsia="仿宋_GB2312" w:cs="仿宋_GB2312"/>
          <w:i w:val="0"/>
          <w:iCs w:val="0"/>
          <w:caps w:val="0"/>
          <w:color w:val="000000"/>
          <w:spacing w:val="0"/>
          <w:sz w:val="31"/>
          <w:szCs w:val="31"/>
          <w:lang w:val="en-US" w:eastAsia="zh-CN"/>
        </w:rPr>
        <w:t>0</w:t>
      </w:r>
      <w:r>
        <w:rPr>
          <w:rFonts w:hint="eastAsia" w:ascii="仿宋_GB2312" w:hAnsi="helvetica" w:eastAsia="仿宋_GB2312" w:cs="仿宋_GB2312"/>
          <w:i w:val="0"/>
          <w:iCs w:val="0"/>
          <w:caps w:val="0"/>
          <w:color w:val="000000"/>
          <w:spacing w:val="0"/>
          <w:sz w:val="31"/>
          <w:szCs w:val="31"/>
        </w:rPr>
        <w:t>年12月31日，本部门共有办公及业务用房 6687.6平方米；车辆 1 辆，其中一般公务用车 1 辆、一般执法执勤用车0两、特种专业技术用车0辆、货币化用车0辆、其他用车0辆；单位价值50万以上大型设备 0 套。2021年部门预算安排购置车辆0辆，预算安排购置价值50万元以上大型设备0套。</w:t>
      </w:r>
    </w:p>
    <w:p>
      <w:pPr>
        <w:pStyle w:val="2"/>
        <w:keepNext w:val="0"/>
        <w:keepLines w:val="0"/>
        <w:widowControl/>
        <w:suppressLineNumbers w:val="0"/>
        <w:spacing w:before="75" w:beforeAutospacing="0" w:after="75" w:afterAutospacing="0" w:line="555" w:lineRule="atLeast"/>
        <w:ind w:left="0" w:right="0" w:firstLine="0"/>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    （四）</w:t>
      </w:r>
      <w:r>
        <w:rPr>
          <w:rFonts w:ascii="Times New Roman" w:hAnsi="Times New Roman" w:eastAsia="楷体_GB2312"/>
          <w:bCs/>
          <w:sz w:val="32"/>
          <w:szCs w:val="32"/>
        </w:rPr>
        <w:t>重点项目预算的绩效目标等情况</w:t>
      </w:r>
      <w:r>
        <w:rPr>
          <w:rFonts w:hint="eastAsia" w:ascii="楷体_GB2312" w:eastAsia="楷体_GB2312"/>
          <w:bCs/>
          <w:color w:val="auto"/>
          <w:sz w:val="32"/>
          <w:szCs w:val="32"/>
        </w:rPr>
        <w:t>：</w:t>
      </w:r>
      <w:r>
        <w:rPr>
          <w:rFonts w:hint="eastAsia" w:ascii="仿宋_GB2312" w:hAnsi="helvetica" w:eastAsia="仿宋_GB2312" w:cs="仿宋_GB2312"/>
          <w:i w:val="0"/>
          <w:iCs w:val="0"/>
          <w:caps w:val="0"/>
          <w:color w:val="000000"/>
          <w:spacing w:val="0"/>
          <w:sz w:val="31"/>
          <w:szCs w:val="31"/>
        </w:rPr>
        <w:t>本部门整体支出和项目支出实行绩效目标管理，纳入2021年部门整体支出绩效目标的金额为 3116964元。其中：基本支出 2816964元，项目支出300000元。（具体目标详见附表）。</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（五）</w:t>
      </w:r>
      <w:r>
        <w:rPr>
          <w:rFonts w:ascii="Times New Roman" w:hAnsi="Times New Roman" w:eastAsia="楷体_GB2312"/>
          <w:bCs/>
          <w:sz w:val="32"/>
          <w:szCs w:val="32"/>
        </w:rPr>
        <w:t>一般公共预算“三公”经费情况</w:t>
      </w:r>
      <w:r>
        <w:rPr>
          <w:rFonts w:hint="eastAsia" w:ascii="Times New Roman" w:hAnsi="Times New Roman" w:eastAsia="楷体_GB2312"/>
          <w:bCs/>
          <w:sz w:val="32"/>
          <w:szCs w:val="32"/>
          <w:lang w:val="en-US" w:eastAsia="zh-CN"/>
        </w:rPr>
        <w:t>:</w:t>
      </w:r>
      <w:r>
        <w:rPr>
          <w:rFonts w:hint="eastAsia" w:ascii="仿宋_GB2312" w:hAnsi="helvetica" w:eastAsia="仿宋_GB2312" w:cs="仿宋_GB2312"/>
          <w:i w:val="0"/>
          <w:iCs w:val="0"/>
          <w:caps w:val="0"/>
          <w:color w:val="000000"/>
          <w:spacing w:val="0"/>
          <w:sz w:val="31"/>
          <w:szCs w:val="31"/>
        </w:rPr>
        <w:t>2021年“三公”经费预算数4000元，其中：公务接待费4000元、公务用车运行维护费0元、因公出国（境）费0元。2021年“三公”经费预算数比2020年减少16000元，主要是因为公务用车运行维护费16000元改由国资股统一做预算。</w:t>
      </w:r>
    </w:p>
    <w:p>
      <w:pPr>
        <w:pStyle w:val="2"/>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（六）会议费、培训费预算：2021年预算安排会议费0元。2021年预算安排培训费0元。</w:t>
      </w:r>
    </w:p>
    <w:p>
      <w:pPr>
        <w:pStyle w:val="2"/>
        <w:keepNext w:val="0"/>
        <w:keepLines w:val="0"/>
        <w:widowControl/>
        <w:suppressLineNumbers w:val="0"/>
        <w:spacing w:before="75" w:beforeAutospacing="0" w:after="75" w:afterAutospacing="0" w:line="555" w:lineRule="atLeast"/>
        <w:ind w:left="0" w:right="0" w:firstLine="660"/>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（七）其他事项：本单位2021年预算未安排政府购买服务、未安排政府性基金收支预算、未安排纳入专户管理的非税收入收支预算。</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五、名词解释</w:t>
      </w:r>
    </w:p>
    <w:p>
      <w:pPr>
        <w:pStyle w:val="2"/>
        <w:keepNext w:val="0"/>
        <w:keepLines w:val="0"/>
        <w:widowControl/>
        <w:suppressLineNumbers w:val="0"/>
        <w:spacing w:before="75" w:beforeAutospacing="0" w:after="75" w:afterAutospacing="0" w:line="540" w:lineRule="atLeast"/>
        <w:ind w:left="0" w:right="0" w:firstLine="645"/>
        <w:rPr>
          <w:rFonts w:ascii="helvetica" w:hAnsi="helvetica" w:eastAsia="helvetica" w:cs="helvetica"/>
          <w:i w:val="0"/>
          <w:iCs w:val="0"/>
          <w:caps w:val="0"/>
          <w:color w:val="000000"/>
          <w:spacing w:val="0"/>
          <w:sz w:val="21"/>
          <w:szCs w:val="21"/>
        </w:rPr>
      </w:pPr>
      <w:r>
        <w:rPr>
          <w:rStyle w:val="5"/>
          <w:rFonts w:ascii="仿宋_GB2312" w:hAnsi="helvetica" w:eastAsia="仿宋_GB2312" w:cs="仿宋_GB2312"/>
          <w:i w:val="0"/>
          <w:iCs w:val="0"/>
          <w:caps w:val="0"/>
          <w:color w:val="000000"/>
          <w:spacing w:val="0"/>
          <w:sz w:val="31"/>
          <w:szCs w:val="31"/>
        </w:rPr>
        <w:t>（一）一般公共预算:</w:t>
      </w:r>
      <w:r>
        <w:rPr>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（二）政府性基金预算:</w:t>
      </w:r>
      <w:r>
        <w:rPr>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（三）国有资本经营预算:</w:t>
      </w:r>
      <w:r>
        <w:rPr>
          <w:rStyle w:val="5"/>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是对国有资本收益作出支出安排的收支预算。应当按照收支平衡的原则编制，不列赤字，并安排资金调入一般公共预算。</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（四）社会保险基金预算:</w:t>
      </w:r>
      <w:r>
        <w:rPr>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是对社会保险缴款、一般公共预算安排和其他方式筹集的资金，专项用于社会保险的收支预算。应当按照统筹层次和社会保险项目分别编制，做到收支平衡。</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（五）基本支出：</w:t>
      </w:r>
      <w:r>
        <w:rPr>
          <w:rFonts w:hint="eastAsia" w:ascii="仿宋_GB2312" w:hAnsi="helvetica" w:eastAsia="仿宋_GB2312" w:cs="仿宋_GB2312"/>
          <w:i w:val="0"/>
          <w:iCs w:val="0"/>
          <w:caps w:val="0"/>
          <w:color w:val="000000"/>
          <w:spacing w:val="0"/>
          <w:sz w:val="31"/>
          <w:szCs w:val="31"/>
        </w:rPr>
        <w:t>指为保障机构正常运转、完成日常工作任务而发生的人员支出和公用支出。</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（六）项目支出：</w:t>
      </w:r>
      <w:r>
        <w:rPr>
          <w:rFonts w:hint="eastAsia" w:ascii="仿宋_GB2312" w:hAnsi="helvetica" w:eastAsia="仿宋_GB2312" w:cs="仿宋_GB2312"/>
          <w:i w:val="0"/>
          <w:iCs w:val="0"/>
          <w:caps w:val="0"/>
          <w:color w:val="000000"/>
          <w:spacing w:val="0"/>
          <w:sz w:val="31"/>
          <w:szCs w:val="31"/>
        </w:rPr>
        <w:t>指在基本支出之外为完成特定行政任务和事业发展目标所发生的支出。</w:t>
      </w:r>
    </w:p>
    <w:p>
      <w:pPr>
        <w:pStyle w:val="2"/>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5"/>
          <w:rFonts w:hint="eastAsia" w:ascii="仿宋_GB2312" w:hAnsi="helvetica" w:eastAsia="仿宋_GB2312" w:cs="仿宋_GB2312"/>
          <w:i w:val="0"/>
          <w:iCs w:val="0"/>
          <w:caps w:val="0"/>
          <w:color w:val="000000"/>
          <w:spacing w:val="0"/>
          <w:sz w:val="31"/>
          <w:szCs w:val="31"/>
        </w:rPr>
        <w:t>（七）“三公”经费：</w:t>
      </w:r>
      <w:r>
        <w:rPr>
          <w:rFonts w:hint="eastAsia" w:ascii="仿宋_GB2312" w:hAnsi="helvetica" w:eastAsia="仿宋_GB2312" w:cs="仿宋_GB2312"/>
          <w:i w:val="0"/>
          <w:iCs w:val="0"/>
          <w:caps w:val="0"/>
          <w:color w:val="000000"/>
          <w:spacing w:val="0"/>
          <w:sz w:val="31"/>
          <w:szCs w:val="31"/>
        </w:rPr>
        <w:t>是指商品和服务支出中的因公出国（境）费用、公务用车购置及运行维护费和公务接待费。</w:t>
      </w:r>
      <w:r>
        <w:rPr>
          <w:rFonts w:hint="eastAsia" w:ascii="仿宋_GB2312" w:hAnsi="helvetica" w:eastAsia="仿宋_GB2312" w:cs="仿宋_GB2312"/>
          <w:i w:val="0"/>
          <w:iCs w:val="0"/>
          <w:caps w:val="0"/>
          <w:color w:val="000000"/>
          <w:spacing w:val="0"/>
          <w:sz w:val="31"/>
          <w:szCs w:val="31"/>
        </w:rPr>
        <w:br w:type="textWrapping"/>
      </w:r>
      <w:r>
        <w:rPr>
          <w:rFonts w:hint="default" w:ascii="helvetica" w:hAnsi="helvetica" w:eastAsia="helvetica" w:cs="helvetica"/>
          <w:i w:val="0"/>
          <w:iCs w:val="0"/>
          <w:caps w:val="0"/>
          <w:color w:val="000000"/>
          <w:spacing w:val="0"/>
          <w:sz w:val="31"/>
          <w:szCs w:val="31"/>
        </w:rPr>
        <w:t>     </w:t>
      </w:r>
      <w:r>
        <w:rPr>
          <w:rStyle w:val="5"/>
          <w:rFonts w:hint="eastAsia" w:ascii="仿宋_GB2312" w:hAnsi="helvetica" w:eastAsia="仿宋_GB2312" w:cs="仿宋_GB2312"/>
          <w:i w:val="0"/>
          <w:iCs w:val="0"/>
          <w:caps w:val="0"/>
          <w:color w:val="000000"/>
          <w:spacing w:val="0"/>
          <w:sz w:val="31"/>
          <w:szCs w:val="31"/>
        </w:rPr>
        <w:t>（八）</w:t>
      </w:r>
      <w:bookmarkStart w:id="0" w:name="_GoBack"/>
      <w:bookmarkEnd w:id="0"/>
      <w:r>
        <w:rPr>
          <w:rStyle w:val="5"/>
          <w:rFonts w:hint="eastAsia" w:ascii="仿宋_GB2312" w:hAnsi="helvetica" w:eastAsia="仿宋_GB2312" w:cs="仿宋_GB2312"/>
          <w:i w:val="0"/>
          <w:iCs w:val="0"/>
          <w:caps w:val="0"/>
          <w:color w:val="000000"/>
          <w:spacing w:val="0"/>
          <w:sz w:val="31"/>
          <w:szCs w:val="31"/>
        </w:rPr>
        <w:t>机关运行经费：</w:t>
      </w:r>
      <w:r>
        <w:rPr>
          <w:rFonts w:hint="eastAsia" w:ascii="仿宋_GB2312" w:hAnsi="helvetica" w:eastAsia="仿宋_GB2312" w:cs="仿宋_GB2312"/>
          <w:i w:val="0"/>
          <w:iCs w:val="0"/>
          <w:caps w:val="0"/>
          <w:color w:val="000000"/>
          <w:spacing w:val="0"/>
          <w:sz w:val="31"/>
          <w:szCs w:val="31"/>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2"/>
        <w:keepNext w:val="0"/>
        <w:keepLines w:val="0"/>
        <w:widowControl/>
        <w:suppressLineNumbers w:val="0"/>
        <w:spacing w:before="75" w:beforeAutospacing="0" w:after="75" w:afterAutospacing="0" w:line="540" w:lineRule="atLeast"/>
        <w:ind w:left="0" w:right="0" w:firstLine="645"/>
        <w:rPr>
          <w:rFonts w:ascii="&amp;quot" w:hAnsi="&amp;quot" w:cs="宋体"/>
          <w:color w:val="auto"/>
          <w:kern w:val="0"/>
          <w:sz w:val="27"/>
          <w:szCs w:val="27"/>
        </w:rPr>
      </w:pPr>
      <w:r>
        <w:rPr>
          <w:rFonts w:hint="eastAsia" w:ascii="黑体" w:hAnsi="宋体" w:eastAsia="黑体" w:cs="黑体"/>
          <w:i w:val="0"/>
          <w:iCs w:val="0"/>
          <w:caps w:val="0"/>
          <w:color w:val="000000"/>
          <w:spacing w:val="0"/>
          <w:sz w:val="31"/>
          <w:szCs w:val="31"/>
        </w:rPr>
        <w:t>六、部门预算公开表格目录</w:t>
      </w:r>
      <w:r>
        <w:rPr>
          <w:rFonts w:hint="eastAsia" w:ascii="宋体" w:hAnsi="宋体" w:cs="宋体"/>
          <w:color w:val="auto"/>
          <w:kern w:val="0"/>
          <w:sz w:val="32"/>
          <w:szCs w:val="32"/>
        </w:rPr>
        <w:t> </w:t>
      </w:r>
    </w:p>
    <w:p>
      <w:pPr>
        <w:widowControl/>
        <w:numPr>
          <w:ilvl w:val="0"/>
          <w:numId w:val="1"/>
        </w:numPr>
        <w:spacing w:line="600" w:lineRule="atLeast"/>
        <w:ind w:firstLine="630"/>
        <w:jc w:val="left"/>
        <w:rPr>
          <w:rFonts w:hint="eastAsia" w:ascii="仿宋_GB2312" w:hAnsi="&amp;quot" w:eastAsia="仿宋_GB2312" w:cs="宋体"/>
          <w:color w:val="auto"/>
          <w:kern w:val="0"/>
          <w:sz w:val="32"/>
          <w:szCs w:val="32"/>
        </w:rPr>
      </w:pPr>
      <w:r>
        <w:rPr>
          <w:rFonts w:hint="eastAsia" w:ascii="仿宋_GB2312" w:hAnsi="&amp;quot" w:eastAsia="仿宋_GB2312" w:cs="宋体"/>
          <w:color w:val="auto"/>
          <w:kern w:val="0"/>
          <w:sz w:val="32"/>
          <w:szCs w:val="32"/>
        </w:rPr>
        <w:t>部门收支总表</w:t>
      </w:r>
    </w:p>
    <w:p>
      <w:pPr>
        <w:widowControl/>
        <w:spacing w:line="600" w:lineRule="atLeast"/>
        <w:ind w:firstLine="640" w:firstLineChars="200"/>
        <w:jc w:val="left"/>
        <w:rPr>
          <w:rFonts w:ascii="&amp;quot" w:hAnsi="&amp;quot" w:cs="宋体"/>
          <w:color w:val="auto"/>
          <w:kern w:val="0"/>
          <w:sz w:val="27"/>
          <w:szCs w:val="27"/>
        </w:rPr>
      </w:pPr>
      <w:r>
        <w:rPr>
          <w:rFonts w:hint="eastAsia" w:ascii="仿宋_GB2312" w:hAnsi="&amp;quot" w:cs="宋体"/>
          <w:color w:val="auto"/>
          <w:kern w:val="0"/>
          <w:sz w:val="32"/>
          <w:szCs w:val="32"/>
          <w:lang w:eastAsia="zh-CN"/>
        </w:rPr>
        <w:t>（二）</w:t>
      </w:r>
      <w:r>
        <w:rPr>
          <w:rFonts w:hint="eastAsia" w:ascii="仿宋_GB2312" w:hAnsi="&amp;quot" w:eastAsia="仿宋_GB2312" w:cs="宋体"/>
          <w:color w:val="auto"/>
          <w:kern w:val="0"/>
          <w:sz w:val="32"/>
          <w:szCs w:val="32"/>
        </w:rPr>
        <w:t>部门收入总表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（三）部门支出总表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（四）部门支出总表（分类）</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（五）基本支出预算明细表-工资福利支出</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（六）单位运转经费支出预算表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（七）基本支出预算明细表-对个人和家庭的补助</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（八）财政拨款收支总表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（九）一般公共预算拨款支出预算分类汇总表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（十）一般公共预算基本支出预算明细表-工资福利支出</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（十一）一般公共预算基本支出预算明细表-一般商品和服务支出</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（十二）一般公共预算基本支出预算明细表-对个人和家庭的补助</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（十三）政府性基金拨款部门支出总表(分类)</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（十四）纳入专户管理的非税收入拨款部门支出总表(分类)</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（十五）项目支出预算明细表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（十六）“三公”经费预算表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（十七）</w:t>
      </w:r>
      <w:r>
        <w:rPr>
          <w:rFonts w:hint="eastAsia" w:ascii="仿宋_GB2312" w:hAnsi="仿宋_GB2312" w:eastAsia="仿宋_GB2312" w:cs="仿宋_GB2312"/>
          <w:color w:val="auto"/>
          <w:kern w:val="0"/>
          <w:sz w:val="32"/>
          <w:szCs w:val="32"/>
          <w:lang w:val="en-US" w:eastAsia="zh-CN"/>
        </w:rPr>
        <w:t>部门</w:t>
      </w:r>
      <w:r>
        <w:rPr>
          <w:rFonts w:hint="eastAsia" w:ascii="仿宋_GB2312" w:hAnsi="仿宋_GB2312" w:eastAsia="仿宋_GB2312" w:cs="仿宋_GB2312"/>
          <w:color w:val="auto"/>
          <w:kern w:val="0"/>
          <w:sz w:val="32"/>
          <w:szCs w:val="32"/>
          <w:lang w:eastAsia="zh-CN"/>
        </w:rPr>
        <w:t>整体支出绩效</w:t>
      </w:r>
      <w:r>
        <w:rPr>
          <w:rFonts w:hint="eastAsia" w:ascii="仿宋_GB2312" w:hAnsi="仿宋_GB2312" w:eastAsia="仿宋_GB2312" w:cs="仿宋_GB2312"/>
          <w:color w:val="auto"/>
          <w:kern w:val="0"/>
          <w:sz w:val="32"/>
          <w:szCs w:val="32"/>
          <w:lang w:val="en-US" w:eastAsia="zh-CN"/>
        </w:rPr>
        <w:t>申报</w:t>
      </w:r>
      <w:r>
        <w:rPr>
          <w:rFonts w:hint="eastAsia" w:ascii="仿宋_GB2312" w:hAnsi="仿宋_GB2312" w:eastAsia="仿宋_GB2312" w:cs="仿宋_GB2312"/>
          <w:color w:val="auto"/>
          <w:kern w:val="0"/>
          <w:sz w:val="32"/>
          <w:szCs w:val="32"/>
          <w:lang w:eastAsia="zh-CN"/>
        </w:rPr>
        <w:t>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（十八）县级</w:t>
      </w:r>
      <w:r>
        <w:rPr>
          <w:rFonts w:hint="eastAsia" w:ascii="仿宋_GB2312" w:hAnsi="仿宋_GB2312" w:eastAsia="仿宋_GB2312" w:cs="仿宋_GB2312"/>
          <w:color w:val="auto"/>
          <w:kern w:val="0"/>
          <w:sz w:val="32"/>
          <w:szCs w:val="32"/>
          <w:lang w:eastAsia="zh-CN"/>
        </w:rPr>
        <w:t>专项资金预算绩效目标汇总表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（十九）县级</w:t>
      </w:r>
      <w:r>
        <w:rPr>
          <w:rFonts w:hint="eastAsia" w:ascii="仿宋_GB2312" w:hAnsi="仿宋_GB2312" w:eastAsia="仿宋_GB2312" w:cs="仿宋_GB2312"/>
          <w:color w:val="auto"/>
          <w:kern w:val="0"/>
          <w:sz w:val="32"/>
          <w:szCs w:val="32"/>
          <w:lang w:eastAsia="zh-CN"/>
        </w:rPr>
        <w:t>专项资金支出方向绩效目标表</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（二十）一般公共预算基本支出情况表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（二十一）</w:t>
      </w:r>
      <w:r>
        <w:rPr>
          <w:rFonts w:hint="eastAsia" w:ascii="仿宋_GB2312" w:hAnsi="仿宋_GB2312" w:eastAsia="仿宋_GB2312" w:cs="仿宋_GB2312"/>
          <w:color w:val="auto"/>
          <w:kern w:val="0"/>
          <w:sz w:val="32"/>
          <w:szCs w:val="32"/>
          <w:lang w:eastAsia="zh-CN"/>
        </w:rPr>
        <w:t>一般公共预算基本支出预算明细表-工资福利支出（经济性质分类款级科目）</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（二十二）</w:t>
      </w:r>
      <w:r>
        <w:rPr>
          <w:rFonts w:hint="eastAsia" w:ascii="仿宋_GB2312" w:hAnsi="仿宋_GB2312" w:eastAsia="仿宋_GB2312" w:cs="仿宋_GB2312"/>
          <w:color w:val="auto"/>
          <w:kern w:val="0"/>
          <w:sz w:val="32"/>
          <w:szCs w:val="32"/>
          <w:lang w:eastAsia="zh-CN"/>
        </w:rPr>
        <w:t>一般公共预算基本支出预算明细表-一般商品和服务支出（经济性质分类款级科目）</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（二十三）</w:t>
      </w:r>
      <w:r>
        <w:rPr>
          <w:rFonts w:hint="eastAsia" w:ascii="仿宋_GB2312" w:hAnsi="仿宋_GB2312" w:eastAsia="仿宋_GB2312" w:cs="仿宋_GB2312"/>
          <w:color w:val="auto"/>
          <w:kern w:val="0"/>
          <w:sz w:val="32"/>
          <w:szCs w:val="32"/>
          <w:lang w:eastAsia="zh-CN"/>
        </w:rPr>
        <w:t>一般公共预算基本支出预算明细表-对个人和家庭的补助（经济性质分类款级科目）</w:t>
      </w:r>
    </w:p>
    <w:p>
      <w:pPr>
        <w:rPr>
          <w:rFonts w:hint="eastAsia" w:ascii="黑体" w:hAnsi="黑体" w:eastAsia="黑体" w:cs="黑体"/>
          <w:sz w:val="32"/>
          <w:szCs w:val="32"/>
          <w:lang w:eastAsia="zh-CN"/>
        </w:rPr>
      </w:pPr>
    </w:p>
    <w:p>
      <w:pPr>
        <w:pStyle w:val="2"/>
        <w:keepNext w:val="0"/>
        <w:keepLines w:val="0"/>
        <w:widowControl/>
        <w:suppressLineNumbers w:val="0"/>
        <w:spacing w:before="75" w:beforeAutospacing="0" w:after="75" w:afterAutospacing="0" w:line="600" w:lineRule="atLeast"/>
        <w:ind w:left="0" w:right="0" w:firstLine="630"/>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七、公开表格附件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mp;quot">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AFAB0"/>
    <w:multiLevelType w:val="singleLevel"/>
    <w:tmpl w:val="F06AFA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NGE2Y2I0Y2M4ODVlOWJiYWJmNWZjMjBmNWMxNmUifQ=="/>
  </w:docVars>
  <w:rsids>
    <w:rsidRoot w:val="549A3D99"/>
    <w:rsid w:val="0CD31476"/>
    <w:rsid w:val="1706734A"/>
    <w:rsid w:val="1C250273"/>
    <w:rsid w:val="253B42D4"/>
    <w:rsid w:val="308732D1"/>
    <w:rsid w:val="3DE45B9B"/>
    <w:rsid w:val="43FB12A8"/>
    <w:rsid w:val="504B643C"/>
    <w:rsid w:val="549A3D99"/>
    <w:rsid w:val="55230720"/>
    <w:rsid w:val="5B6A7475"/>
    <w:rsid w:val="66921405"/>
    <w:rsid w:val="68D66149"/>
    <w:rsid w:val="6E4B4EE4"/>
    <w:rsid w:val="768371E5"/>
    <w:rsid w:val="770C040F"/>
    <w:rsid w:val="7AD70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3064</Words>
  <Characters>3309</Characters>
  <Lines>0</Lines>
  <Paragraphs>0</Paragraphs>
  <TotalTime>6</TotalTime>
  <ScaleCrop>false</ScaleCrop>
  <LinksUpToDate>false</LinksUpToDate>
  <CharactersWithSpaces>3360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2022-08-24T07:50:00Z</dcterms:created>
  <dc:creator>Administrator</dc:creator>
  <cp:lastModifiedBy>Administrator</cp:lastModifiedBy>
  <dcterms:modified xsi:type="dcterms:W3CDTF">2022-09-05T02:19:40Z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37B9501416FA4DC4B09E56115919539F</vt:lpwstr>
  </property>
</Properties>
</file>