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555" w:lineRule="atLeast"/>
        <w:ind w:left="0" w:right="0" w:firstLine="0"/>
        <w:jc w:val="center"/>
        <w:rPr>
          <w:rFonts w:ascii="helvetica" w:hAnsi="helvetica" w:eastAsia="helvetica" w:cs="helvetica"/>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43"/>
          <w:szCs w:val="43"/>
        </w:rPr>
        <w:t>炎陵县九龙工业园管理委员会</w:t>
      </w:r>
    </w:p>
    <w:p>
      <w:pPr>
        <w:pStyle w:val="2"/>
        <w:keepNext w:val="0"/>
        <w:keepLines w:val="0"/>
        <w:widowControl/>
        <w:suppressLineNumbers w:val="0"/>
        <w:spacing w:before="75" w:beforeAutospacing="0" w:after="75" w:afterAutospacing="0" w:line="555" w:lineRule="atLeast"/>
        <w:ind w:left="0" w:right="0" w:firstLine="0"/>
        <w:jc w:val="center"/>
        <w:rPr>
          <w:rFonts w:hint="default" w:ascii="helvetica" w:hAnsi="helvetica" w:eastAsia="helvetica" w:cs="helvetica"/>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2021年部门预算和“三公”经费预算说明</w:t>
      </w:r>
    </w:p>
    <w:p>
      <w:pPr>
        <w:pStyle w:val="2"/>
        <w:keepNext w:val="0"/>
        <w:keepLines w:val="0"/>
        <w:widowControl/>
        <w:suppressLineNumbers w:val="0"/>
        <w:spacing w:before="75" w:beforeAutospacing="0" w:after="75" w:afterAutospacing="0" w:line="555" w:lineRule="atLeast"/>
        <w:ind w:left="0" w:right="0" w:firstLine="0"/>
        <w:rPr>
          <w:rFonts w:hint="default" w:ascii="helvetica" w:hAnsi="helvetica" w:eastAsia="helvetica" w:cs="helvetica"/>
          <w:i w:val="0"/>
          <w:iCs w:val="0"/>
          <w:caps w:val="0"/>
          <w:color w:val="000000"/>
          <w:spacing w:val="0"/>
          <w:sz w:val="21"/>
          <w:szCs w:val="21"/>
        </w:rPr>
      </w:pPr>
      <w:r>
        <w:rPr>
          <w:rFonts w:ascii="仿宋_GB2312" w:hAnsi="helvetica"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line="555" w:lineRule="atLeast"/>
        <w:ind w:left="0" w:right="0" w:firstLine="645"/>
        <w:jc w:val="center"/>
        <w:rPr>
          <w:rFonts w:hint="default" w:ascii="helvetica" w:hAnsi="helvetica" w:eastAsia="helvetica" w:cs="helvetica"/>
          <w:i w:val="0"/>
          <w:iCs w:val="0"/>
          <w:caps w:val="0"/>
          <w:color w:val="000000"/>
          <w:spacing w:val="0"/>
          <w:sz w:val="21"/>
          <w:szCs w:val="21"/>
        </w:rPr>
      </w:pPr>
      <w:r>
        <w:rPr>
          <w:rFonts w:ascii="黑体" w:hAnsi="宋体" w:eastAsia="黑体" w:cs="黑体"/>
          <w:i w:val="0"/>
          <w:iCs w:val="0"/>
          <w:caps w:val="0"/>
          <w:color w:val="000000"/>
          <w:spacing w:val="0"/>
          <w:sz w:val="31"/>
          <w:szCs w:val="31"/>
        </w:rPr>
        <w:t>部门预算公开信息目录</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一、部门职能职责</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二、机构设置</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三、部门收支概况</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（一）收入预算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（二）支出预算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（三）预算收支增减变化情况说明</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四、其他重要事项情况说明</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（一）机关运行经费</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（二）政府采购预算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（三）国有资产占有情况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（四）重点项目预算的绩效目标等情况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仿宋_GB2312" w:eastAsia="仿宋_GB2312" w:cs="仿宋_GB2312"/>
          <w:color w:val="auto"/>
          <w:sz w:val="32"/>
          <w:szCs w:val="32"/>
        </w:rPr>
      </w:pPr>
      <w:r>
        <w:rPr>
          <w:rFonts w:hint="eastAsia" w:ascii="仿宋_GB2312" w:hAnsi="helvetica" w:eastAsia="仿宋_GB2312" w:cs="仿宋_GB2312"/>
          <w:i w:val="0"/>
          <w:iCs w:val="0"/>
          <w:caps w:val="0"/>
          <w:color w:val="000000"/>
          <w:spacing w:val="0"/>
          <w:kern w:val="0"/>
          <w:sz w:val="31"/>
          <w:szCs w:val="31"/>
          <w:lang w:val="en-US" w:eastAsia="zh-CN" w:bidi="ar"/>
        </w:rPr>
        <w:t>（五）一般公共预算“三公”经费情况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六</w:t>
      </w:r>
      <w:r>
        <w:rPr>
          <w:rFonts w:hint="eastAsia" w:ascii="仿宋_GB2312" w:hAnsi="仿宋_GB2312" w:eastAsia="仿宋_GB2312" w:cs="仿宋_GB2312"/>
          <w:color w:val="auto"/>
          <w:sz w:val="32"/>
          <w:szCs w:val="32"/>
        </w:rPr>
        <w:t>）会议费、培训费</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七</w:t>
      </w:r>
      <w:r>
        <w:rPr>
          <w:rFonts w:hint="eastAsia" w:ascii="仿宋_GB2312" w:hAnsi="仿宋_GB2312" w:eastAsia="仿宋_GB2312" w:cs="仿宋_GB2312"/>
          <w:color w:val="auto"/>
          <w:sz w:val="32"/>
          <w:szCs w:val="32"/>
        </w:rPr>
        <w:t>）其他事项</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五、名词解释</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六、部门预算公开表格目录</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七、公开表格附件</w:t>
      </w:r>
    </w:p>
    <w:p>
      <w:pPr>
        <w:pStyle w:val="2"/>
        <w:keepNext w:val="0"/>
        <w:keepLines w:val="0"/>
        <w:widowControl/>
        <w:suppressLineNumbers w:val="0"/>
        <w:spacing w:before="75" w:beforeAutospacing="0" w:after="75" w:afterAutospacing="0" w:line="540" w:lineRule="atLeast"/>
        <w:ind w:left="0" w:right="0" w:firstLine="0"/>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一、 部门职能职责</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炎陵县九龙工业园管理委员会是炎陵县委县、县政府派出机构，主要职责具体包括：认真贯彻执行党和国家的各项方针、政策；促进园区工业及经济发展，工业园内建设管理、招商引资、落户企业管理、建立并实施工业园区管理制度，承办县委、县政府交办的其他事项。</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二、机构设置</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 本部门共有编制人数27人，实有人数22人。内设科室6个，分别为：党政办、财政金融科、企业服务科、招商产业科、规划建设科及九龙社会事务管理局。</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三、部门收支概况</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2021年部门预算编报范围只包括局机关，无所属二级预算单位</w:t>
      </w:r>
      <w:r>
        <w:rPr>
          <w:rFonts w:hint="eastAsia" w:ascii="仿宋_GB2312" w:hAnsi="helvetica" w:eastAsia="仿宋_GB2312" w:cs="仿宋_GB2312"/>
          <w:i w:val="0"/>
          <w:iCs w:val="0"/>
          <w:caps w:val="0"/>
          <w:color w:val="333333"/>
          <w:spacing w:val="0"/>
          <w:sz w:val="31"/>
          <w:szCs w:val="31"/>
          <w:shd w:val="clear" w:fill="FFFFFF"/>
        </w:rPr>
        <w:t>。</w:t>
      </w:r>
      <w:r>
        <w:rPr>
          <w:rFonts w:hint="eastAsia" w:ascii="仿宋_GB2312" w:hAnsi="helvetica" w:eastAsia="仿宋_GB2312" w:cs="仿宋_GB2312"/>
          <w:i w:val="0"/>
          <w:iCs w:val="0"/>
          <w:caps w:val="0"/>
          <w:color w:val="000000"/>
          <w:spacing w:val="0"/>
          <w:sz w:val="31"/>
          <w:szCs w:val="31"/>
        </w:rPr>
        <w:t>收入包括一般公共预算收入，支出包括基本支出和项目支出。</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本部门无下属预算单位。</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ascii="楷体_GB2312" w:hAnsi="helvetica" w:eastAsia="楷体_GB2312" w:cs="楷体_GB2312"/>
          <w:i w:val="0"/>
          <w:iCs w:val="0"/>
          <w:caps w:val="0"/>
          <w:color w:val="000000"/>
          <w:spacing w:val="0"/>
          <w:sz w:val="31"/>
          <w:szCs w:val="31"/>
        </w:rPr>
        <w:t>（一）</w:t>
      </w:r>
      <w:r>
        <w:rPr>
          <w:rFonts w:hint="default" w:ascii="楷体_GB2312" w:hAnsi="helvetica" w:eastAsia="楷体_GB2312" w:cs="楷体_GB2312"/>
          <w:i w:val="0"/>
          <w:iCs w:val="0"/>
          <w:caps w:val="0"/>
          <w:color w:val="000000"/>
          <w:spacing w:val="0"/>
          <w:sz w:val="31"/>
          <w:szCs w:val="31"/>
        </w:rPr>
        <w:t>收入预算：</w:t>
      </w:r>
      <w:r>
        <w:rPr>
          <w:rFonts w:hint="eastAsia" w:ascii="仿宋_GB2312" w:hAnsi="helvetica" w:eastAsia="仿宋_GB2312" w:cs="仿宋_GB2312"/>
          <w:i w:val="0"/>
          <w:iCs w:val="0"/>
          <w:caps w:val="0"/>
          <w:color w:val="000000"/>
          <w:spacing w:val="0"/>
          <w:sz w:val="31"/>
          <w:szCs w:val="31"/>
        </w:rPr>
        <w:t>2021年年初预算数2538210元，其中，一般公共预算拨款2538210元；政府性基金拨款0元；财政专户管理的非税收入拨款0元；其他收入0元；上年结转0元。</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（二）支出预算：</w:t>
      </w:r>
      <w:r>
        <w:rPr>
          <w:rFonts w:hint="eastAsia" w:ascii="仿宋_GB2312" w:hAnsi="helvetica" w:eastAsia="仿宋_GB2312" w:cs="仿宋_GB2312"/>
          <w:i w:val="0"/>
          <w:iCs w:val="0"/>
          <w:caps w:val="0"/>
          <w:color w:val="000000"/>
          <w:spacing w:val="0"/>
          <w:sz w:val="31"/>
          <w:szCs w:val="31"/>
        </w:rPr>
        <w:t>2021年年初预算数2538210元，其中，一般公共服务支出2538210元，公共安全0元，教育0元，科学技术0元。</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具体安排如下：</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1.基本支出：</w:t>
      </w:r>
      <w:r>
        <w:rPr>
          <w:rFonts w:hint="eastAsia" w:ascii="仿宋_GB2312" w:hAnsi="helvetica" w:eastAsia="仿宋_GB2312" w:cs="仿宋_GB2312"/>
          <w:i w:val="0"/>
          <w:iCs w:val="0"/>
          <w:caps w:val="0"/>
          <w:color w:val="000000"/>
          <w:spacing w:val="0"/>
          <w:sz w:val="31"/>
          <w:szCs w:val="31"/>
        </w:rPr>
        <w:t>2021年年初预算数为2538210元，是指为保障单位机构正常运转、完成日常工作任务而发生的各项支出，包括用于基本工资、津贴补贴等人员经费以及日常公用经费、业务性商品和服务支出。其中包括基本工资839052元、津贴补贴494292元、奖金110707元、其他人员经费745671元、公用经费348488元、业务性专项0元等。</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2.项目支出：</w:t>
      </w:r>
      <w:r>
        <w:rPr>
          <w:rFonts w:hint="eastAsia" w:ascii="仿宋_GB2312" w:hAnsi="helvetica" w:eastAsia="仿宋_GB2312" w:cs="仿宋_GB2312"/>
          <w:i w:val="0"/>
          <w:iCs w:val="0"/>
          <w:caps w:val="0"/>
          <w:color w:val="000000"/>
          <w:spacing w:val="0"/>
          <w:sz w:val="31"/>
          <w:szCs w:val="31"/>
        </w:rPr>
        <w:t>2021年年初预算数为0元，是指单位为完成特定行政工作任务或事业发展目标而发生的支出，包括有关事业发展专项、基本建设支出、资本性支出等。</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（三）预算收支增减变化情况说明：</w:t>
      </w:r>
      <w:r>
        <w:rPr>
          <w:rFonts w:hint="eastAsia" w:ascii="仿宋_GB2312" w:hAnsi="helvetica" w:eastAsia="仿宋_GB2312" w:cs="仿宋_GB2312"/>
          <w:i w:val="0"/>
          <w:iCs w:val="0"/>
          <w:caps w:val="0"/>
          <w:color w:val="000000"/>
          <w:spacing w:val="0"/>
          <w:sz w:val="31"/>
          <w:szCs w:val="31"/>
        </w:rPr>
        <w:t>2021年度本单位年初预算数为2538210元，比上年减少315285元，主要原因是人员减少，造成人员经费和运转经费下降。</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四、其他重要事项情况说明</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（一）机关运行经费：</w:t>
      </w:r>
      <w:r>
        <w:rPr>
          <w:rFonts w:hint="eastAsia" w:ascii="仿宋_GB2312" w:hAnsi="helvetica" w:eastAsia="仿宋_GB2312" w:cs="仿宋_GB2312"/>
          <w:i w:val="0"/>
          <w:iCs w:val="0"/>
          <w:caps w:val="0"/>
          <w:color w:val="000000"/>
          <w:spacing w:val="0"/>
          <w:sz w:val="31"/>
          <w:szCs w:val="31"/>
        </w:rPr>
        <w:t>本部门2021年年初预算机关运行经费(商品和服务支出+业务性专项)共安排348488元，比上年度预算减少68709元，减少的主要原因是：年初预算机关运行经费压减。</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（二)政府采购预算：2021</w:t>
      </w:r>
      <w:r>
        <w:rPr>
          <w:rFonts w:hint="eastAsia" w:ascii="仿宋_GB2312" w:hAnsi="helvetica" w:eastAsia="仿宋_GB2312" w:cs="仿宋_GB2312"/>
          <w:i w:val="0"/>
          <w:iCs w:val="0"/>
          <w:caps w:val="0"/>
          <w:color w:val="000000"/>
          <w:spacing w:val="0"/>
          <w:sz w:val="31"/>
          <w:szCs w:val="31"/>
        </w:rPr>
        <w:t>年年初预算数为65300元。</w:t>
      </w:r>
      <w:r>
        <w:rPr>
          <w:rFonts w:hint="eastAsia" w:ascii="仿宋_GB2312" w:hAnsi="helvetica" w:eastAsia="仿宋_GB2312" w:cs="仿宋_GB2312"/>
          <w:i w:val="0"/>
          <w:iCs w:val="0"/>
          <w:caps w:val="0"/>
          <w:color w:val="000000"/>
          <w:spacing w:val="0"/>
          <w:sz w:val="31"/>
          <w:szCs w:val="31"/>
          <w:lang w:eastAsia="zh-CN"/>
        </w:rPr>
        <w:t>其中：货物类</w:t>
      </w:r>
      <w:r>
        <w:rPr>
          <w:rFonts w:hint="eastAsia" w:ascii="仿宋_GB2312" w:hAnsi="helvetica" w:eastAsia="仿宋_GB2312" w:cs="仿宋_GB2312"/>
          <w:i w:val="0"/>
          <w:iCs w:val="0"/>
          <w:caps w:val="0"/>
          <w:color w:val="000000"/>
          <w:spacing w:val="0"/>
          <w:sz w:val="31"/>
          <w:szCs w:val="31"/>
          <w:lang w:val="en-US" w:eastAsia="zh-CN"/>
        </w:rPr>
        <w:t>65300元、工程类0元、服务类0元。</w:t>
      </w:r>
      <w:r>
        <w:rPr>
          <w:rFonts w:hint="eastAsia" w:ascii="仿宋_GB2312" w:hAnsi="helvetica" w:eastAsia="仿宋_GB2312" w:cs="仿宋_GB2312"/>
          <w:i w:val="0"/>
          <w:iCs w:val="0"/>
          <w:caps w:val="0"/>
          <w:color w:val="000000"/>
          <w:spacing w:val="0"/>
          <w:sz w:val="31"/>
          <w:szCs w:val="31"/>
        </w:rPr>
        <w:t>包含：台式电脑8台36000元、木制台、桌类5台10000元、木骨架为主的椅凳类10把2500</w:t>
      </w:r>
      <w:r>
        <w:rPr>
          <w:rFonts w:hint="eastAsia" w:ascii="仿宋_GB2312" w:hAnsi="helvetica" w:eastAsia="仿宋_GB2312" w:cs="仿宋_GB2312"/>
          <w:i w:val="0"/>
          <w:iCs w:val="0"/>
          <w:caps w:val="0"/>
          <w:color w:val="000000"/>
          <w:spacing w:val="0"/>
          <w:sz w:val="31"/>
          <w:szCs w:val="31"/>
          <w:lang w:eastAsia="zh-CN"/>
        </w:rPr>
        <w:t>元</w:t>
      </w:r>
      <w:bookmarkStart w:id="0" w:name="_GoBack"/>
      <w:bookmarkEnd w:id="0"/>
      <w:r>
        <w:rPr>
          <w:rFonts w:hint="eastAsia" w:ascii="仿宋_GB2312" w:hAnsi="helvetica" w:eastAsia="仿宋_GB2312" w:cs="仿宋_GB2312"/>
          <w:i w:val="0"/>
          <w:iCs w:val="0"/>
          <w:caps w:val="0"/>
          <w:color w:val="000000"/>
          <w:spacing w:val="0"/>
          <w:sz w:val="31"/>
          <w:szCs w:val="31"/>
        </w:rPr>
        <w:t>、鼓粉盒25个6000元、木骨架沙发类5套6000元、复印纸20箱4800元。</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（三）国有资产占有情况：</w:t>
      </w:r>
      <w:r>
        <w:rPr>
          <w:rFonts w:hint="eastAsia" w:ascii="仿宋_GB2312" w:hAnsi="helvetica" w:eastAsia="仿宋_GB2312" w:cs="仿宋_GB2312"/>
          <w:i w:val="0"/>
          <w:iCs w:val="0"/>
          <w:caps w:val="0"/>
          <w:color w:val="000000"/>
          <w:spacing w:val="0"/>
          <w:sz w:val="31"/>
          <w:szCs w:val="31"/>
        </w:rPr>
        <w:t>截止2020年12月31日，本部门共有办公及业务用房0平方米；车辆0辆，其中一般公务用车0辆、一般执法执勤用车0辆、特种专业技术用车0辆、货币化用车0辆、其他用车0辆；单位价值50万以上大型设备0套。2021年部门预算安排购置车辆0辆，预算安排购置价值50万以上大型设备0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（四）</w:t>
      </w:r>
      <w:r>
        <w:rPr>
          <w:rFonts w:ascii="Times New Roman" w:hAnsi="Times New Roman" w:eastAsia="楷体_GB2312"/>
          <w:bCs/>
          <w:sz w:val="32"/>
          <w:szCs w:val="32"/>
        </w:rPr>
        <w:t>重点项目预算的绩效目标等情况</w:t>
      </w:r>
      <w:r>
        <w:rPr>
          <w:rFonts w:hint="eastAsia" w:ascii="楷体_GB2312" w:eastAsia="楷体_GB2312"/>
          <w:bCs/>
          <w:color w:val="auto"/>
          <w:sz w:val="32"/>
          <w:szCs w:val="32"/>
        </w:rPr>
        <w:t>：</w:t>
      </w:r>
      <w:r>
        <w:rPr>
          <w:rFonts w:hint="eastAsia" w:ascii="仿宋_GB2312" w:hAnsi="helvetica" w:eastAsia="仿宋_GB2312" w:cs="仿宋_GB2312"/>
          <w:i w:val="0"/>
          <w:iCs w:val="0"/>
          <w:caps w:val="0"/>
          <w:color w:val="000000"/>
          <w:spacing w:val="0"/>
          <w:sz w:val="31"/>
          <w:szCs w:val="31"/>
        </w:rPr>
        <w:t>本部门整体支出和项目支出实行绩效目标管理，纳入2021年部门整体支出绩效目标的金额为2538210元，其中，基本支出2538210元，项目支出0元（具体绩效目标详见附表）。 </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（五）</w:t>
      </w:r>
      <w:r>
        <w:rPr>
          <w:rFonts w:ascii="Times New Roman" w:hAnsi="Times New Roman" w:eastAsia="楷体_GB2312"/>
          <w:bCs/>
          <w:sz w:val="32"/>
          <w:szCs w:val="32"/>
        </w:rPr>
        <w:t>一般公共预算“三公”经费情况</w:t>
      </w:r>
      <w:r>
        <w:rPr>
          <w:rFonts w:hint="eastAsia" w:ascii="Times New Roman" w:hAnsi="Times New Roman" w:eastAsia="楷体_GB2312"/>
          <w:bCs/>
          <w:sz w:val="32"/>
          <w:szCs w:val="32"/>
          <w:lang w:val="en-US" w:eastAsia="zh-CN"/>
        </w:rPr>
        <w:t>:</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2021年“三公”经费预算数20000元，其中：公务接待费20000元、公务用车购置费0元，公务用车运行费0元、因公出国（境）费0元。2021年公务用车购置数0台</w:t>
      </w:r>
      <w:r>
        <w:rPr>
          <w:rStyle w:val="5"/>
          <w:rFonts w:hint="eastAsia" w:ascii="仿宋_GB2312" w:hAnsi="helvetica" w:eastAsia="仿宋_GB2312" w:cs="仿宋_GB2312"/>
          <w:i w:val="0"/>
          <w:iCs w:val="0"/>
          <w:caps w:val="0"/>
          <w:color w:val="000000"/>
          <w:spacing w:val="0"/>
          <w:sz w:val="31"/>
          <w:szCs w:val="31"/>
        </w:rPr>
        <w:t>。</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2021年“三公”经费预算数与2020年持平。</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（六）会议费、培训费预算：</w:t>
      </w:r>
      <w:r>
        <w:rPr>
          <w:rFonts w:hint="eastAsia" w:ascii="仿宋_GB2312" w:hAnsi="helvetica" w:eastAsia="仿宋_GB2312" w:cs="仿宋_GB2312"/>
          <w:i w:val="0"/>
          <w:iCs w:val="0"/>
          <w:caps w:val="0"/>
          <w:color w:val="000000"/>
          <w:spacing w:val="0"/>
          <w:sz w:val="31"/>
          <w:szCs w:val="31"/>
        </w:rPr>
        <w:t>2021年预算安排会议费0元。2021年预算安排培训费0元。</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（七）其他事项。</w:t>
      </w:r>
      <w:r>
        <w:rPr>
          <w:rFonts w:hint="eastAsia" w:ascii="仿宋_GB2312" w:hAnsi="helvetica" w:eastAsia="仿宋_GB2312" w:cs="仿宋_GB2312"/>
          <w:i w:val="0"/>
          <w:iCs w:val="0"/>
          <w:caps w:val="0"/>
          <w:color w:val="000000"/>
          <w:spacing w:val="0"/>
          <w:sz w:val="31"/>
          <w:szCs w:val="31"/>
        </w:rPr>
        <w:t>本单位202</w:t>
      </w:r>
      <w:r>
        <w:rPr>
          <w:rFonts w:hint="eastAsia" w:ascii="仿宋_GB2312" w:hAnsi="helvetica" w:eastAsia="仿宋_GB2312" w:cs="仿宋_GB2312"/>
          <w:i w:val="0"/>
          <w:iCs w:val="0"/>
          <w:caps w:val="0"/>
          <w:color w:val="000000"/>
          <w:spacing w:val="0"/>
          <w:sz w:val="31"/>
          <w:szCs w:val="31"/>
          <w:lang w:val="en-US" w:eastAsia="zh-CN"/>
        </w:rPr>
        <w:t>1</w:t>
      </w:r>
      <w:r>
        <w:rPr>
          <w:rFonts w:hint="eastAsia" w:ascii="仿宋_GB2312" w:hAnsi="helvetica" w:eastAsia="仿宋_GB2312" w:cs="仿宋_GB2312"/>
          <w:i w:val="0"/>
          <w:iCs w:val="0"/>
          <w:caps w:val="0"/>
          <w:color w:val="000000"/>
          <w:spacing w:val="0"/>
          <w:sz w:val="31"/>
          <w:szCs w:val="31"/>
        </w:rPr>
        <w:t>年预算未安排对个人和家庭的补助支出预算、本单位202</w:t>
      </w:r>
      <w:r>
        <w:rPr>
          <w:rFonts w:hint="eastAsia" w:ascii="仿宋_GB2312" w:hAnsi="helvetica" w:eastAsia="仿宋_GB2312" w:cs="仿宋_GB2312"/>
          <w:i w:val="0"/>
          <w:iCs w:val="0"/>
          <w:caps w:val="0"/>
          <w:color w:val="000000"/>
          <w:spacing w:val="0"/>
          <w:sz w:val="31"/>
          <w:szCs w:val="31"/>
          <w:lang w:val="en-US" w:eastAsia="zh-CN"/>
        </w:rPr>
        <w:t>1</w:t>
      </w:r>
      <w:r>
        <w:rPr>
          <w:rFonts w:hint="eastAsia" w:ascii="仿宋_GB2312" w:hAnsi="helvetica" w:eastAsia="仿宋_GB2312" w:cs="仿宋_GB2312"/>
          <w:i w:val="0"/>
          <w:iCs w:val="0"/>
          <w:caps w:val="0"/>
          <w:color w:val="000000"/>
          <w:spacing w:val="0"/>
          <w:sz w:val="31"/>
          <w:szCs w:val="31"/>
        </w:rPr>
        <w:t>年预算未安排政府性基金拨款支出预算、本单位202</w:t>
      </w:r>
      <w:r>
        <w:rPr>
          <w:rFonts w:hint="eastAsia" w:ascii="仿宋_GB2312" w:hAnsi="helvetica" w:eastAsia="仿宋_GB2312" w:cs="仿宋_GB2312"/>
          <w:i w:val="0"/>
          <w:iCs w:val="0"/>
          <w:caps w:val="0"/>
          <w:color w:val="000000"/>
          <w:spacing w:val="0"/>
          <w:sz w:val="31"/>
          <w:szCs w:val="31"/>
          <w:lang w:val="en-US" w:eastAsia="zh-CN"/>
        </w:rPr>
        <w:t>1</w:t>
      </w:r>
      <w:r>
        <w:rPr>
          <w:rFonts w:hint="eastAsia" w:ascii="仿宋_GB2312" w:hAnsi="helvetica" w:eastAsia="仿宋_GB2312" w:cs="仿宋_GB2312"/>
          <w:i w:val="0"/>
          <w:iCs w:val="0"/>
          <w:caps w:val="0"/>
          <w:color w:val="000000"/>
          <w:spacing w:val="0"/>
          <w:sz w:val="31"/>
          <w:szCs w:val="31"/>
        </w:rPr>
        <w:t>年预算未安排纳入专户管理的非税收入拨款支出预算、本单位202</w:t>
      </w:r>
      <w:r>
        <w:rPr>
          <w:rFonts w:hint="eastAsia" w:ascii="仿宋_GB2312" w:hAnsi="helvetica" w:eastAsia="仿宋_GB2312" w:cs="仿宋_GB2312"/>
          <w:i w:val="0"/>
          <w:iCs w:val="0"/>
          <w:caps w:val="0"/>
          <w:color w:val="000000"/>
          <w:spacing w:val="0"/>
          <w:sz w:val="31"/>
          <w:szCs w:val="31"/>
          <w:lang w:val="en-US" w:eastAsia="zh-CN"/>
        </w:rPr>
        <w:t>1</w:t>
      </w:r>
      <w:r>
        <w:rPr>
          <w:rFonts w:hint="eastAsia" w:ascii="仿宋_GB2312" w:hAnsi="helvetica" w:eastAsia="仿宋_GB2312" w:cs="仿宋_GB2312"/>
          <w:i w:val="0"/>
          <w:iCs w:val="0"/>
          <w:caps w:val="0"/>
          <w:color w:val="000000"/>
          <w:spacing w:val="0"/>
          <w:sz w:val="31"/>
          <w:szCs w:val="31"/>
        </w:rPr>
        <w:t>年预算未安排项目支出款。</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五、名词解释</w:t>
      </w:r>
    </w:p>
    <w:p>
      <w:pPr>
        <w:pStyle w:val="2"/>
        <w:keepNext w:val="0"/>
        <w:keepLines w:val="0"/>
        <w:widowControl/>
        <w:suppressLineNumbers w:val="0"/>
        <w:spacing w:before="75" w:beforeAutospacing="0" w:after="75" w:afterAutospacing="0" w:line="540" w:lineRule="atLeast"/>
        <w:ind w:left="0" w:right="0" w:firstLine="645"/>
        <w:rPr>
          <w:rFonts w:ascii="helvetica" w:hAnsi="helvetica" w:eastAsia="helvetica" w:cs="helvetica"/>
          <w:i w:val="0"/>
          <w:iCs w:val="0"/>
          <w:caps w:val="0"/>
          <w:color w:val="000000"/>
          <w:spacing w:val="0"/>
          <w:sz w:val="21"/>
          <w:szCs w:val="21"/>
        </w:rPr>
      </w:pPr>
      <w:r>
        <w:rPr>
          <w:rStyle w:val="5"/>
          <w:rFonts w:ascii="仿宋_GB2312" w:hAnsi="helvetica" w:eastAsia="仿宋_GB2312" w:cs="仿宋_GB2312"/>
          <w:i w:val="0"/>
          <w:iCs w:val="0"/>
          <w:caps w:val="0"/>
          <w:color w:val="000000"/>
          <w:spacing w:val="0"/>
          <w:sz w:val="31"/>
          <w:szCs w:val="31"/>
        </w:rPr>
        <w:t>（一）一般公共预算:</w:t>
      </w:r>
      <w:r>
        <w:rPr>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（二）政府性基金预算:</w:t>
      </w:r>
      <w:r>
        <w:rPr>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（三）国有资本经营预算:</w:t>
      </w:r>
      <w:r>
        <w:rPr>
          <w:rStyle w:val="5"/>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是对国有资本收益作出支出安排的收支预算。应当按照收支平衡的原则编制，不列赤字，并安排资金调入一般公共预算。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（四）社会保险基金预算:</w:t>
      </w:r>
      <w:r>
        <w:rPr>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是对社会保险缴款、一般公共预算安排和其他方式筹集的资金，专项用于社会保险的收支预算。应当按照统筹层次和社会保险项目分别编制，做到收支平衡。</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（五）基本支出：</w:t>
      </w:r>
      <w:r>
        <w:rPr>
          <w:rFonts w:hint="eastAsia" w:ascii="仿宋_GB2312" w:hAnsi="helvetica" w:eastAsia="仿宋_GB2312" w:cs="仿宋_GB2312"/>
          <w:i w:val="0"/>
          <w:iCs w:val="0"/>
          <w:caps w:val="0"/>
          <w:color w:val="000000"/>
          <w:spacing w:val="0"/>
          <w:sz w:val="31"/>
          <w:szCs w:val="31"/>
        </w:rPr>
        <w:t>指为保障机构正常运转、完成日常工作任务而发生的人员支出和公用支出。</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（六）项目支出：</w:t>
      </w:r>
      <w:r>
        <w:rPr>
          <w:rFonts w:hint="eastAsia" w:ascii="仿宋_GB2312" w:hAnsi="helvetica" w:eastAsia="仿宋_GB2312" w:cs="仿宋_GB2312"/>
          <w:i w:val="0"/>
          <w:iCs w:val="0"/>
          <w:caps w:val="0"/>
          <w:color w:val="000000"/>
          <w:spacing w:val="0"/>
          <w:sz w:val="31"/>
          <w:szCs w:val="31"/>
        </w:rPr>
        <w:t>指在基本支出之外为完成特定行政任务和事业发展目标所发生的支出。</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（七）“三公”经费：</w:t>
      </w:r>
      <w:r>
        <w:rPr>
          <w:rFonts w:hint="eastAsia" w:ascii="仿宋_GB2312" w:hAnsi="helvetica" w:eastAsia="仿宋_GB2312" w:cs="仿宋_GB2312"/>
          <w:i w:val="0"/>
          <w:iCs w:val="0"/>
          <w:caps w:val="0"/>
          <w:color w:val="000000"/>
          <w:spacing w:val="0"/>
          <w:sz w:val="31"/>
          <w:szCs w:val="31"/>
        </w:rPr>
        <w:t>是指商品和服务支出中的因公出国（境）费用、公务用车购置及运行维护费和公务接待费。</w:t>
      </w:r>
      <w:r>
        <w:rPr>
          <w:rFonts w:hint="eastAsia" w:ascii="仿宋_GB2312" w:hAnsi="helvetica" w:eastAsia="仿宋_GB2312" w:cs="仿宋_GB2312"/>
          <w:i w:val="0"/>
          <w:iCs w:val="0"/>
          <w:caps w:val="0"/>
          <w:color w:val="000000"/>
          <w:spacing w:val="0"/>
          <w:sz w:val="31"/>
          <w:szCs w:val="31"/>
        </w:rPr>
        <w:br w:type="textWrapping"/>
      </w:r>
      <w:r>
        <w:rPr>
          <w:rFonts w:hint="default" w:ascii="helvetica" w:hAnsi="helvetica" w:eastAsia="helvetica" w:cs="helvetica"/>
          <w:i w:val="0"/>
          <w:iCs w:val="0"/>
          <w:caps w:val="0"/>
          <w:color w:val="000000"/>
          <w:spacing w:val="0"/>
          <w:sz w:val="31"/>
          <w:szCs w:val="31"/>
        </w:rPr>
        <w:t>     </w:t>
      </w:r>
      <w:r>
        <w:rPr>
          <w:rStyle w:val="5"/>
          <w:rFonts w:hint="eastAsia" w:ascii="仿宋_GB2312" w:hAnsi="helvetica" w:eastAsia="仿宋_GB2312" w:cs="仿宋_GB2312"/>
          <w:i w:val="0"/>
          <w:iCs w:val="0"/>
          <w:caps w:val="0"/>
          <w:color w:val="000000"/>
          <w:spacing w:val="0"/>
          <w:sz w:val="31"/>
          <w:szCs w:val="31"/>
        </w:rPr>
        <w:t>（八）机关运行经费：</w:t>
      </w:r>
      <w:r>
        <w:rPr>
          <w:rFonts w:hint="eastAsia" w:ascii="仿宋_GB2312" w:hAnsi="helvetica" w:eastAsia="仿宋_GB2312" w:cs="仿宋_GB2312"/>
          <w:i w:val="0"/>
          <w:iCs w:val="0"/>
          <w:caps w:val="0"/>
          <w:color w:val="000000"/>
          <w:spacing w:val="0"/>
          <w:sz w:val="31"/>
          <w:szCs w:val="31"/>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2"/>
        <w:keepNext w:val="0"/>
        <w:keepLines w:val="0"/>
        <w:widowControl/>
        <w:suppressLineNumbers w:val="0"/>
        <w:spacing w:before="75" w:beforeAutospacing="0" w:after="75" w:afterAutospacing="0" w:line="540" w:lineRule="atLeast"/>
        <w:ind w:left="0" w:right="0" w:firstLine="645"/>
        <w:rPr>
          <w:rFonts w:ascii="&amp;quot" w:hAnsi="&amp;quot" w:cs="宋体"/>
          <w:color w:val="auto"/>
          <w:kern w:val="0"/>
          <w:sz w:val="27"/>
          <w:szCs w:val="27"/>
        </w:rPr>
      </w:pPr>
      <w:r>
        <w:rPr>
          <w:rFonts w:hint="eastAsia" w:ascii="黑体" w:hAnsi="宋体" w:eastAsia="黑体" w:cs="黑体"/>
          <w:i w:val="0"/>
          <w:iCs w:val="0"/>
          <w:caps w:val="0"/>
          <w:color w:val="000000"/>
          <w:spacing w:val="0"/>
          <w:sz w:val="31"/>
          <w:szCs w:val="31"/>
        </w:rPr>
        <w:t>六、部门预算公开表格目录</w:t>
      </w:r>
      <w:r>
        <w:rPr>
          <w:rFonts w:hint="eastAsia" w:ascii="宋体" w:hAnsi="宋体" w:cs="宋体"/>
          <w:color w:val="auto"/>
          <w:kern w:val="0"/>
          <w:sz w:val="32"/>
          <w:szCs w:val="32"/>
        </w:rPr>
        <w:t> </w:t>
      </w:r>
    </w:p>
    <w:p>
      <w:pPr>
        <w:widowControl/>
        <w:numPr>
          <w:ilvl w:val="0"/>
          <w:numId w:val="1"/>
        </w:numPr>
        <w:spacing w:line="600" w:lineRule="atLeast"/>
        <w:ind w:firstLine="630"/>
        <w:jc w:val="left"/>
        <w:rPr>
          <w:rFonts w:hint="eastAsia" w:ascii="仿宋_GB2312" w:hAnsi="&amp;quot" w:eastAsia="仿宋_GB2312" w:cs="宋体"/>
          <w:color w:val="auto"/>
          <w:kern w:val="0"/>
          <w:sz w:val="32"/>
          <w:szCs w:val="32"/>
        </w:rPr>
      </w:pPr>
      <w:r>
        <w:rPr>
          <w:rFonts w:hint="eastAsia" w:ascii="仿宋_GB2312" w:hAnsi="&amp;quot" w:eastAsia="仿宋_GB2312" w:cs="宋体"/>
          <w:color w:val="auto"/>
          <w:kern w:val="0"/>
          <w:sz w:val="32"/>
          <w:szCs w:val="32"/>
        </w:rPr>
        <w:t>部门收支总表</w:t>
      </w:r>
    </w:p>
    <w:p>
      <w:pPr>
        <w:widowControl/>
        <w:spacing w:line="600" w:lineRule="atLeast"/>
        <w:ind w:firstLine="640" w:firstLineChars="20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（二）</w:t>
      </w:r>
      <w:r>
        <w:rPr>
          <w:rFonts w:hint="eastAsia" w:ascii="仿宋_GB2312" w:hAnsi="&amp;quot" w:eastAsia="仿宋_GB2312" w:cs="宋体"/>
          <w:color w:val="auto"/>
          <w:kern w:val="0"/>
          <w:sz w:val="32"/>
          <w:szCs w:val="32"/>
        </w:rPr>
        <w:t>部门收入总表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（三）部门支出总表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（四）部门支出总表（分类）</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（五）基本支出预算明细表-工资福利支出</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（六）单位运转经费支出预算表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（七）基本支出预算明细表-对个人和家庭的补助</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（八）财政拨款收支总表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（九）一般公共预算拨款支出预算分类汇总表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（十）一般公共预算基本支出预算明细表-工资福利支出</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（十一）一般公共预算基本支出预算明细表-一般商品和服务支出</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（十二）一般公共预算基本支出预算明细表-对个人和家庭的补助</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（十三）政府性基金拨款部门支出总表(分类)</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（十四）纳入专户管理的非税收入拨款部门支出总表(分类)</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（十五）项目支出预算明细表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（十六）“三公”经费预算表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（十七）</w:t>
      </w:r>
      <w:r>
        <w:rPr>
          <w:rFonts w:hint="eastAsia" w:ascii="仿宋_GB2312" w:hAnsi="仿宋_GB2312" w:eastAsia="仿宋_GB2312" w:cs="仿宋_GB2312"/>
          <w:color w:val="auto"/>
          <w:kern w:val="0"/>
          <w:sz w:val="32"/>
          <w:szCs w:val="32"/>
          <w:lang w:val="en-US" w:eastAsia="zh-CN"/>
        </w:rPr>
        <w:t>部门</w:t>
      </w:r>
      <w:r>
        <w:rPr>
          <w:rFonts w:hint="eastAsia" w:ascii="仿宋_GB2312" w:hAnsi="仿宋_GB2312" w:eastAsia="仿宋_GB2312" w:cs="仿宋_GB2312"/>
          <w:color w:val="auto"/>
          <w:kern w:val="0"/>
          <w:sz w:val="32"/>
          <w:szCs w:val="32"/>
          <w:lang w:eastAsia="zh-CN"/>
        </w:rPr>
        <w:t>整体支出绩效</w:t>
      </w:r>
      <w:r>
        <w:rPr>
          <w:rFonts w:hint="eastAsia" w:ascii="仿宋_GB2312" w:hAnsi="仿宋_GB2312" w:eastAsia="仿宋_GB2312" w:cs="仿宋_GB2312"/>
          <w:color w:val="auto"/>
          <w:kern w:val="0"/>
          <w:sz w:val="32"/>
          <w:szCs w:val="32"/>
          <w:lang w:val="en-US" w:eastAsia="zh-CN"/>
        </w:rPr>
        <w:t>申报</w:t>
      </w:r>
      <w:r>
        <w:rPr>
          <w:rFonts w:hint="eastAsia" w:ascii="仿宋_GB2312" w:hAnsi="仿宋_GB2312" w:eastAsia="仿宋_GB2312" w:cs="仿宋_GB2312"/>
          <w:color w:val="auto"/>
          <w:kern w:val="0"/>
          <w:sz w:val="32"/>
          <w:szCs w:val="32"/>
          <w:lang w:eastAsia="zh-CN"/>
        </w:rPr>
        <w:t>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（十八）县级</w:t>
      </w:r>
      <w:r>
        <w:rPr>
          <w:rFonts w:hint="eastAsia" w:ascii="仿宋_GB2312" w:hAnsi="仿宋_GB2312" w:eastAsia="仿宋_GB2312" w:cs="仿宋_GB2312"/>
          <w:color w:val="auto"/>
          <w:kern w:val="0"/>
          <w:sz w:val="32"/>
          <w:szCs w:val="32"/>
          <w:lang w:eastAsia="zh-CN"/>
        </w:rPr>
        <w:t>专项资金预算绩效目标汇总表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（十九）县级</w:t>
      </w:r>
      <w:r>
        <w:rPr>
          <w:rFonts w:hint="eastAsia" w:ascii="仿宋_GB2312" w:hAnsi="仿宋_GB2312" w:eastAsia="仿宋_GB2312" w:cs="仿宋_GB2312"/>
          <w:color w:val="auto"/>
          <w:kern w:val="0"/>
          <w:sz w:val="32"/>
          <w:szCs w:val="32"/>
          <w:lang w:eastAsia="zh-CN"/>
        </w:rPr>
        <w:t>专项资金支出方向绩效目标表</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（二十）一般公共预算基本支出情况表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（二十一）</w:t>
      </w:r>
      <w:r>
        <w:rPr>
          <w:rFonts w:hint="eastAsia" w:ascii="仿宋_GB2312" w:hAnsi="仿宋_GB2312" w:eastAsia="仿宋_GB2312" w:cs="仿宋_GB2312"/>
          <w:color w:val="auto"/>
          <w:kern w:val="0"/>
          <w:sz w:val="32"/>
          <w:szCs w:val="32"/>
          <w:lang w:eastAsia="zh-CN"/>
        </w:rPr>
        <w:t>一般公共预算基本支出预算明细表-工资福利支出（经济性质分类款级科目）</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（二十二）</w:t>
      </w:r>
      <w:r>
        <w:rPr>
          <w:rFonts w:hint="eastAsia" w:ascii="仿宋_GB2312" w:hAnsi="仿宋_GB2312" w:eastAsia="仿宋_GB2312" w:cs="仿宋_GB2312"/>
          <w:color w:val="auto"/>
          <w:kern w:val="0"/>
          <w:sz w:val="32"/>
          <w:szCs w:val="32"/>
          <w:lang w:eastAsia="zh-CN"/>
        </w:rPr>
        <w:t>一般公共预算基本支出预算明细表-一般商品和服务支出（经济性质分类款级科目）</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（二十三）</w:t>
      </w:r>
      <w:r>
        <w:rPr>
          <w:rFonts w:hint="eastAsia" w:ascii="仿宋_GB2312" w:hAnsi="仿宋_GB2312" w:eastAsia="仿宋_GB2312" w:cs="仿宋_GB2312"/>
          <w:color w:val="auto"/>
          <w:kern w:val="0"/>
          <w:sz w:val="32"/>
          <w:szCs w:val="32"/>
          <w:lang w:eastAsia="zh-CN"/>
        </w:rPr>
        <w:t>一般公共预算基本支出预算明细表-对个人和家庭的补助（经济性质分类款级科目）</w:t>
      </w:r>
    </w:p>
    <w:p>
      <w:pPr>
        <w:rPr>
          <w:rFonts w:hint="eastAsia" w:ascii="黑体" w:hAnsi="黑体" w:eastAsia="黑体" w:cs="黑体"/>
          <w:sz w:val="32"/>
          <w:szCs w:val="32"/>
          <w:lang w:eastAsia="zh-CN"/>
        </w:rPr>
      </w:pPr>
    </w:p>
    <w:p>
      <w:pPr>
        <w:pStyle w:val="2"/>
        <w:keepNext w:val="0"/>
        <w:keepLines w:val="0"/>
        <w:widowControl/>
        <w:suppressLineNumbers w:val="0"/>
        <w:spacing w:before="75" w:beforeAutospacing="0" w:after="75" w:afterAutospacing="0" w:line="600" w:lineRule="atLeast"/>
        <w:ind w:left="0" w:right="0" w:firstLine="630"/>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七、公开表格附件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mp;quot">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AFAB0"/>
    <w:multiLevelType w:val="singleLevel"/>
    <w:tmpl w:val="F06AFA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NGE2Y2I0Y2M4ODVlOWJiYWJmNWZjMjBmNWMxNmUifQ=="/>
  </w:docVars>
  <w:rsids>
    <w:rsidRoot w:val="7FAC1D8F"/>
    <w:rsid w:val="01145609"/>
    <w:rsid w:val="02714395"/>
    <w:rsid w:val="09F91840"/>
    <w:rsid w:val="0AAC5A88"/>
    <w:rsid w:val="0ED14B39"/>
    <w:rsid w:val="20F052F3"/>
    <w:rsid w:val="26C42483"/>
    <w:rsid w:val="284729E6"/>
    <w:rsid w:val="2C3B319A"/>
    <w:rsid w:val="2FAF45CB"/>
    <w:rsid w:val="321F5399"/>
    <w:rsid w:val="5D090B05"/>
    <w:rsid w:val="621413E8"/>
    <w:rsid w:val="68464DC5"/>
    <w:rsid w:val="72C25ACD"/>
    <w:rsid w:val="7FAC1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2712</Words>
  <Characters>2915</Characters>
  <Lines>0</Lines>
  <Paragraphs>0</Paragraphs>
  <TotalTime>2</TotalTime>
  <ScaleCrop>false</ScaleCrop>
  <LinksUpToDate>false</LinksUpToDate>
  <CharactersWithSpaces>2931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2022-08-24T08:21:00Z</dcterms:created>
  <dc:creator>Administrator</dc:creator>
  <cp:lastModifiedBy>Administrator</cp:lastModifiedBy>
  <dcterms:modified xsi:type="dcterms:W3CDTF">2022-09-04T03:16:45Z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6D5F0C645DCE469D83596FBE8556CCC2</vt:lpwstr>
  </property>
</Properties>
</file>