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val="en-US" w:eastAsia="zh-CN"/>
        </w:rPr>
        <w:t>中</w:t>
      </w:r>
      <w:r>
        <w:rPr>
          <w:rFonts w:hint="eastAsia" w:eastAsia="方正小标宋简体"/>
          <w:b/>
          <w:bCs w:val="0"/>
          <w:color w:val="000000"/>
          <w:sz w:val="44"/>
          <w:szCs w:val="44"/>
          <w:lang w:val="en-US" w:eastAsia="zh-CN"/>
        </w:rPr>
        <w:t>医院</w:t>
      </w:r>
      <w:r>
        <w:rPr>
          <w:rFonts w:eastAsia="方正小标宋简体"/>
          <w:bCs/>
          <w:color w:val="000000"/>
          <w:sz w:val="44"/>
          <w:szCs w:val="44"/>
        </w:rPr>
        <w:t>2021年部门预算</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eastAsia="zh-CN"/>
        </w:rPr>
        <w:t>（一）</w:t>
      </w:r>
      <w:r>
        <w:rPr>
          <w:rFonts w:hAnsi="仿宋_GB2312" w:eastAsia="仿宋_GB2312"/>
          <w:sz w:val="32"/>
          <w:szCs w:val="32"/>
        </w:rPr>
        <w:t>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（一）提供急、危、重症、疑难病症的中医诊疗服务。</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（二）</w:t>
      </w:r>
      <w:r>
        <w:rPr>
          <w:rFonts w:hint="eastAsia" w:eastAsia="仿宋_GB2312"/>
          <w:color w:val="000000"/>
          <w:sz w:val="32"/>
          <w:szCs w:val="32"/>
          <w:lang w:val="en-US" w:eastAsia="zh-CN"/>
        </w:rPr>
        <w:t>提供</w:t>
      </w:r>
      <w:r>
        <w:rPr>
          <w:rFonts w:hint="eastAsia" w:eastAsia="仿宋_GB2312"/>
          <w:color w:val="000000"/>
          <w:sz w:val="32"/>
          <w:szCs w:val="32"/>
        </w:rPr>
        <w:t>中医优势病种的中医门诊诊疗服务。</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（三）承担中医治疗临床总结工作，成为医学教育和临床</w:t>
      </w:r>
      <w:r>
        <w:rPr>
          <w:rFonts w:hint="eastAsia" w:eastAsia="仿宋_GB2312"/>
          <w:color w:val="000000"/>
          <w:sz w:val="32"/>
          <w:szCs w:val="32"/>
          <w:lang w:val="en-US" w:eastAsia="zh-CN"/>
        </w:rPr>
        <w:t xml:space="preserve">    </w:t>
      </w:r>
      <w:r>
        <w:rPr>
          <w:rFonts w:hint="eastAsia" w:eastAsia="仿宋_GB2312"/>
          <w:color w:val="000000"/>
          <w:sz w:val="32"/>
          <w:szCs w:val="32"/>
        </w:rPr>
        <w:t>科研的基</w:t>
      </w:r>
      <w:r>
        <w:rPr>
          <w:rFonts w:hint="eastAsia" w:eastAsia="仿宋_GB2312"/>
          <w:color w:val="000000"/>
          <w:sz w:val="32"/>
          <w:szCs w:val="32"/>
          <w:lang w:val="en-US" w:eastAsia="zh-CN"/>
        </w:rPr>
        <w:t>地</w:t>
      </w:r>
      <w:r>
        <w:rPr>
          <w:rFonts w:hint="eastAsia" w:eastAsia="仿宋_GB2312"/>
          <w:color w:val="000000"/>
          <w:sz w:val="32"/>
          <w:szCs w:val="32"/>
        </w:rPr>
        <w:t>。</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（四）积极开展中医治未病工作，成为基层中医药人员医疗技术的指导和培训中心。</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（五）发挥中医药在疾病预防控制</w:t>
      </w:r>
      <w:r>
        <w:rPr>
          <w:rFonts w:hint="eastAsia" w:eastAsia="仿宋_GB2312"/>
          <w:color w:val="000000"/>
          <w:sz w:val="32"/>
          <w:szCs w:val="32"/>
          <w:lang w:val="en-US" w:eastAsia="zh-CN"/>
        </w:rPr>
        <w:t>的作用</w:t>
      </w:r>
      <w:r>
        <w:rPr>
          <w:rFonts w:hint="eastAsia" w:eastAsia="仿宋_GB2312"/>
          <w:color w:val="000000"/>
          <w:sz w:val="32"/>
          <w:szCs w:val="32"/>
        </w:rPr>
        <w:t>。</w:t>
      </w:r>
    </w:p>
    <w:p>
      <w:pPr>
        <w:tabs>
          <w:tab w:val="left" w:pos="7560"/>
        </w:tabs>
        <w:adjustRightInd w:val="0"/>
        <w:snapToGrid w:val="0"/>
        <w:spacing w:line="560" w:lineRule="exact"/>
        <w:jc w:val="left"/>
        <w:rPr>
          <w:rFonts w:hint="eastAsia" w:eastAsia="仿宋_GB2312"/>
          <w:color w:val="000000"/>
          <w:sz w:val="32"/>
          <w:szCs w:val="32"/>
          <w:lang w:eastAsia="zh-CN"/>
        </w:rPr>
      </w:pPr>
      <w:r>
        <w:rPr>
          <w:rFonts w:hint="eastAsia" w:eastAsia="仿宋_GB2312"/>
          <w:color w:val="000000"/>
          <w:sz w:val="32"/>
          <w:szCs w:val="32"/>
        </w:rPr>
        <w:t>（六）应对突发公共卫生事件方面的</w:t>
      </w:r>
      <w:r>
        <w:rPr>
          <w:rFonts w:hint="eastAsia" w:eastAsia="仿宋_GB2312"/>
          <w:color w:val="000000"/>
          <w:sz w:val="32"/>
          <w:szCs w:val="32"/>
          <w:lang w:val="en-US" w:eastAsia="zh-CN"/>
        </w:rPr>
        <w:t>救治</w:t>
      </w:r>
      <w:r>
        <w:rPr>
          <w:rFonts w:hint="eastAsia" w:eastAsia="仿宋_GB2312"/>
          <w:color w:val="000000"/>
          <w:sz w:val="32"/>
          <w:szCs w:val="32"/>
        </w:rPr>
        <w:t>。</w:t>
      </w:r>
    </w:p>
    <w:p>
      <w:pPr>
        <w:tabs>
          <w:tab w:val="left" w:pos="7560"/>
        </w:tabs>
        <w:adjustRightInd w:val="0"/>
        <w:snapToGrid w:val="0"/>
        <w:spacing w:line="560" w:lineRule="exact"/>
        <w:jc w:val="left"/>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七</w:t>
      </w:r>
      <w:r>
        <w:rPr>
          <w:rFonts w:hint="eastAsia" w:eastAsia="仿宋_GB2312"/>
          <w:color w:val="000000"/>
          <w:sz w:val="32"/>
          <w:szCs w:val="32"/>
        </w:rPr>
        <w:t>）承办市委、市人民政府交办的</w:t>
      </w:r>
      <w:r>
        <w:rPr>
          <w:rFonts w:hint="eastAsia" w:eastAsia="仿宋_GB2312"/>
          <w:color w:val="000000"/>
          <w:sz w:val="32"/>
          <w:szCs w:val="32"/>
          <w:lang w:val="en-US" w:eastAsia="zh-CN"/>
        </w:rPr>
        <w:t>医疗、公共突发事件的处置</w:t>
      </w:r>
      <w:r>
        <w:rPr>
          <w:rFonts w:hint="eastAsia" w:eastAsia="仿宋_GB2312"/>
          <w:color w:val="000000"/>
          <w:sz w:val="32"/>
          <w:szCs w:val="32"/>
        </w:rPr>
        <w:t>。</w:t>
      </w:r>
    </w:p>
    <w:p>
      <w:pPr>
        <w:tabs>
          <w:tab w:val="left" w:pos="7560"/>
        </w:tabs>
        <w:adjustRightInd w:val="0"/>
        <w:snapToGrid w:val="0"/>
        <w:spacing w:line="560" w:lineRule="exact"/>
        <w:jc w:val="left"/>
        <w:rPr>
          <w:rFonts w:hint="eastAsia" w:eastAsia="仿宋_GB2312"/>
          <w:color w:val="000000"/>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pStyle w:val="4"/>
        <w:shd w:val="clear" w:color="auto" w:fill="FFFFFF"/>
        <w:spacing w:beforeAutospacing="0" w:afterAutospacing="0" w:line="555" w:lineRule="atLeast"/>
        <w:ind w:left="639" w:leftChars="152" w:hanging="320" w:hanging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（一）内设机构情况</w:t>
      </w:r>
    </w:p>
    <w:p>
      <w:pPr>
        <w:pStyle w:val="4"/>
        <w:shd w:val="clear" w:color="auto" w:fill="FFFFFF"/>
        <w:spacing w:beforeAutospacing="0" w:afterAutospacing="0" w:line="555" w:lineRule="atLeast"/>
        <w:ind w:left="479" w:leftChars="228"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市中医院职能职责，内设办公室、医务科、护理部、人事科、儿童保健科、财务部、核算科、监审科、医保科、物价科、院感科、科教科、后勤科、药剂科、设备科、信息科、宣传科、综治办、事业部、病案统计室、心血管一科、心血管二科、儿科、肺病科、妇产科、肛肠科、肝胆科、普外科、泌尿外科、经典科、脑病一科、脑病二科、脾胃病感染科、烧伤科、肾病糖尿病科、推拿康复科、针灸疼痛科、针灸推拿科、眼耳鼻喉科、肿瘤科、血透室、重症医学科、治未病科、骨伤一科、骨伤二科、急诊科、慢病管理中心、体检中心、检验科等科室（单位）。本单位无下属预算单位。</w:t>
      </w:r>
    </w:p>
    <w:p>
      <w:pPr>
        <w:pStyle w:val="4"/>
        <w:shd w:val="clear" w:color="auto" w:fill="FFFFFF"/>
        <w:spacing w:beforeAutospacing="0" w:afterAutospacing="0" w:line="555" w:lineRule="atLeast"/>
        <w:ind w:left="479" w:leftChars="228"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（二）人员编制情况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2021年在职工作人员1090人，其中高级职称127 人，中级职称334人，初级职称629人，离退休人员188人。</w:t>
      </w:r>
    </w:p>
    <w:p>
      <w:pPr>
        <w:ind w:firstLine="640" w:firstLineChars="200"/>
        <w:rPr>
          <w:rFonts w:hint="eastAsia" w:ascii="仿宋" w:hAnsi="仿宋" w:eastAsia="仿宋" w:cs="仿宋"/>
          <w:color w:val="000000"/>
          <w:kern w:val="2"/>
          <w:sz w:val="32"/>
          <w:szCs w:val="32"/>
          <w:lang w:val="en-US" w:eastAsia="zh-CN" w:bidi="ar-SA"/>
        </w:rPr>
      </w:pPr>
      <w:bookmarkStart w:id="0" w:name="_GoBack"/>
      <w:bookmarkEnd w:id="0"/>
    </w:p>
    <w:p>
      <w:p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hAnsi="黑体" w:eastAsia="仿宋_GB2312"/>
          <w:color w:val="auto"/>
          <w:sz w:val="32"/>
          <w:szCs w:val="32"/>
        </w:rPr>
      </w:pPr>
      <w:r>
        <w:rPr>
          <w:rFonts w:eastAsia="仿宋_GB2312"/>
          <w:color w:val="auto"/>
          <w:sz w:val="32"/>
          <w:szCs w:val="32"/>
        </w:rPr>
        <w:t>2021年部门预算编报</w:t>
      </w:r>
      <w:r>
        <w:rPr>
          <w:rFonts w:hint="eastAsia" w:eastAsia="仿宋_GB2312"/>
          <w:color w:val="auto"/>
          <w:sz w:val="32"/>
          <w:szCs w:val="32"/>
          <w:lang w:eastAsia="zh-CN"/>
        </w:rPr>
        <w:t>内容如下：</w:t>
      </w:r>
      <w:r>
        <w:rPr>
          <w:rFonts w:eastAsia="仿宋_GB2312"/>
          <w:color w:val="auto"/>
          <w:sz w:val="32"/>
          <w:szCs w:val="32"/>
        </w:rPr>
        <w:t>收入包括一般公共预算收入；支出</w:t>
      </w:r>
      <w:r>
        <w:rPr>
          <w:rFonts w:hint="eastAsia" w:eastAsia="仿宋_GB2312"/>
          <w:color w:val="auto"/>
          <w:sz w:val="32"/>
          <w:szCs w:val="32"/>
          <w:lang w:eastAsia="zh-CN"/>
        </w:rPr>
        <w:t>包括卫生健康支出</w:t>
      </w:r>
      <w:r>
        <w:rPr>
          <w:rFonts w:hint="eastAsia" w:eastAsia="仿宋_GB2312"/>
          <w:color w:val="auto"/>
          <w:sz w:val="32"/>
          <w:szCs w:val="32"/>
        </w:rPr>
        <w:t>。</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楷体_GB2312"/>
          <w:bCs/>
          <w:color w:val="auto"/>
          <w:sz w:val="32"/>
          <w:szCs w:val="32"/>
        </w:rPr>
        <w:t>（一）收入预算：</w:t>
      </w:r>
      <w:r>
        <w:rPr>
          <w:rFonts w:hint="eastAsia" w:eastAsia="仿宋_GB2312"/>
          <w:color w:val="auto"/>
          <w:sz w:val="32"/>
          <w:szCs w:val="32"/>
        </w:rPr>
        <w:t>2021</w:t>
      </w:r>
      <w:r>
        <w:rPr>
          <w:rFonts w:eastAsia="仿宋_GB2312"/>
          <w:color w:val="auto"/>
          <w:sz w:val="32"/>
          <w:szCs w:val="32"/>
        </w:rPr>
        <w:t>年年初</w:t>
      </w:r>
      <w:r>
        <w:rPr>
          <w:rFonts w:hint="eastAsia" w:eastAsia="仿宋_GB2312"/>
          <w:color w:val="auto"/>
          <w:sz w:val="32"/>
          <w:szCs w:val="32"/>
          <w:lang w:eastAsia="zh-CN"/>
        </w:rPr>
        <w:t>一般公共</w:t>
      </w:r>
      <w:r>
        <w:rPr>
          <w:rFonts w:eastAsia="仿宋_GB2312"/>
          <w:color w:val="auto"/>
          <w:sz w:val="32"/>
          <w:szCs w:val="32"/>
        </w:rPr>
        <w:t>预算数</w:t>
      </w:r>
      <w:r>
        <w:rPr>
          <w:rFonts w:hint="eastAsia" w:eastAsia="仿宋_GB2312"/>
          <w:color w:val="auto"/>
          <w:kern w:val="0"/>
          <w:sz w:val="32"/>
          <w:szCs w:val="32"/>
          <w:lang w:val="en-US" w:eastAsia="zh-CN"/>
        </w:rPr>
        <w:t>238</w:t>
      </w:r>
      <w:r>
        <w:rPr>
          <w:rFonts w:eastAsia="仿宋_GB2312"/>
          <w:color w:val="auto"/>
          <w:sz w:val="32"/>
          <w:szCs w:val="32"/>
        </w:rPr>
        <w:t>万元，一般公共预算拨款</w:t>
      </w:r>
      <w:r>
        <w:rPr>
          <w:rFonts w:hint="eastAsia" w:eastAsia="仿宋_GB2312"/>
          <w:color w:val="auto"/>
          <w:kern w:val="0"/>
          <w:sz w:val="32"/>
          <w:szCs w:val="32"/>
          <w:lang w:val="en-US" w:eastAsia="zh-CN"/>
        </w:rPr>
        <w:t>238</w:t>
      </w:r>
      <w:r>
        <w:rPr>
          <w:rFonts w:eastAsia="仿宋_GB2312"/>
          <w:color w:val="auto"/>
          <w:sz w:val="32"/>
          <w:szCs w:val="32"/>
        </w:rPr>
        <w:t>万元；政府性基金拨款</w:t>
      </w:r>
      <w:r>
        <w:rPr>
          <w:rFonts w:hint="eastAsia" w:eastAsia="仿宋_GB2312"/>
          <w:color w:val="auto"/>
          <w:sz w:val="32"/>
          <w:szCs w:val="32"/>
        </w:rPr>
        <w:t>0</w:t>
      </w:r>
      <w:r>
        <w:rPr>
          <w:rFonts w:eastAsia="仿宋_GB2312"/>
          <w:color w:val="auto"/>
          <w:sz w:val="32"/>
          <w:szCs w:val="32"/>
        </w:rPr>
        <w:t>万元；财政专户管理的非税收入拨款</w:t>
      </w:r>
      <w:r>
        <w:rPr>
          <w:rFonts w:hint="eastAsia" w:eastAsia="仿宋_GB2312"/>
          <w:color w:val="auto"/>
          <w:sz w:val="32"/>
          <w:szCs w:val="32"/>
        </w:rPr>
        <w:t>0</w:t>
      </w:r>
      <w:r>
        <w:rPr>
          <w:rFonts w:eastAsia="仿宋_GB2312"/>
          <w:color w:val="auto"/>
          <w:sz w:val="32"/>
          <w:szCs w:val="32"/>
        </w:rPr>
        <w:t>万元；其他收入</w:t>
      </w:r>
      <w:r>
        <w:rPr>
          <w:rFonts w:hint="eastAsia" w:eastAsia="仿宋_GB2312"/>
          <w:color w:val="auto"/>
          <w:sz w:val="32"/>
          <w:szCs w:val="32"/>
        </w:rPr>
        <w:t>0</w:t>
      </w:r>
      <w:r>
        <w:rPr>
          <w:rFonts w:eastAsia="仿宋_GB2312"/>
          <w:color w:val="auto"/>
          <w:sz w:val="32"/>
          <w:szCs w:val="32"/>
        </w:rPr>
        <w:t>万元。因上年结转数暂未最终确定，本年度收支预算中均不含上年结转数字</w:t>
      </w:r>
      <w:r>
        <w:rPr>
          <w:rFonts w:hint="eastAsia" w:eastAsia="仿宋_GB2312"/>
          <w:color w:val="auto"/>
          <w:sz w:val="32"/>
          <w:szCs w:val="32"/>
        </w:rPr>
        <w:t>。</w:t>
      </w:r>
    </w:p>
    <w:p>
      <w:pPr>
        <w:tabs>
          <w:tab w:val="left" w:pos="7560"/>
        </w:tabs>
        <w:adjustRightInd w:val="0"/>
        <w:snapToGrid w:val="0"/>
        <w:spacing w:line="560" w:lineRule="exact"/>
        <w:ind w:firstLine="640" w:firstLineChars="200"/>
        <w:jc w:val="left"/>
        <w:rPr>
          <w:rFonts w:hint="default" w:eastAsia="仿宋_GB2312"/>
          <w:color w:val="auto"/>
          <w:sz w:val="32"/>
          <w:szCs w:val="32"/>
          <w:lang w:val="en-US" w:eastAsia="zh-CN"/>
        </w:rPr>
      </w:pPr>
      <w:r>
        <w:rPr>
          <w:rFonts w:eastAsia="楷体_GB2312"/>
          <w:bCs/>
          <w:color w:val="auto"/>
          <w:sz w:val="32"/>
          <w:szCs w:val="32"/>
        </w:rPr>
        <w:t>（二）支出预算：</w:t>
      </w:r>
      <w:r>
        <w:rPr>
          <w:rFonts w:hint="eastAsia" w:eastAsia="仿宋_GB2312"/>
          <w:color w:val="auto"/>
          <w:sz w:val="32"/>
          <w:szCs w:val="32"/>
        </w:rPr>
        <w:t>2021</w:t>
      </w:r>
      <w:r>
        <w:rPr>
          <w:rFonts w:eastAsia="仿宋_GB2312"/>
          <w:color w:val="auto"/>
          <w:sz w:val="32"/>
          <w:szCs w:val="32"/>
        </w:rPr>
        <w:t>年年初</w:t>
      </w:r>
      <w:r>
        <w:rPr>
          <w:rFonts w:hint="eastAsia" w:eastAsia="仿宋_GB2312"/>
          <w:color w:val="auto"/>
          <w:sz w:val="32"/>
          <w:szCs w:val="32"/>
          <w:lang w:eastAsia="zh-CN"/>
        </w:rPr>
        <w:t>卫生健康支出</w:t>
      </w:r>
      <w:r>
        <w:rPr>
          <w:rFonts w:eastAsia="仿宋_GB2312"/>
          <w:color w:val="auto"/>
          <w:sz w:val="32"/>
          <w:szCs w:val="32"/>
        </w:rPr>
        <w:t>预算数</w:t>
      </w:r>
      <w:r>
        <w:rPr>
          <w:rFonts w:hint="eastAsia" w:eastAsia="仿宋_GB2312"/>
          <w:color w:val="auto"/>
          <w:sz w:val="32"/>
          <w:szCs w:val="32"/>
          <w:lang w:val="en-US" w:eastAsia="zh-CN"/>
        </w:rPr>
        <w:t>238</w:t>
      </w:r>
      <w:r>
        <w:rPr>
          <w:rFonts w:eastAsia="仿宋_GB2312"/>
          <w:color w:val="auto"/>
          <w:sz w:val="32"/>
          <w:szCs w:val="32"/>
        </w:rPr>
        <w:t>万元，其中，</w:t>
      </w:r>
      <w:r>
        <w:rPr>
          <w:rFonts w:hint="eastAsia" w:eastAsia="仿宋_GB2312"/>
          <w:color w:val="auto"/>
          <w:sz w:val="32"/>
          <w:szCs w:val="32"/>
        </w:rPr>
        <w:t>社会保障和就业支出</w:t>
      </w:r>
      <w:r>
        <w:rPr>
          <w:rFonts w:hint="eastAsia" w:eastAsia="仿宋_GB2312"/>
          <w:color w:val="auto"/>
          <w:sz w:val="32"/>
          <w:szCs w:val="32"/>
          <w:lang w:val="en-US" w:eastAsia="zh-CN"/>
        </w:rPr>
        <w:t>0</w:t>
      </w:r>
      <w:r>
        <w:rPr>
          <w:rFonts w:eastAsia="仿宋_GB2312"/>
          <w:color w:val="auto"/>
          <w:sz w:val="32"/>
          <w:szCs w:val="32"/>
        </w:rPr>
        <w:t>万元，</w:t>
      </w:r>
      <w:r>
        <w:rPr>
          <w:rFonts w:hint="eastAsia" w:eastAsia="仿宋_GB2312"/>
          <w:color w:val="auto"/>
          <w:sz w:val="32"/>
          <w:szCs w:val="32"/>
        </w:rPr>
        <w:t>卫生健康支出</w:t>
      </w:r>
      <w:r>
        <w:rPr>
          <w:rFonts w:hint="eastAsia" w:eastAsia="仿宋_GB2312"/>
          <w:color w:val="auto"/>
          <w:sz w:val="32"/>
          <w:szCs w:val="32"/>
          <w:lang w:val="en-US" w:eastAsia="zh-CN"/>
        </w:rPr>
        <w:t>238万元。</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具体安排如下：</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基本支出：</w:t>
      </w:r>
      <w:r>
        <w:rPr>
          <w:rFonts w:hint="eastAsia" w:eastAsia="仿宋_GB2312"/>
          <w:color w:val="auto"/>
          <w:sz w:val="32"/>
          <w:szCs w:val="32"/>
        </w:rPr>
        <w:t>2021</w:t>
      </w:r>
      <w:r>
        <w:rPr>
          <w:rFonts w:eastAsia="仿宋_GB2312"/>
          <w:color w:val="auto"/>
          <w:sz w:val="32"/>
          <w:szCs w:val="32"/>
        </w:rPr>
        <w:t>年年初预算数为</w:t>
      </w:r>
      <w:r>
        <w:rPr>
          <w:rFonts w:hint="eastAsia" w:eastAsia="仿宋_GB2312"/>
          <w:color w:val="auto"/>
          <w:sz w:val="32"/>
          <w:szCs w:val="32"/>
          <w:lang w:val="en-US" w:eastAsia="zh-CN"/>
        </w:rPr>
        <w:t>238</w:t>
      </w:r>
      <w:r>
        <w:rPr>
          <w:rFonts w:eastAsia="仿宋_GB2312"/>
          <w:color w:val="auto"/>
          <w:sz w:val="32"/>
          <w:szCs w:val="32"/>
        </w:rPr>
        <w:t>万元，是指为保障单位机构正常运转、完成日常工作任务而发生的各项支出，包括用于基本工资、津贴补贴等人员经费以及日常公用经费、</w:t>
      </w:r>
      <w:r>
        <w:rPr>
          <w:rFonts w:hint="eastAsia" w:eastAsia="仿宋_GB2312"/>
          <w:color w:val="auto"/>
          <w:sz w:val="32"/>
          <w:szCs w:val="32"/>
        </w:rPr>
        <w:t>工作性专项</w:t>
      </w:r>
      <w:r>
        <w:rPr>
          <w:rFonts w:eastAsia="仿宋_GB2312"/>
          <w:color w:val="auto"/>
          <w:sz w:val="32"/>
          <w:szCs w:val="32"/>
        </w:rPr>
        <w:t>。其中包括</w:t>
      </w:r>
      <w:r>
        <w:rPr>
          <w:rFonts w:hint="eastAsia" w:eastAsia="仿宋_GB2312"/>
          <w:color w:val="auto"/>
          <w:sz w:val="32"/>
          <w:szCs w:val="32"/>
          <w:lang w:eastAsia="zh-CN"/>
        </w:rPr>
        <w:t>基本工资</w:t>
      </w:r>
      <w:r>
        <w:rPr>
          <w:rFonts w:hint="eastAsia" w:eastAsia="仿宋_GB2312"/>
          <w:color w:val="auto"/>
          <w:sz w:val="32"/>
          <w:szCs w:val="32"/>
          <w:lang w:val="en-US" w:eastAsia="zh-CN"/>
        </w:rPr>
        <w:t>238</w:t>
      </w:r>
      <w:r>
        <w:rPr>
          <w:rFonts w:eastAsia="仿宋_GB2312"/>
          <w:color w:val="auto"/>
          <w:sz w:val="32"/>
          <w:szCs w:val="32"/>
        </w:rPr>
        <w:t>万元。</w:t>
      </w:r>
    </w:p>
    <w:p>
      <w:pPr>
        <w:tabs>
          <w:tab w:val="left" w:pos="7560"/>
        </w:tabs>
        <w:adjustRightInd w:val="0"/>
        <w:snapToGrid w:val="0"/>
        <w:spacing w:line="560" w:lineRule="exact"/>
        <w:ind w:firstLine="640" w:firstLineChars="200"/>
        <w:jc w:val="left"/>
        <w:rPr>
          <w:rFonts w:hint="eastAsia" w:eastAsia="仿宋_GB2312"/>
          <w:color w:val="auto"/>
          <w:sz w:val="32"/>
          <w:szCs w:val="32"/>
          <w:lang w:val="en-US" w:eastAsia="zh-CN"/>
        </w:rPr>
      </w:pPr>
      <w:r>
        <w:rPr>
          <w:rFonts w:eastAsia="楷体_GB2312"/>
          <w:bCs/>
          <w:color w:val="auto"/>
          <w:sz w:val="32"/>
          <w:szCs w:val="32"/>
        </w:rPr>
        <w:t>（三）预算收支增减变化情况说明：</w:t>
      </w: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年度本单位年初预算数为</w:t>
      </w:r>
      <w:r>
        <w:rPr>
          <w:rFonts w:hint="eastAsia" w:eastAsia="仿宋_GB2312"/>
          <w:color w:val="auto"/>
          <w:kern w:val="0"/>
          <w:sz w:val="32"/>
          <w:szCs w:val="32"/>
          <w:lang w:val="en-US" w:eastAsia="zh-CN"/>
        </w:rPr>
        <w:t>238</w:t>
      </w:r>
      <w:r>
        <w:rPr>
          <w:rFonts w:eastAsia="仿宋_GB2312"/>
          <w:color w:val="auto"/>
          <w:sz w:val="32"/>
          <w:szCs w:val="32"/>
        </w:rPr>
        <w:t>万元，</w:t>
      </w:r>
      <w:r>
        <w:rPr>
          <w:rFonts w:hint="eastAsia" w:eastAsia="仿宋_GB2312"/>
          <w:color w:val="auto"/>
          <w:sz w:val="32"/>
          <w:szCs w:val="32"/>
          <w:lang w:val="en-US" w:eastAsia="zh-CN"/>
        </w:rPr>
        <w:t>与上年对比未发生变化。</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0</w:t>
      </w:r>
      <w:r>
        <w:rPr>
          <w:rFonts w:eastAsia="仿宋_GB2312"/>
          <w:color w:val="000000"/>
          <w:sz w:val="32"/>
          <w:szCs w:val="32"/>
        </w:rPr>
        <w:t>万元，比上年度预算增加</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kern w:val="0"/>
          <w:sz w:val="32"/>
          <w:szCs w:val="32"/>
          <w:lang w:val="en-US" w:eastAsia="zh-CN"/>
        </w:rPr>
        <w:t>0</w:t>
      </w:r>
      <w:r>
        <w:rPr>
          <w:rFonts w:hint="eastAsia" w:eastAsia="仿宋_GB2312"/>
          <w:kern w:val="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lang w:val="en-US" w:eastAsia="zh-CN"/>
        </w:rPr>
        <w:t>82000</w:t>
      </w:r>
      <w:r>
        <w:rPr>
          <w:rFonts w:eastAsia="仿宋_GB2312"/>
          <w:color w:val="000000"/>
          <w:sz w:val="32"/>
          <w:szCs w:val="32"/>
        </w:rPr>
        <w:t>平方米；车辆</w:t>
      </w:r>
      <w:r>
        <w:rPr>
          <w:rFonts w:hint="eastAsia" w:eastAsia="仿宋_GB2312"/>
          <w:kern w:val="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238</w:t>
      </w:r>
      <w:r>
        <w:rPr>
          <w:rFonts w:eastAsia="仿宋_GB2312"/>
          <w:color w:val="000000"/>
          <w:sz w:val="32"/>
          <w:szCs w:val="32"/>
        </w:rPr>
        <w:t>万元，其中，基本支出</w:t>
      </w:r>
      <w:r>
        <w:rPr>
          <w:rFonts w:hint="eastAsia" w:eastAsia="仿宋_GB2312"/>
          <w:color w:val="000000"/>
          <w:sz w:val="32"/>
          <w:szCs w:val="32"/>
          <w:lang w:val="en-US" w:eastAsia="zh-CN"/>
        </w:rPr>
        <w:t>238</w:t>
      </w:r>
      <w:r>
        <w:rPr>
          <w:rFonts w:eastAsia="仿宋_GB2312"/>
          <w:color w:val="000000"/>
          <w:sz w:val="32"/>
          <w:szCs w:val="32"/>
        </w:rPr>
        <w:t xml:space="preserve"> 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0</w:t>
      </w:r>
      <w:r>
        <w:rPr>
          <w:rFonts w:eastAsia="仿宋_GB2312"/>
          <w:color w:val="000000"/>
          <w:sz w:val="32"/>
          <w:szCs w:val="32"/>
        </w:rPr>
        <w:t>万元，主要是因为</w:t>
      </w:r>
      <w:r>
        <w:rPr>
          <w:rFonts w:hint="eastAsia" w:eastAsia="仿宋_GB2312"/>
          <w:sz w:val="32"/>
          <w:szCs w:val="32"/>
        </w:rPr>
        <w:t>厉行节约，严格执行中央八项规定，减少公务接待费</w:t>
      </w:r>
      <w:r>
        <w:rPr>
          <w:rFonts w:eastAsia="仿宋_GB2312"/>
          <w:color w:val="000000"/>
          <w:sz w:val="32"/>
          <w:szCs w:val="32"/>
        </w:rPr>
        <w:t>。</w:t>
      </w:r>
    </w:p>
    <w:p>
      <w:pPr>
        <w:widowControl/>
        <w:shd w:val="clear" w:color="auto" w:fill="FFFFFF"/>
        <w:tabs>
          <w:tab w:val="left" w:pos="1800"/>
          <w:tab w:val="left" w:pos="2220"/>
        </w:tabs>
        <w:spacing w:line="560" w:lineRule="exact"/>
        <w:ind w:firstLine="720"/>
        <w:rPr>
          <w:rFonts w:eastAsia="仿宋_GB2312"/>
          <w:sz w:val="32"/>
          <w:szCs w:val="32"/>
        </w:rPr>
      </w:pPr>
      <w:r>
        <w:rPr>
          <w:rFonts w:eastAsia="楷体_GB2312"/>
          <w:bCs/>
          <w:color w:val="000000"/>
          <w:sz w:val="32"/>
          <w:szCs w:val="32"/>
        </w:rPr>
        <w:t>（</w:t>
      </w:r>
      <w:r>
        <w:rPr>
          <w:rFonts w:hint="eastAsia" w:eastAsia="楷体_GB2312"/>
          <w:bCs/>
          <w:color w:val="000000"/>
          <w:sz w:val="32"/>
          <w:szCs w:val="32"/>
          <w:lang w:val="en-US" w:eastAsia="zh-CN"/>
        </w:rPr>
        <w:t>六</w:t>
      </w:r>
      <w:r>
        <w:rPr>
          <w:rFonts w:eastAsia="楷体_GB2312"/>
          <w:bCs/>
          <w:color w:val="000000"/>
          <w:sz w:val="32"/>
          <w:szCs w:val="32"/>
        </w:rPr>
        <w:t>）其他事项。</w:t>
      </w:r>
      <w:r>
        <w:rPr>
          <w:rFonts w:eastAsia="仿宋_GB2312"/>
          <w:sz w:val="32"/>
          <w:szCs w:val="32"/>
        </w:rPr>
        <w:t>本单位</w:t>
      </w:r>
      <w:r>
        <w:rPr>
          <w:rFonts w:hint="eastAsia" w:eastAsia="仿宋_GB2312"/>
          <w:sz w:val="32"/>
          <w:szCs w:val="32"/>
        </w:rPr>
        <w:t>2021年预算未安排政府性基金预算，本部门无纳入专户管理的非税收入，</w:t>
      </w:r>
      <w:r>
        <w:rPr>
          <w:rFonts w:hint="eastAsia" w:eastAsia="仿宋_GB2312"/>
          <w:sz w:val="32"/>
          <w:szCs w:val="32"/>
          <w:lang w:eastAsia="zh-CN"/>
        </w:rPr>
        <w:t>本单位无门户网站，</w:t>
      </w:r>
      <w:r>
        <w:rPr>
          <w:rFonts w:hint="eastAsia" w:eastAsia="仿宋_GB2312"/>
          <w:sz w:val="32"/>
          <w:szCs w:val="32"/>
        </w:rPr>
        <w:t>已在政府网</w:t>
      </w:r>
      <w:r>
        <w:rPr>
          <w:rFonts w:hint="eastAsia" w:eastAsia="仿宋_GB2312"/>
          <w:sz w:val="32"/>
          <w:szCs w:val="32"/>
          <w:lang w:eastAsia="zh-CN"/>
        </w:rPr>
        <w:t>统一</w:t>
      </w:r>
      <w:r>
        <w:rPr>
          <w:rFonts w:hint="eastAsia" w:eastAsia="仿宋_GB2312"/>
          <w:sz w:val="32"/>
          <w:szCs w:val="32"/>
        </w:rPr>
        <w:t>公开。</w:t>
      </w: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144978"/>
    <w:rsid w:val="00323B43"/>
    <w:rsid w:val="003D37D8"/>
    <w:rsid w:val="004358AB"/>
    <w:rsid w:val="005553BA"/>
    <w:rsid w:val="006464CA"/>
    <w:rsid w:val="00684584"/>
    <w:rsid w:val="0077734D"/>
    <w:rsid w:val="008B7726"/>
    <w:rsid w:val="00B221AD"/>
    <w:rsid w:val="00CA119F"/>
    <w:rsid w:val="00CB1E75"/>
    <w:rsid w:val="00D84058"/>
    <w:rsid w:val="00E315E9"/>
    <w:rsid w:val="02C50484"/>
    <w:rsid w:val="065C29D6"/>
    <w:rsid w:val="076C1EB5"/>
    <w:rsid w:val="093C74AB"/>
    <w:rsid w:val="0D60694F"/>
    <w:rsid w:val="163E1BF5"/>
    <w:rsid w:val="175557B9"/>
    <w:rsid w:val="19A630EA"/>
    <w:rsid w:val="1BEA4B76"/>
    <w:rsid w:val="1F2B0E3C"/>
    <w:rsid w:val="224912EE"/>
    <w:rsid w:val="2DCA0C7A"/>
    <w:rsid w:val="34DC25C3"/>
    <w:rsid w:val="36D2729C"/>
    <w:rsid w:val="36E66E69"/>
    <w:rsid w:val="3E4F2CF0"/>
    <w:rsid w:val="3E545BEA"/>
    <w:rsid w:val="4099592E"/>
    <w:rsid w:val="41446CA7"/>
    <w:rsid w:val="429C5ABA"/>
    <w:rsid w:val="4324404D"/>
    <w:rsid w:val="441E4AF5"/>
    <w:rsid w:val="46CA4111"/>
    <w:rsid w:val="48D00B1A"/>
    <w:rsid w:val="4DC47B99"/>
    <w:rsid w:val="4E5C578F"/>
    <w:rsid w:val="50824773"/>
    <w:rsid w:val="52A27711"/>
    <w:rsid w:val="575354AD"/>
    <w:rsid w:val="57B61E2B"/>
    <w:rsid w:val="596E427C"/>
    <w:rsid w:val="599C6C8A"/>
    <w:rsid w:val="5AFF2151"/>
    <w:rsid w:val="60AD74D4"/>
    <w:rsid w:val="61295650"/>
    <w:rsid w:val="62803EBD"/>
    <w:rsid w:val="62CA3483"/>
    <w:rsid w:val="62FE19D5"/>
    <w:rsid w:val="6414545D"/>
    <w:rsid w:val="66025954"/>
    <w:rsid w:val="67F3753D"/>
    <w:rsid w:val="69773F04"/>
    <w:rsid w:val="6ED518E7"/>
    <w:rsid w:val="6FBD2753"/>
    <w:rsid w:val="72874A4C"/>
    <w:rsid w:val="73DA0C26"/>
    <w:rsid w:val="769D5871"/>
    <w:rsid w:val="76A24E6F"/>
    <w:rsid w:val="79641964"/>
    <w:rsid w:val="7A07023D"/>
    <w:rsid w:val="7CC86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olor w:val="000000"/>
      <w:kern w:val="0"/>
      <w:sz w:val="24"/>
    </w:rPr>
  </w:style>
  <w:style w:type="character" w:customStyle="1" w:styleId="7">
    <w:name w:val="页眉 Char"/>
    <w:basedOn w:val="6"/>
    <w:link w:val="3"/>
    <w:semiHidden/>
    <w:qFormat/>
    <w:uiPriority w:val="99"/>
    <w:rPr>
      <w:rFonts w:ascii="Times New Roman" w:hAnsi="Times New Roman" w:eastAsia="宋体" w:cs="Times New Roman"/>
      <w:kern w:val="2"/>
      <w:sz w:val="18"/>
      <w:szCs w:val="18"/>
    </w:rPr>
  </w:style>
  <w:style w:type="character" w:customStyle="1" w:styleId="8">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2414</Words>
  <Characters>2507</Characters>
  <Lines>44</Lines>
  <Paragraphs>12</Paragraphs>
  <TotalTime>3</TotalTime>
  <ScaleCrop>false</ScaleCrop>
  <LinksUpToDate>false</LinksUpToDate>
  <CharactersWithSpaces>2523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tree</cp:lastModifiedBy>
  <cp:lastPrinted>2021-03-26T00:48:00Z</cp:lastPrinted>
  <dcterms:modified xsi:type="dcterms:W3CDTF">2022-08-25T03:00:21Z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2C08500150EA40A0A44A2414443D3B8E</vt:lpwstr>
  </property>
</Properties>
</file>