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lang w:val="en-US" w:eastAsia="zh-CN"/>
        </w:rPr>
        <w:t>株洲市渌口区龙门镇人民政府2021</w:t>
      </w:r>
      <w:r>
        <w:rPr>
          <w:rFonts w:hint="eastAsia" w:ascii="方正小标宋简体" w:hAnsi="仿宋" w:eastAsia="方正小标宋简体"/>
          <w:bCs/>
          <w:color w:val="000000"/>
          <w:sz w:val="44"/>
          <w:szCs w:val="44"/>
        </w:rPr>
        <w:t>年部门预算公开说明</w:t>
      </w:r>
    </w:p>
    <w:p>
      <w:pPr>
        <w:tabs>
          <w:tab w:val="left" w:pos="7560"/>
        </w:tabs>
        <w:adjustRightInd w:val="0"/>
        <w:snapToGrid w:val="0"/>
        <w:spacing w:line="560" w:lineRule="exact"/>
        <w:jc w:val="center"/>
        <w:rPr>
          <w:rFonts w:eastAsia="仿宋"/>
          <w:b/>
          <w:color w:val="000000"/>
          <w:sz w:val="32"/>
          <w:szCs w:val="32"/>
        </w:rPr>
      </w:pPr>
    </w:p>
    <w:p>
      <w:pPr>
        <w:tabs>
          <w:tab w:val="left" w:pos="7560"/>
        </w:tabs>
        <w:adjustRightInd w:val="0"/>
        <w:snapToGrid w:val="0"/>
        <w:spacing w:line="560" w:lineRule="exact"/>
        <w:jc w:val="left"/>
        <w:rPr>
          <w:rFonts w:eastAsia="仿宋"/>
          <w:bCs/>
          <w:sz w:val="32"/>
          <w:szCs w:val="32"/>
        </w:rPr>
      </w:pPr>
    </w:p>
    <w:p>
      <w:pPr>
        <w:tabs>
          <w:tab w:val="left" w:pos="7560"/>
        </w:tabs>
        <w:adjustRightInd w:val="0"/>
        <w:snapToGrid w:val="0"/>
        <w:spacing w:line="560" w:lineRule="exact"/>
        <w:ind w:firstLine="640" w:firstLineChars="200"/>
        <w:jc w:val="center"/>
        <w:rPr>
          <w:rFonts w:ascii="黑体" w:hAnsi="黑体" w:eastAsia="黑体"/>
          <w:bCs/>
          <w:sz w:val="32"/>
          <w:szCs w:val="32"/>
        </w:rPr>
      </w:pPr>
      <w:r>
        <w:rPr>
          <w:rFonts w:ascii="黑体"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一、部门职能职责</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二、机构设置</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三、部门收支概况</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（一）收入预算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（二）支出预算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（三）预算收支增减变化情况说明</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四、其他重要事项情况说明</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（一）机关运行经费</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（二）政府采购预算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（三）国有资产占有情况</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（四）预算绩效目标</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（五）</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经费预算</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（六）会议费、培训费</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（七）其他事项</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五、名词解释</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六、部门预算公开表格</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（一）部门收支总表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（二）部门收入总表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（三）部门支出总表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（四）部门支出总表（分类）</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（五）支出分类</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（六）基本</w:t>
      </w:r>
      <w:r>
        <w:rPr>
          <w:rFonts w:hint="eastAsia" w:eastAsia="仿宋"/>
          <w:sz w:val="32"/>
          <w:szCs w:val="32"/>
        </w:rPr>
        <w:t>-</w:t>
      </w:r>
      <w:r>
        <w:rPr>
          <w:rFonts w:hAnsi="仿宋" w:eastAsia="仿宋"/>
          <w:sz w:val="32"/>
          <w:szCs w:val="32"/>
        </w:rPr>
        <w:t>工资福利</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（七）工资福利</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（八）基本</w:t>
      </w:r>
      <w:r>
        <w:rPr>
          <w:rFonts w:eastAsia="仿宋"/>
          <w:sz w:val="32"/>
          <w:szCs w:val="32"/>
        </w:rPr>
        <w:t>-</w:t>
      </w:r>
      <w:r>
        <w:rPr>
          <w:rFonts w:hAnsi="仿宋" w:eastAsia="仿宋"/>
          <w:sz w:val="32"/>
          <w:szCs w:val="32"/>
        </w:rPr>
        <w:t>一般商品服务</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（九）商品服务</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（十）基本</w:t>
      </w:r>
      <w:r>
        <w:rPr>
          <w:rFonts w:eastAsia="仿宋"/>
          <w:sz w:val="32"/>
          <w:szCs w:val="32"/>
        </w:rPr>
        <w:t>-</w:t>
      </w:r>
      <w:r>
        <w:rPr>
          <w:rFonts w:hAnsi="仿宋" w:eastAsia="仿宋"/>
          <w:sz w:val="32"/>
          <w:szCs w:val="32"/>
        </w:rPr>
        <w:t>个人和家庭</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（十一）个人家庭</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（十二）财政拨款收支总表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（十三）一般预算支出表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（十四）一般预算基本支出表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（十五）一般</w:t>
      </w:r>
      <w:r>
        <w:rPr>
          <w:rFonts w:eastAsia="仿宋"/>
          <w:sz w:val="32"/>
          <w:szCs w:val="32"/>
        </w:rPr>
        <w:t>-</w:t>
      </w:r>
      <w:r>
        <w:rPr>
          <w:rFonts w:hAnsi="仿宋" w:eastAsia="仿宋"/>
          <w:sz w:val="32"/>
          <w:szCs w:val="32"/>
        </w:rPr>
        <w:t>工资福利</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（十六）工资福利</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（十七）一般</w:t>
      </w:r>
      <w:r>
        <w:rPr>
          <w:rFonts w:eastAsia="仿宋"/>
          <w:sz w:val="32"/>
          <w:szCs w:val="32"/>
        </w:rPr>
        <w:t>-</w:t>
      </w:r>
      <w:r>
        <w:rPr>
          <w:rFonts w:hAnsi="仿宋" w:eastAsia="仿宋"/>
          <w:sz w:val="32"/>
          <w:szCs w:val="32"/>
        </w:rPr>
        <w:t>一般商品服务</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（十八）商品服务</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（十九）一般</w:t>
      </w:r>
      <w:r>
        <w:rPr>
          <w:rFonts w:eastAsia="仿宋"/>
          <w:sz w:val="32"/>
          <w:szCs w:val="32"/>
        </w:rPr>
        <w:t>-</w:t>
      </w:r>
      <w:r>
        <w:rPr>
          <w:rFonts w:hAnsi="仿宋" w:eastAsia="仿宋"/>
          <w:sz w:val="32"/>
          <w:szCs w:val="32"/>
        </w:rPr>
        <w:t>个人和家庭</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（二十）个人家庭</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（二十一）政府性基金</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（二十二）政府性基金</w:t>
      </w:r>
      <w:r>
        <w:rPr>
          <w:rFonts w:eastAsia="仿宋"/>
          <w:sz w:val="32"/>
          <w:szCs w:val="32"/>
        </w:rPr>
        <w:t>(</w:t>
      </w:r>
      <w:r>
        <w:rPr>
          <w:rFonts w:hAnsi="仿宋" w:eastAsia="仿宋"/>
          <w:sz w:val="32"/>
          <w:szCs w:val="32"/>
        </w:rPr>
        <w:t>政府预算</w:t>
      </w:r>
      <w:r>
        <w:rPr>
          <w:rFonts w:eastAsia="仿宋"/>
          <w:sz w:val="32"/>
          <w:szCs w:val="32"/>
        </w:rPr>
        <w:t xml:space="preserve">) </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（二十三）专户</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（二十四）专户</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（二十五）经费拨款预算表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（二十六）经费拨款预算表</w:t>
      </w:r>
      <w:r>
        <w:rPr>
          <w:rFonts w:eastAsia="仿宋"/>
          <w:sz w:val="32"/>
          <w:szCs w:val="32"/>
        </w:rPr>
        <w:t>(</w:t>
      </w:r>
      <w:r>
        <w:rPr>
          <w:rFonts w:hAnsi="仿宋" w:eastAsia="仿宋"/>
          <w:sz w:val="32"/>
          <w:szCs w:val="32"/>
        </w:rPr>
        <w:t>政府预算</w:t>
      </w:r>
      <w:r>
        <w:rPr>
          <w:rFonts w:eastAsia="仿宋"/>
          <w:sz w:val="32"/>
          <w:szCs w:val="32"/>
        </w:rPr>
        <w:t>)</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（二十七）专项支出预算表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（二十八）一般公共预算</w:t>
      </w:r>
      <w:r>
        <w:rPr>
          <w:rFonts w:eastAsia="仿宋"/>
          <w:sz w:val="32"/>
          <w:szCs w:val="32"/>
        </w:rPr>
        <w:t>“</w:t>
      </w:r>
      <w:r>
        <w:rPr>
          <w:rFonts w:hAnsi="仿宋" w:eastAsia="仿宋"/>
          <w:sz w:val="32"/>
          <w:szCs w:val="32"/>
        </w:rPr>
        <w:t>三公</w:t>
      </w:r>
      <w:r>
        <w:rPr>
          <w:rFonts w:eastAsia="仿宋"/>
          <w:sz w:val="32"/>
          <w:szCs w:val="32"/>
        </w:rPr>
        <w:t>”</w:t>
      </w:r>
      <w:r>
        <w:rPr>
          <w:rFonts w:hAnsi="仿宋" w:eastAsia="仿宋"/>
          <w:sz w:val="32"/>
          <w:szCs w:val="32"/>
        </w:rPr>
        <w:t>经费预算表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（二十九）政府购买服务预算表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（三十）政府采购预算表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（三十一）部门整体支出绩效目标表</w:t>
      </w:r>
    </w:p>
    <w:p>
      <w:pPr>
        <w:tabs>
          <w:tab w:val="left" w:pos="7560"/>
        </w:tabs>
        <w:adjustRightInd w:val="0"/>
        <w:snapToGrid w:val="0"/>
        <w:spacing w:line="560" w:lineRule="exact"/>
        <w:ind w:firstLine="640" w:firstLineChars="200"/>
        <w:jc w:val="left"/>
        <w:rPr>
          <w:rFonts w:eastAsia="仿宋"/>
          <w:sz w:val="32"/>
          <w:szCs w:val="32"/>
        </w:rPr>
      </w:pPr>
      <w:r>
        <w:rPr>
          <w:rFonts w:hAnsi="仿宋" w:eastAsia="仿宋"/>
          <w:sz w:val="32"/>
          <w:szCs w:val="32"/>
        </w:rPr>
        <w:t>（三十二）单位专项支出方向绩效目标表</w:t>
      </w: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eastAsia="仿宋"/>
          <w:sz w:val="32"/>
          <w:szCs w:val="32"/>
        </w:rPr>
      </w:pP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一、 部门职能职责</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（一）贯彻执行上级国家行政机关工作的法律、法规和方针、政策；接受同级党委的领导，执行本级人民代表大会的各项决议，并报告执行决议、决定和命令的情况。</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（二）制定并落实本行政区域的经济计划和措施，促进产业结构调整及其他经济保持平衡协调发展，全面提高人民去群众的生活水平和生活质量。</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（三）承担国有资产、集体资产的管理、监督及增值保值的责任；保护公民私人所有合法财产；保障集体经济组织应有的自主权；监督企业和各种经济联合体、个体户认真执行国家的法律法令和政策。</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（四）开展社会主义民主和法制的宣传教育工作，保障公民的合法权利；制定社会治安综合治理工作计划并组织实施；处理人民来信来访，调解民间纠纷；打击违法犯罪，维护社会稳定。</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（五）制定社会事业发展计划，发展教育、卫生、科级、民政、文化事业；组织实施义务教育和其他各类教育；加强计划生育工作；做好扶贫、统计和劳动管理等工作。</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（六）加强镇级财政的监督和管理，按计划组织和管理财政收入和支出，执行国家有关财政纪律和政策，保证国家财政收入的完成。</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（七）指导、支持和帮助村民委员会的组织制度建设和业务建设，促进村民委员会民主自治，制定和组织实施镇村建设规划。</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（八）协助和支持设置在本行政区划内不隶属于镇的国家机关和企事业单位的工作，监督其遵守和执行国家的法律、法规和政策。</w:t>
      </w:r>
    </w:p>
    <w:p>
      <w:pPr>
        <w:tabs>
          <w:tab w:val="left" w:pos="7560"/>
        </w:tabs>
        <w:adjustRightInd w:val="0"/>
        <w:snapToGrid w:val="0"/>
        <w:spacing w:line="560" w:lineRule="exact"/>
        <w:ind w:firstLine="640" w:firstLineChars="200"/>
        <w:jc w:val="left"/>
        <w:rPr>
          <w:rFonts w:hint="eastAsia" w:eastAsia="仿宋"/>
          <w:sz w:val="32"/>
          <w:szCs w:val="32"/>
        </w:rPr>
      </w:pPr>
      <w:r>
        <w:rPr>
          <w:rFonts w:hint="eastAsia" w:eastAsia="仿宋"/>
          <w:sz w:val="32"/>
          <w:szCs w:val="32"/>
        </w:rPr>
        <w:t>（九）承办县人民政府交办的其他事项。</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二、机构设置</w:t>
      </w:r>
    </w:p>
    <w:p>
      <w:pPr>
        <w:tabs>
          <w:tab w:val="left" w:pos="7560"/>
        </w:tabs>
        <w:adjustRightInd w:val="0"/>
        <w:snapToGrid w:val="0"/>
        <w:spacing w:line="560" w:lineRule="exact"/>
        <w:ind w:firstLine="640" w:firstLineChars="200"/>
        <w:jc w:val="left"/>
        <w:rPr>
          <w:rFonts w:hAnsi="仿宋" w:eastAsia="仿宋"/>
          <w:color w:val="000000"/>
          <w:sz w:val="32"/>
          <w:szCs w:val="32"/>
        </w:rPr>
      </w:pPr>
      <w:r>
        <w:rPr>
          <w:rFonts w:eastAsia="仿宋"/>
          <w:bCs/>
          <w:color w:val="000000"/>
          <w:sz w:val="32"/>
          <w:szCs w:val="32"/>
        </w:rPr>
        <w:t> </w:t>
      </w:r>
      <w:r>
        <w:rPr>
          <w:rFonts w:hint="eastAsia" w:hAnsi="仿宋" w:eastAsia="仿宋"/>
          <w:color w:val="000000"/>
          <w:sz w:val="32"/>
          <w:szCs w:val="32"/>
        </w:rPr>
        <w:t>株洲县龙门镇人民政府是正科级行政机关单位，属于乡镇行政机关，主要负责全镇行政工作，属县一级预算单位，现有部办8个（党政办、党建办、村镇办、农业农村办、综治办、卫健办、扶贫办、财政所）。</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三、 部门收支概况</w:t>
      </w:r>
    </w:p>
    <w:p>
      <w:pPr>
        <w:tabs>
          <w:tab w:val="left" w:pos="7560"/>
        </w:tabs>
        <w:adjustRightInd w:val="0"/>
        <w:snapToGrid w:val="0"/>
        <w:spacing w:line="560" w:lineRule="exact"/>
        <w:ind w:firstLine="640" w:firstLineChars="200"/>
        <w:jc w:val="left"/>
        <w:rPr>
          <w:rFonts w:hint="eastAsia" w:eastAsia="仿宋"/>
          <w:color w:val="000000"/>
          <w:sz w:val="32"/>
          <w:szCs w:val="32"/>
        </w:rPr>
      </w:pPr>
      <w:r>
        <w:rPr>
          <w:rFonts w:hint="eastAsia" w:eastAsia="仿宋"/>
          <w:color w:val="000000"/>
          <w:sz w:val="32"/>
          <w:szCs w:val="32"/>
        </w:rPr>
        <w:t>2021年部门预算编报范围为株洲县龙门镇人民政府。收入包括一般公共预算收入；支出既包括保障本单位机关基本运行的经费，也包括一般商品服务支出、对个人和家庭支出、业务性专项支出等专项经费。 </w:t>
      </w:r>
    </w:p>
    <w:p>
      <w:pPr>
        <w:tabs>
          <w:tab w:val="left" w:pos="7560"/>
        </w:tabs>
        <w:adjustRightInd w:val="0"/>
        <w:snapToGrid w:val="0"/>
        <w:spacing w:line="560" w:lineRule="exact"/>
        <w:ind w:firstLine="640" w:firstLineChars="200"/>
        <w:jc w:val="left"/>
        <w:rPr>
          <w:rFonts w:hint="eastAsia" w:eastAsia="仿宋"/>
          <w:color w:val="000000"/>
          <w:sz w:val="32"/>
          <w:szCs w:val="32"/>
        </w:rPr>
      </w:pPr>
      <w:r>
        <w:rPr>
          <w:rFonts w:hint="eastAsia" w:eastAsia="仿宋"/>
          <w:color w:val="000000"/>
          <w:sz w:val="32"/>
          <w:szCs w:val="32"/>
        </w:rPr>
        <w:t>本部门无下属预算单位。</w:t>
      </w:r>
    </w:p>
    <w:p>
      <w:pPr>
        <w:numPr>
          <w:ilvl w:val="0"/>
          <w:numId w:val="1"/>
        </w:numPr>
        <w:tabs>
          <w:tab w:val="left" w:pos="7560"/>
        </w:tabs>
        <w:adjustRightInd w:val="0"/>
        <w:snapToGrid w:val="0"/>
        <w:spacing w:line="560" w:lineRule="exact"/>
        <w:ind w:firstLine="640" w:firstLineChars="200"/>
        <w:jc w:val="left"/>
        <w:rPr>
          <w:rFonts w:hint="eastAsia" w:eastAsia="仿宋"/>
          <w:color w:val="000000"/>
          <w:sz w:val="32"/>
          <w:szCs w:val="32"/>
        </w:rPr>
      </w:pPr>
      <w:r>
        <w:rPr>
          <w:rFonts w:ascii="楷体" w:hAnsi="楷体" w:eastAsia="楷体"/>
          <w:bCs/>
          <w:color w:val="000000"/>
          <w:sz w:val="32"/>
          <w:szCs w:val="32"/>
        </w:rPr>
        <w:t>收入预算：</w:t>
      </w:r>
      <w:r>
        <w:rPr>
          <w:rFonts w:hint="eastAsia" w:eastAsia="仿宋"/>
          <w:color w:val="000000"/>
          <w:sz w:val="32"/>
          <w:szCs w:val="32"/>
        </w:rPr>
        <w:t>2021年年初预算数1030.6万元，其中，一般公共预算拨款1030.6万元；政府性基金拨款0万元；财政专户管理的非税收入拨款0万元；其他收入0万元；上年结转0万元。（因上年结转数暂未最终确定，本年度收支预算中均不含上年结转数字)</w:t>
      </w:r>
    </w:p>
    <w:p>
      <w:pPr>
        <w:numPr>
          <w:ilvl w:val="0"/>
          <w:numId w:val="1"/>
        </w:numPr>
        <w:tabs>
          <w:tab w:val="left" w:pos="7560"/>
        </w:tabs>
        <w:adjustRightInd w:val="0"/>
        <w:snapToGrid w:val="0"/>
        <w:spacing w:line="560" w:lineRule="exact"/>
        <w:ind w:left="0" w:leftChars="0" w:firstLine="640" w:firstLineChars="200"/>
        <w:jc w:val="left"/>
        <w:rPr>
          <w:rFonts w:hint="eastAsia" w:eastAsia="仿宋"/>
          <w:color w:val="000000"/>
          <w:sz w:val="32"/>
          <w:szCs w:val="32"/>
        </w:rPr>
      </w:pPr>
      <w:r>
        <w:rPr>
          <w:rFonts w:ascii="楷体" w:hAnsi="楷体" w:eastAsia="楷体"/>
          <w:bCs/>
          <w:color w:val="000000"/>
          <w:sz w:val="32"/>
          <w:szCs w:val="32"/>
        </w:rPr>
        <w:t>支出预算：</w:t>
      </w:r>
      <w:r>
        <w:rPr>
          <w:rFonts w:hint="eastAsia" w:eastAsia="仿宋"/>
          <w:color w:val="000000"/>
          <w:sz w:val="32"/>
          <w:szCs w:val="32"/>
        </w:rPr>
        <w:t>2021年年初预算数1030.6万元，其中，一般公共服务支出990.42万元，住房保障支出40.18万元</w:t>
      </w:r>
      <w:r>
        <w:rPr>
          <w:rFonts w:hint="eastAsia" w:eastAsia="仿宋"/>
          <w:color w:val="000000"/>
          <w:sz w:val="32"/>
          <w:szCs w:val="32"/>
          <w:lang w:eastAsia="zh-CN"/>
        </w:rPr>
        <w:t>。</w:t>
      </w:r>
    </w:p>
    <w:p>
      <w:pPr>
        <w:numPr>
          <w:ilvl w:val="0"/>
          <w:numId w:val="0"/>
        </w:numPr>
        <w:tabs>
          <w:tab w:val="left" w:pos="7560"/>
        </w:tabs>
        <w:adjustRightInd w:val="0"/>
        <w:snapToGrid w:val="0"/>
        <w:spacing w:line="560" w:lineRule="exact"/>
        <w:ind w:leftChars="200"/>
        <w:jc w:val="left"/>
        <w:rPr>
          <w:rFonts w:eastAsia="仿宋"/>
          <w:color w:val="000000"/>
          <w:sz w:val="32"/>
          <w:szCs w:val="32"/>
        </w:rPr>
      </w:pPr>
      <w:r>
        <w:rPr>
          <w:rFonts w:hAnsi="仿宋" w:eastAsia="仿宋"/>
          <w:color w:val="000000"/>
          <w:sz w:val="32"/>
          <w:szCs w:val="32"/>
        </w:rPr>
        <w:t>具体安排如下：</w:t>
      </w:r>
    </w:p>
    <w:p>
      <w:pPr>
        <w:tabs>
          <w:tab w:val="left" w:pos="7560"/>
        </w:tabs>
        <w:adjustRightInd w:val="0"/>
        <w:snapToGrid w:val="0"/>
        <w:spacing w:line="560" w:lineRule="exact"/>
        <w:ind w:firstLine="643" w:firstLineChars="200"/>
        <w:jc w:val="left"/>
        <w:rPr>
          <w:rFonts w:hAnsi="仿宋" w:eastAsia="仿宋"/>
          <w:color w:val="000000"/>
          <w:sz w:val="32"/>
          <w:szCs w:val="32"/>
        </w:rPr>
      </w:pPr>
      <w:r>
        <w:rPr>
          <w:rFonts w:eastAsia="仿宋"/>
          <w:b/>
          <w:color w:val="000000"/>
          <w:sz w:val="32"/>
          <w:szCs w:val="32"/>
        </w:rPr>
        <w:t>1.</w:t>
      </w:r>
      <w:r>
        <w:rPr>
          <w:rFonts w:hAnsi="仿宋" w:eastAsia="仿宋"/>
          <w:b/>
          <w:color w:val="000000"/>
          <w:sz w:val="32"/>
          <w:szCs w:val="32"/>
        </w:rPr>
        <w:t>基本支出：</w:t>
      </w:r>
      <w:r>
        <w:rPr>
          <w:rFonts w:hint="eastAsia" w:eastAsia="仿宋"/>
          <w:color w:val="000000"/>
          <w:sz w:val="32"/>
          <w:szCs w:val="32"/>
        </w:rPr>
        <w:t>2021年年初预算数为1030.6万元，是指为保障单位机构正常运转、完成日常工作任务而发生的各项支出，包括用于基本工资、津贴补贴等人员经费以及日常公用经费、业务性商品和服务支出。其中工资福利支出总计344.05万元，一般商品和服务支出总计454.46万元，对个人和家庭的补助总计3.67万元</w:t>
      </w:r>
      <w:r>
        <w:rPr>
          <w:rFonts w:hAnsi="仿宋" w:eastAsia="仿宋"/>
          <w:color w:val="000000"/>
          <w:sz w:val="32"/>
          <w:szCs w:val="32"/>
        </w:rPr>
        <w:t>。</w:t>
      </w:r>
    </w:p>
    <w:p>
      <w:pPr>
        <w:tabs>
          <w:tab w:val="left" w:pos="7560"/>
        </w:tabs>
        <w:adjustRightInd w:val="0"/>
        <w:snapToGrid w:val="0"/>
        <w:spacing w:line="560" w:lineRule="exact"/>
        <w:ind w:firstLine="640" w:firstLineChars="200"/>
        <w:jc w:val="left"/>
        <w:rPr>
          <w:rFonts w:hint="eastAsia" w:hAnsi="仿宋" w:eastAsia="仿宋"/>
          <w:color w:val="000000"/>
          <w:sz w:val="32"/>
          <w:szCs w:val="32"/>
        </w:rPr>
      </w:pPr>
      <w:r>
        <w:rPr>
          <w:rFonts w:hint="eastAsia" w:hAnsi="仿宋" w:eastAsia="仿宋"/>
          <w:color w:val="000000"/>
          <w:sz w:val="32"/>
          <w:szCs w:val="32"/>
        </w:rPr>
        <w:t>(1)、工资福利支出总计475.92万元：明细科目有基本工资134.06万元、津贴补贴121.52万元、奖金79.18万元、绩效工资14万元、机关事业单位基本养老保险缴费40.46万元、职工基本医疗保险缴费22万元、其他社会保障缴费1万元、住房公积金40.18万元、医疗费20.14万元，其他工资福利支出3.38万元。</w:t>
      </w:r>
    </w:p>
    <w:p>
      <w:pPr>
        <w:tabs>
          <w:tab w:val="left" w:pos="7560"/>
        </w:tabs>
        <w:adjustRightInd w:val="0"/>
        <w:snapToGrid w:val="0"/>
        <w:spacing w:line="560" w:lineRule="exact"/>
        <w:ind w:firstLine="640" w:firstLineChars="200"/>
        <w:jc w:val="left"/>
        <w:rPr>
          <w:rFonts w:hint="eastAsia" w:hAnsi="仿宋" w:eastAsia="仿宋"/>
          <w:color w:val="000000"/>
          <w:sz w:val="32"/>
          <w:szCs w:val="32"/>
        </w:rPr>
      </w:pPr>
      <w:r>
        <w:rPr>
          <w:rFonts w:hint="eastAsia" w:hAnsi="仿宋" w:eastAsia="仿宋"/>
          <w:color w:val="000000"/>
          <w:sz w:val="32"/>
          <w:szCs w:val="32"/>
        </w:rPr>
        <w:t>(2)、一般商品和服务支出总计543.4万元：明细科目有办公经费7.94万元、印刷费1.98万元、电费9.9万元、差旅费5.3万元、维修（护）费1.32万元、会议费4.54万元、培训费2.25万元、公务接待费1.94万元、福利费7.26万元、其他商品和服务支出500.98万元。</w:t>
      </w:r>
    </w:p>
    <w:p>
      <w:pPr>
        <w:tabs>
          <w:tab w:val="left" w:pos="7560"/>
        </w:tabs>
        <w:adjustRightInd w:val="0"/>
        <w:snapToGrid w:val="0"/>
        <w:spacing w:line="560" w:lineRule="exact"/>
        <w:ind w:firstLine="640" w:firstLineChars="200"/>
        <w:jc w:val="left"/>
        <w:rPr>
          <w:rFonts w:eastAsia="仿宋"/>
          <w:color w:val="000000"/>
          <w:sz w:val="32"/>
          <w:szCs w:val="32"/>
        </w:rPr>
      </w:pPr>
      <w:r>
        <w:rPr>
          <w:rFonts w:hint="eastAsia" w:hAnsi="仿宋" w:eastAsia="仿宋"/>
          <w:color w:val="000000"/>
          <w:sz w:val="32"/>
          <w:szCs w:val="32"/>
        </w:rPr>
        <w:t>（3）、对个人和家庭的补助总计11.28万元：明细科目有生活补助2.48万元,医疗费补助8.8万元。</w:t>
      </w:r>
    </w:p>
    <w:p>
      <w:pPr>
        <w:tabs>
          <w:tab w:val="left" w:pos="7560"/>
        </w:tabs>
        <w:adjustRightInd w:val="0"/>
        <w:snapToGrid w:val="0"/>
        <w:spacing w:line="560" w:lineRule="exact"/>
        <w:ind w:firstLine="643" w:firstLineChars="200"/>
        <w:jc w:val="left"/>
        <w:rPr>
          <w:rFonts w:eastAsia="仿宋"/>
          <w:color w:val="000000"/>
          <w:sz w:val="32"/>
          <w:szCs w:val="32"/>
        </w:rPr>
      </w:pPr>
      <w:r>
        <w:rPr>
          <w:rFonts w:eastAsia="仿宋"/>
          <w:b/>
          <w:color w:val="000000"/>
          <w:sz w:val="32"/>
          <w:szCs w:val="32"/>
        </w:rPr>
        <w:t>2.</w:t>
      </w:r>
      <w:r>
        <w:rPr>
          <w:rFonts w:hAnsi="仿宋" w:eastAsia="仿宋"/>
          <w:b/>
          <w:color w:val="000000"/>
          <w:sz w:val="32"/>
          <w:szCs w:val="32"/>
        </w:rPr>
        <w:t>项目支出：</w:t>
      </w:r>
      <w:r>
        <w:rPr>
          <w:rFonts w:hint="eastAsia" w:eastAsia="仿宋"/>
          <w:color w:val="000000"/>
          <w:sz w:val="32"/>
          <w:szCs w:val="32"/>
        </w:rPr>
        <w:t>2021年年初预算数为0万元，是指单位为完成特定行政工作任务或事业发展目标而发生的支出，包括有关事业发展专项、基本建设支出、资本性支出等。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
          <w:color w:val="000000"/>
          <w:sz w:val="32"/>
          <w:szCs w:val="32"/>
        </w:rPr>
      </w:pPr>
      <w:r>
        <w:rPr>
          <w:rFonts w:ascii="楷体" w:hAnsi="楷体" w:eastAsia="楷体"/>
          <w:bCs/>
          <w:color w:val="000000"/>
          <w:sz w:val="32"/>
          <w:szCs w:val="32"/>
        </w:rPr>
        <w:t>（三）预算收支增减变化情况说明：</w:t>
      </w:r>
      <w:r>
        <w:rPr>
          <w:rFonts w:hint="eastAsia" w:eastAsia="仿宋"/>
          <w:color w:val="000000"/>
          <w:sz w:val="32"/>
          <w:szCs w:val="32"/>
        </w:rPr>
        <w:t>2021年度本单位年初预算数为1030.6万元，比上年增加20.56万元，主要原因是因人员增加、工资薪酬的提标造成预算经费上涨。</w:t>
      </w:r>
    </w:p>
    <w:p>
      <w:pPr>
        <w:tabs>
          <w:tab w:val="left" w:pos="7560"/>
        </w:tabs>
        <w:adjustRightInd w:val="0"/>
        <w:snapToGrid w:val="0"/>
        <w:spacing w:line="560" w:lineRule="exact"/>
        <w:ind w:firstLine="640" w:firstLineChars="200"/>
        <w:jc w:val="left"/>
        <w:rPr>
          <w:rFonts w:ascii="黑体" w:hAnsi="黑体" w:eastAsia="黑体"/>
          <w:sz w:val="32"/>
          <w:szCs w:val="32"/>
        </w:rPr>
      </w:pPr>
      <w:r>
        <w:rPr>
          <w:rFonts w:ascii="黑体" w:hAnsi="黑体" w:eastAsia="黑体"/>
          <w:sz w:val="32"/>
          <w:szCs w:val="32"/>
        </w:rPr>
        <w:t>四、其他重要事项情况说明</w:t>
      </w:r>
    </w:p>
    <w:p>
      <w:pPr>
        <w:tabs>
          <w:tab w:val="left" w:pos="7560"/>
        </w:tabs>
        <w:adjustRightInd w:val="0"/>
        <w:snapToGrid w:val="0"/>
        <w:spacing w:line="560" w:lineRule="exact"/>
        <w:ind w:firstLine="640" w:firstLineChars="200"/>
        <w:jc w:val="left"/>
        <w:rPr>
          <w:rFonts w:eastAsia="仿宋"/>
          <w:color w:val="000000"/>
          <w:sz w:val="32"/>
          <w:szCs w:val="32"/>
        </w:rPr>
      </w:pPr>
      <w:r>
        <w:rPr>
          <w:rFonts w:ascii="楷体" w:hAnsi="楷体" w:eastAsia="楷体"/>
          <w:bCs/>
          <w:color w:val="000000"/>
          <w:sz w:val="32"/>
          <w:szCs w:val="32"/>
        </w:rPr>
        <w:t>（一）机关运行经费：</w:t>
      </w:r>
      <w:r>
        <w:rPr>
          <w:rFonts w:hint="eastAsia" w:hAnsi="仿宋" w:eastAsia="仿宋"/>
          <w:color w:val="000000"/>
          <w:sz w:val="32"/>
          <w:szCs w:val="32"/>
        </w:rPr>
        <w:t>本部门2021年年初预算机关运行经费(商品和服务支出+业务性专项)共安543.4万元，比上年度预算减少6.63万元，减少的主要原因是：政府过紧日子减少开支。</w:t>
      </w:r>
    </w:p>
    <w:p>
      <w:pPr>
        <w:tabs>
          <w:tab w:val="left" w:pos="7560"/>
        </w:tabs>
        <w:adjustRightInd w:val="0"/>
        <w:snapToGrid w:val="0"/>
        <w:spacing w:line="560" w:lineRule="exact"/>
        <w:ind w:firstLine="640" w:firstLineChars="200"/>
        <w:jc w:val="left"/>
        <w:rPr>
          <w:rFonts w:eastAsia="仿宋"/>
          <w:color w:val="000000"/>
          <w:sz w:val="32"/>
          <w:szCs w:val="32"/>
        </w:rPr>
      </w:pPr>
      <w:r>
        <w:rPr>
          <w:rFonts w:ascii="楷体" w:hAnsi="楷体" w:eastAsia="楷体"/>
          <w:bCs/>
          <w:color w:val="000000"/>
          <w:sz w:val="32"/>
          <w:szCs w:val="32"/>
        </w:rPr>
        <w:t>（二)政府采购预算：</w:t>
      </w:r>
      <w:r>
        <w:rPr>
          <w:rFonts w:hint="eastAsia" w:eastAsia="仿宋"/>
          <w:color w:val="000000"/>
          <w:sz w:val="32"/>
          <w:szCs w:val="32"/>
        </w:rPr>
        <w:t>2021年年初预算数263.19万元。其中：食堂扩建200万元、台式计算机25万元、笔记本电脑4万元、会议室桌凳25万元、茶水柜书架鼠标键盘等9.19万元</w:t>
      </w:r>
      <w:r>
        <w:rPr>
          <w:rFonts w:hAnsi="仿宋" w:eastAsia="仿宋"/>
          <w:color w:val="000000"/>
          <w:sz w:val="32"/>
          <w:szCs w:val="32"/>
        </w:rPr>
        <w:t>。</w:t>
      </w:r>
    </w:p>
    <w:p>
      <w:pPr>
        <w:tabs>
          <w:tab w:val="left" w:pos="7560"/>
        </w:tabs>
        <w:adjustRightInd w:val="0"/>
        <w:snapToGrid w:val="0"/>
        <w:spacing w:line="560" w:lineRule="exact"/>
        <w:ind w:firstLine="640" w:firstLineChars="200"/>
        <w:jc w:val="left"/>
        <w:rPr>
          <w:rFonts w:eastAsia="仿宋"/>
          <w:color w:val="000000"/>
          <w:sz w:val="32"/>
          <w:szCs w:val="32"/>
        </w:rPr>
      </w:pPr>
      <w:r>
        <w:rPr>
          <w:rFonts w:ascii="楷体" w:hAnsi="楷体" w:eastAsia="楷体"/>
          <w:bCs/>
          <w:color w:val="000000"/>
          <w:sz w:val="32"/>
          <w:szCs w:val="32"/>
        </w:rPr>
        <w:t>（三）国有资产占有情况：</w:t>
      </w:r>
      <w:r>
        <w:rPr>
          <w:rFonts w:hint="eastAsia" w:hAnsi="仿宋" w:eastAsia="仿宋"/>
          <w:color w:val="000000"/>
          <w:sz w:val="32"/>
          <w:szCs w:val="32"/>
        </w:rPr>
        <w:t>截止2020年12月31日，本部门共有办公及业务用房2600平方米；车辆2辆，其中一般公务用车2辆；单位价值200万以上大型设备 0 套。2021年部门预算安排购置车辆0辆，预算安排购置价值200万以上大型设备0套</w:t>
      </w:r>
      <w:r>
        <w:rPr>
          <w:rFonts w:hAnsi="仿宋" w:eastAsia="仿宋"/>
          <w:color w:val="000000"/>
          <w:sz w:val="32"/>
          <w:szCs w:val="32"/>
        </w:rPr>
        <w:t>。</w:t>
      </w:r>
    </w:p>
    <w:p>
      <w:pPr>
        <w:tabs>
          <w:tab w:val="left" w:pos="7560"/>
        </w:tabs>
        <w:adjustRightInd w:val="0"/>
        <w:snapToGrid w:val="0"/>
        <w:spacing w:line="560" w:lineRule="exact"/>
        <w:ind w:firstLine="640" w:firstLineChars="200"/>
        <w:jc w:val="left"/>
        <w:rPr>
          <w:rFonts w:eastAsia="仿宋"/>
          <w:b/>
          <w:bCs/>
          <w:color w:val="000000"/>
          <w:sz w:val="32"/>
          <w:szCs w:val="32"/>
        </w:rPr>
      </w:pPr>
      <w:r>
        <w:rPr>
          <w:rFonts w:ascii="楷体" w:hAnsi="楷体" w:eastAsia="楷体"/>
          <w:bCs/>
          <w:color w:val="000000"/>
          <w:sz w:val="32"/>
          <w:szCs w:val="32"/>
        </w:rPr>
        <w:t>（四）预算绩效目标：</w:t>
      </w:r>
      <w:r>
        <w:rPr>
          <w:rFonts w:hint="eastAsia" w:hAnsi="仿宋" w:eastAsia="仿宋"/>
          <w:color w:val="000000"/>
          <w:sz w:val="32"/>
          <w:szCs w:val="32"/>
        </w:rPr>
        <w:t>本部门整体支出和项目支出实行绩效目标管理，纳入2021年部门整体支出绩效目标的金额为1030.6万元，其中，基本支出1030.6万元，项目支出0万元</w:t>
      </w:r>
      <w:r>
        <w:rPr>
          <w:rFonts w:hAnsi="仿宋" w:eastAsia="仿宋"/>
          <w:color w:val="000000"/>
          <w:sz w:val="32"/>
          <w:szCs w:val="32"/>
        </w:rPr>
        <w:t>。</w:t>
      </w:r>
      <w:r>
        <w:rPr>
          <w:rFonts w:eastAsia="仿宋"/>
          <w:color w:val="000000"/>
          <w:sz w:val="32"/>
          <w:szCs w:val="32"/>
        </w:rPr>
        <w:t> </w:t>
      </w:r>
    </w:p>
    <w:p>
      <w:pPr>
        <w:tabs>
          <w:tab w:val="left" w:pos="7560"/>
        </w:tabs>
        <w:adjustRightInd w:val="0"/>
        <w:snapToGrid w:val="0"/>
        <w:spacing w:line="560" w:lineRule="exact"/>
        <w:ind w:firstLine="640" w:firstLineChars="200"/>
        <w:jc w:val="left"/>
        <w:rPr>
          <w:rFonts w:hint="eastAsia" w:eastAsia="仿宋"/>
          <w:color w:val="000000"/>
          <w:sz w:val="32"/>
          <w:szCs w:val="32"/>
        </w:rPr>
      </w:pPr>
      <w:r>
        <w:rPr>
          <w:rFonts w:ascii="楷体" w:hAnsi="楷体" w:eastAsia="楷体"/>
          <w:bCs/>
          <w:color w:val="000000"/>
          <w:sz w:val="32"/>
          <w:szCs w:val="32"/>
        </w:rPr>
        <w:t>（五）“三公”经费预算：</w:t>
      </w:r>
      <w:r>
        <w:rPr>
          <w:rFonts w:hint="eastAsia" w:eastAsia="仿宋"/>
          <w:color w:val="000000"/>
          <w:sz w:val="32"/>
          <w:szCs w:val="32"/>
        </w:rPr>
        <w:t>2021年“三公”经费预算数1.94万元，其中：公务接待费1.94万元、公务用车购置费0元，公务用车运行维护费0万元、因公出国（境）费0万元。2019年公务用车购置数0台。会议费4.54万元、培训费2.25万元。</w:t>
      </w:r>
    </w:p>
    <w:p>
      <w:pPr>
        <w:tabs>
          <w:tab w:val="left" w:pos="7560"/>
        </w:tabs>
        <w:adjustRightInd w:val="0"/>
        <w:snapToGrid w:val="0"/>
        <w:spacing w:line="560" w:lineRule="exact"/>
        <w:ind w:firstLine="640" w:firstLineChars="200"/>
        <w:jc w:val="left"/>
        <w:rPr>
          <w:rFonts w:eastAsia="仿宋"/>
          <w:color w:val="000000"/>
          <w:sz w:val="32"/>
          <w:szCs w:val="32"/>
        </w:rPr>
      </w:pPr>
      <w:r>
        <w:rPr>
          <w:rFonts w:eastAsia="仿宋"/>
          <w:color w:val="000000"/>
          <w:sz w:val="32"/>
          <w:szCs w:val="32"/>
        </w:rPr>
        <w:t>20</w:t>
      </w:r>
      <w:r>
        <w:rPr>
          <w:rFonts w:hint="eastAsia" w:eastAsia="仿宋"/>
          <w:color w:val="000000"/>
          <w:sz w:val="32"/>
          <w:szCs w:val="32"/>
        </w:rPr>
        <w:t>21</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经费预算数比</w:t>
      </w:r>
      <w:r>
        <w:rPr>
          <w:rFonts w:eastAsia="仿宋"/>
          <w:color w:val="000000"/>
          <w:sz w:val="32"/>
          <w:szCs w:val="32"/>
        </w:rPr>
        <w:t>20</w:t>
      </w:r>
      <w:r>
        <w:rPr>
          <w:rFonts w:hint="eastAsia" w:eastAsia="仿宋"/>
          <w:color w:val="000000"/>
          <w:sz w:val="32"/>
          <w:szCs w:val="32"/>
        </w:rPr>
        <w:t>20</w:t>
      </w:r>
      <w:r>
        <w:rPr>
          <w:rFonts w:hAnsi="仿宋" w:eastAsia="仿宋"/>
          <w:color w:val="000000"/>
          <w:sz w:val="32"/>
          <w:szCs w:val="32"/>
        </w:rPr>
        <w:t>年增加（减少）</w:t>
      </w:r>
      <w:r>
        <w:rPr>
          <w:rFonts w:eastAsia="仿宋"/>
          <w:color w:val="000000"/>
          <w:sz w:val="32"/>
          <w:szCs w:val="32"/>
        </w:rPr>
        <w:t>XX</w:t>
      </w:r>
      <w:r>
        <w:rPr>
          <w:rFonts w:hAnsi="仿宋" w:eastAsia="仿宋"/>
          <w:color w:val="000000"/>
          <w:sz w:val="32"/>
          <w:szCs w:val="32"/>
        </w:rPr>
        <w:t>万元，主要是因为</w:t>
      </w:r>
      <w:r>
        <w:rPr>
          <w:rFonts w:hint="eastAsia" w:eastAsia="仿宋"/>
          <w:color w:val="000000"/>
          <w:sz w:val="32"/>
          <w:szCs w:val="32"/>
        </w:rPr>
        <w:t>三公经费预算数同比去年减少5万，减少原因主要是公务用车运行维护费统计进维修（护）费科目中</w:t>
      </w:r>
      <w:r>
        <w:rPr>
          <w:rFonts w:hAnsi="仿宋" w:eastAsia="仿宋"/>
          <w:color w:val="000000"/>
          <w:sz w:val="32"/>
          <w:szCs w:val="32"/>
        </w:rPr>
        <w:t>。</w:t>
      </w:r>
    </w:p>
    <w:p>
      <w:pPr>
        <w:tabs>
          <w:tab w:val="left" w:pos="7560"/>
        </w:tabs>
        <w:adjustRightInd w:val="0"/>
        <w:snapToGrid w:val="0"/>
        <w:spacing w:line="560" w:lineRule="exact"/>
        <w:ind w:firstLine="640" w:firstLineChars="200"/>
        <w:jc w:val="left"/>
        <w:rPr>
          <w:rFonts w:ascii="楷体" w:hAnsi="楷体" w:eastAsia="楷体"/>
          <w:bCs/>
          <w:color w:val="000000"/>
          <w:sz w:val="32"/>
          <w:szCs w:val="32"/>
        </w:rPr>
      </w:pPr>
      <w:r>
        <w:rPr>
          <w:rFonts w:ascii="楷体" w:hAnsi="楷体" w:eastAsia="楷体"/>
          <w:bCs/>
          <w:color w:val="000000"/>
          <w:sz w:val="32"/>
          <w:szCs w:val="32"/>
        </w:rPr>
        <w:t>（六）会议费、培训费预算：</w:t>
      </w:r>
      <w:r>
        <w:rPr>
          <w:rFonts w:eastAsia="仿宋"/>
          <w:color w:val="000000"/>
          <w:sz w:val="32"/>
          <w:szCs w:val="32"/>
        </w:rPr>
        <w:t>20</w:t>
      </w:r>
      <w:r>
        <w:rPr>
          <w:rFonts w:hint="eastAsia" w:eastAsia="仿宋"/>
          <w:color w:val="000000"/>
          <w:sz w:val="32"/>
          <w:szCs w:val="32"/>
        </w:rPr>
        <w:t>21</w:t>
      </w:r>
      <w:r>
        <w:rPr>
          <w:rFonts w:hAnsi="仿宋" w:eastAsia="仿宋"/>
          <w:color w:val="000000"/>
          <w:sz w:val="32"/>
          <w:szCs w:val="32"/>
        </w:rPr>
        <w:t>年预算安排会议费</w:t>
      </w:r>
      <w:r>
        <w:rPr>
          <w:rFonts w:hint="eastAsia" w:eastAsia="仿宋"/>
          <w:color w:val="000000"/>
          <w:sz w:val="32"/>
          <w:szCs w:val="32"/>
          <w:lang w:val="en-US" w:eastAsia="zh-CN"/>
        </w:rPr>
        <w:t>4.54</w:t>
      </w:r>
      <w:r>
        <w:rPr>
          <w:rFonts w:hAnsi="仿宋" w:eastAsia="仿宋"/>
          <w:color w:val="000000"/>
          <w:sz w:val="32"/>
          <w:szCs w:val="32"/>
        </w:rPr>
        <w:t>万元，主要是</w:t>
      </w:r>
      <w:r>
        <w:rPr>
          <w:rFonts w:hint="eastAsia" w:hAnsi="仿宋" w:eastAsia="仿宋"/>
          <w:color w:val="000000"/>
          <w:sz w:val="32"/>
          <w:szCs w:val="32"/>
          <w:lang w:val="en-US" w:eastAsia="zh-CN"/>
        </w:rPr>
        <w:t>各项中心工作会议、党代会、人大会及村级选举会议等，会议人数50人-200人不等，经费按上级要求严格控制。</w:t>
      </w:r>
      <w:r>
        <w:rPr>
          <w:rFonts w:hAnsi="仿宋" w:eastAsia="仿宋"/>
          <w:color w:val="000000"/>
          <w:sz w:val="32"/>
          <w:szCs w:val="32"/>
        </w:rPr>
        <w:t>。</w:t>
      </w:r>
    </w:p>
    <w:p>
      <w:pPr>
        <w:tabs>
          <w:tab w:val="left" w:pos="7560"/>
        </w:tabs>
        <w:adjustRightInd w:val="0"/>
        <w:snapToGrid w:val="0"/>
        <w:spacing w:line="560" w:lineRule="exact"/>
        <w:ind w:firstLine="640" w:firstLineChars="200"/>
        <w:jc w:val="left"/>
        <w:rPr>
          <w:rFonts w:eastAsia="仿宋"/>
          <w:color w:val="000000"/>
          <w:sz w:val="32"/>
          <w:szCs w:val="32"/>
        </w:rPr>
      </w:pPr>
      <w:r>
        <w:rPr>
          <w:rFonts w:eastAsia="仿宋"/>
          <w:color w:val="000000"/>
          <w:sz w:val="32"/>
          <w:szCs w:val="32"/>
        </w:rPr>
        <w:t>20</w:t>
      </w:r>
      <w:r>
        <w:rPr>
          <w:rFonts w:hint="eastAsia" w:eastAsia="仿宋"/>
          <w:color w:val="000000"/>
          <w:sz w:val="32"/>
          <w:szCs w:val="32"/>
        </w:rPr>
        <w:t>21</w:t>
      </w:r>
      <w:r>
        <w:rPr>
          <w:rFonts w:hAnsi="仿宋" w:eastAsia="仿宋"/>
          <w:color w:val="000000"/>
          <w:sz w:val="32"/>
          <w:szCs w:val="32"/>
        </w:rPr>
        <w:t>年预算安排培训费</w:t>
      </w:r>
      <w:r>
        <w:rPr>
          <w:rFonts w:hint="eastAsia" w:eastAsia="仿宋"/>
          <w:color w:val="000000"/>
          <w:sz w:val="32"/>
          <w:szCs w:val="32"/>
          <w:lang w:val="en-US" w:eastAsia="zh-CN"/>
        </w:rPr>
        <w:t>2.25</w:t>
      </w:r>
      <w:r>
        <w:rPr>
          <w:rFonts w:hAnsi="仿宋" w:eastAsia="仿宋"/>
          <w:color w:val="000000"/>
          <w:sz w:val="32"/>
          <w:szCs w:val="32"/>
        </w:rPr>
        <w:t>万元，主要包括</w:t>
      </w:r>
      <w:r>
        <w:rPr>
          <w:rFonts w:hint="eastAsia" w:eastAsia="仿宋"/>
          <w:color w:val="000000"/>
          <w:sz w:val="32"/>
          <w:szCs w:val="32"/>
          <w:lang w:val="en-US" w:eastAsia="zh-CN"/>
        </w:rPr>
        <w:t>对村一级村干部及工作人员培训及政府工作人员外出培训等费用，费用按人均标准严格控制</w:t>
      </w:r>
      <w:r>
        <w:rPr>
          <w:rFonts w:hAnsi="仿宋" w:eastAsia="仿宋"/>
          <w:color w:val="000000"/>
          <w:sz w:val="32"/>
          <w:szCs w:val="32"/>
        </w:rPr>
        <w:t>。</w:t>
      </w:r>
    </w:p>
    <w:p>
      <w:pPr>
        <w:tabs>
          <w:tab w:val="left" w:pos="7560"/>
        </w:tabs>
        <w:adjustRightInd w:val="0"/>
        <w:snapToGrid w:val="0"/>
        <w:spacing w:line="560" w:lineRule="exact"/>
        <w:ind w:firstLine="640" w:firstLineChars="200"/>
        <w:jc w:val="left"/>
        <w:rPr>
          <w:rFonts w:hint="eastAsia" w:ascii="Times New Roman" w:hAnsi="Times New Roman" w:eastAsia="仿宋" w:cs="Times New Roman"/>
          <w:color w:val="000000"/>
          <w:sz w:val="32"/>
          <w:szCs w:val="32"/>
          <w:lang w:val="en-US" w:eastAsia="zh-CN"/>
        </w:rPr>
      </w:pPr>
      <w:r>
        <w:rPr>
          <w:rFonts w:ascii="楷体" w:hAnsi="楷体" w:eastAsia="楷体"/>
          <w:bCs/>
          <w:color w:val="000000"/>
          <w:sz w:val="32"/>
          <w:szCs w:val="32"/>
        </w:rPr>
        <w:t>（七）其他事项。</w:t>
      </w:r>
      <w:r>
        <w:rPr>
          <w:rFonts w:hint="eastAsia" w:ascii="Times New Roman" w:hAnsi="Times New Roman" w:eastAsia="仿宋" w:cs="Times New Roman"/>
          <w:color w:val="000000"/>
          <w:sz w:val="32"/>
          <w:szCs w:val="32"/>
          <w:lang w:val="en-US" w:eastAsia="zh-CN"/>
        </w:rPr>
        <w:t>本单位2021年预算未安排政府性基金拨款支出预算、纳入专户管理的非税收入拨款支出预算、2021年非税征收计划、业务性专项资金预算、项目支出预算（资金性质）、2021年本级单位专项支出预算绩效目标。</w:t>
      </w:r>
    </w:p>
    <w:p>
      <w:pPr>
        <w:tabs>
          <w:tab w:val="left" w:pos="7560"/>
        </w:tabs>
        <w:adjustRightInd w:val="0"/>
        <w:snapToGrid w:val="0"/>
        <w:spacing w:line="560" w:lineRule="exact"/>
        <w:ind w:firstLine="640" w:firstLineChars="200"/>
        <w:jc w:val="left"/>
        <w:rPr>
          <w:rFonts w:hint="eastAsia" w:ascii="Times New Roman" w:hAnsi="Times New Roman" w:eastAsia="仿宋" w:cs="Times New Roman"/>
          <w:color w:val="000000"/>
          <w:sz w:val="32"/>
          <w:szCs w:val="32"/>
          <w:lang w:val="en-US" w:eastAsia="zh-CN"/>
        </w:rPr>
      </w:pPr>
      <w:r>
        <w:rPr>
          <w:rFonts w:hint="eastAsia" w:ascii="Times New Roman" w:hAnsi="Times New Roman" w:eastAsia="仿宋" w:cs="Times New Roman"/>
          <w:color w:val="000000"/>
          <w:sz w:val="32"/>
          <w:szCs w:val="32"/>
          <w:lang w:val="en-US" w:eastAsia="zh-CN"/>
        </w:rPr>
        <w:t>本单位有部门门户网站，已在部门门户网站和政府门户网站同步公开。</w:t>
      </w:r>
    </w:p>
    <w:p>
      <w:pPr>
        <w:tabs>
          <w:tab w:val="left" w:pos="7560"/>
        </w:tabs>
        <w:adjustRightInd w:val="0"/>
        <w:snapToGrid w:val="0"/>
        <w:spacing w:line="560" w:lineRule="exact"/>
        <w:ind w:firstLine="643" w:firstLineChars="200"/>
        <w:jc w:val="left"/>
        <w:rPr>
          <w:rFonts w:eastAsia="仿宋"/>
          <w:b/>
          <w:bCs/>
          <w:sz w:val="32"/>
          <w:szCs w:val="32"/>
        </w:rPr>
      </w:pPr>
      <w:r>
        <w:rPr>
          <w:rFonts w:hint="eastAsia" w:hAnsi="仿宋" w:eastAsia="仿宋"/>
          <w:b/>
          <w:bCs/>
          <w:sz w:val="32"/>
          <w:szCs w:val="32"/>
          <w:lang w:val="en-US" w:eastAsia="zh-CN"/>
        </w:rPr>
        <w:t>五、</w:t>
      </w:r>
      <w:r>
        <w:rPr>
          <w:rFonts w:hAnsi="仿宋" w:eastAsia="仿宋"/>
          <w:b/>
          <w:bCs/>
          <w:sz w:val="32"/>
          <w:szCs w:val="32"/>
        </w:rPr>
        <w:t>名词解释：</w:t>
      </w:r>
    </w:p>
    <w:p>
      <w:pPr>
        <w:tabs>
          <w:tab w:val="left" w:pos="7560"/>
        </w:tabs>
        <w:adjustRightInd w:val="0"/>
        <w:snapToGrid w:val="0"/>
        <w:spacing w:line="560" w:lineRule="exact"/>
        <w:ind w:firstLine="643" w:firstLineChars="200"/>
        <w:jc w:val="left"/>
        <w:rPr>
          <w:rFonts w:eastAsia="仿宋"/>
          <w:sz w:val="32"/>
          <w:szCs w:val="32"/>
        </w:rPr>
      </w:pPr>
      <w:r>
        <w:rPr>
          <w:rFonts w:eastAsia="仿宋"/>
          <w:b/>
          <w:sz w:val="32"/>
          <w:szCs w:val="32"/>
        </w:rPr>
        <w:t>1.</w:t>
      </w:r>
      <w:r>
        <w:rPr>
          <w:rFonts w:hAnsi="仿宋" w:eastAsia="仿宋"/>
          <w:b/>
          <w:sz w:val="32"/>
          <w:szCs w:val="32"/>
        </w:rPr>
        <w:t>一般公共预算</w:t>
      </w:r>
      <w:r>
        <w:rPr>
          <w:rFonts w:eastAsia="仿宋"/>
          <w:b/>
          <w:sz w:val="32"/>
          <w:szCs w:val="32"/>
        </w:rPr>
        <w:t>:</w:t>
      </w:r>
      <w:r>
        <w:rPr>
          <w:rFonts w:eastAsia="仿宋"/>
          <w:sz w:val="32"/>
          <w:szCs w:val="32"/>
        </w:rPr>
        <w:t xml:space="preserve"> </w:t>
      </w:r>
      <w:r>
        <w:rPr>
          <w:rFonts w:hAnsi="仿宋" w:eastAsia="仿宋"/>
          <w:sz w:val="32"/>
          <w:szCs w:val="32"/>
        </w:rPr>
        <w:t>是对以税收为主体的财政收入，安排用于保障和改善民生、推动经济社会发展、维护国家安全、维持国家机构正常运转等方面的收支预算。一般公共预算收入即通常所指的</w:t>
      </w:r>
      <w:r>
        <w:rPr>
          <w:rFonts w:eastAsia="仿宋"/>
          <w:sz w:val="32"/>
          <w:szCs w:val="32"/>
        </w:rPr>
        <w:t>“</w:t>
      </w:r>
      <w:r>
        <w:rPr>
          <w:rFonts w:hAnsi="仿宋" w:eastAsia="仿宋"/>
          <w:sz w:val="32"/>
          <w:szCs w:val="32"/>
        </w:rPr>
        <w:t>财政收入</w:t>
      </w:r>
      <w:r>
        <w:rPr>
          <w:rFonts w:eastAsia="仿宋"/>
          <w:sz w:val="32"/>
          <w:szCs w:val="32"/>
        </w:rPr>
        <w:t>”</w:t>
      </w:r>
      <w:r>
        <w:rPr>
          <w:rFonts w:hAnsi="仿宋" w:eastAsia="仿宋"/>
          <w:sz w:val="32"/>
          <w:szCs w:val="32"/>
        </w:rPr>
        <w:t>，按照</w:t>
      </w:r>
      <w:r>
        <w:rPr>
          <w:rFonts w:eastAsia="仿宋"/>
          <w:sz w:val="32"/>
          <w:szCs w:val="32"/>
        </w:rPr>
        <w:t>2015</w:t>
      </w:r>
      <w:r>
        <w:rPr>
          <w:rFonts w:hAnsi="仿宋" w:eastAsia="仿宋"/>
          <w:sz w:val="32"/>
          <w:szCs w:val="32"/>
        </w:rPr>
        <w:t>年</w:t>
      </w:r>
      <w:r>
        <w:rPr>
          <w:rFonts w:eastAsia="仿宋"/>
          <w:sz w:val="32"/>
          <w:szCs w:val="32"/>
        </w:rPr>
        <w:t>1</w:t>
      </w:r>
      <w:r>
        <w:rPr>
          <w:rFonts w:hAnsi="仿宋" w:eastAsia="仿宋"/>
          <w:sz w:val="32"/>
          <w:szCs w:val="32"/>
        </w:rPr>
        <w:t>月</w:t>
      </w:r>
      <w:r>
        <w:rPr>
          <w:rFonts w:eastAsia="仿宋"/>
          <w:sz w:val="32"/>
          <w:szCs w:val="32"/>
        </w:rPr>
        <w:t>1</w:t>
      </w:r>
      <w:r>
        <w:rPr>
          <w:rFonts w:hAnsi="仿宋" w:eastAsia="仿宋"/>
          <w:sz w:val="32"/>
          <w:szCs w:val="32"/>
        </w:rPr>
        <w:t>日起施行的新《预算法》，改称</w:t>
      </w:r>
      <w:r>
        <w:rPr>
          <w:rFonts w:eastAsia="仿宋"/>
          <w:sz w:val="32"/>
          <w:szCs w:val="32"/>
        </w:rPr>
        <w:t>“</w:t>
      </w:r>
      <w:r>
        <w:rPr>
          <w:rFonts w:hAnsi="仿宋" w:eastAsia="仿宋"/>
          <w:sz w:val="32"/>
          <w:szCs w:val="32"/>
        </w:rPr>
        <w:t>一般公共预算收入</w:t>
      </w:r>
      <w:r>
        <w:rPr>
          <w:rFonts w:eastAsia="仿宋"/>
          <w:sz w:val="32"/>
          <w:szCs w:val="32"/>
        </w:rPr>
        <w:t>”</w:t>
      </w:r>
      <w:r>
        <w:rPr>
          <w:rFonts w:hAnsi="仿宋" w:eastAsia="仿宋"/>
          <w:sz w:val="32"/>
          <w:szCs w:val="32"/>
        </w:rPr>
        <w:t>。全市一般公共预算收入由地方收入、上划中央收入、上划省级收入三部分构成。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
          <w:sz w:val="32"/>
          <w:szCs w:val="32"/>
        </w:rPr>
      </w:pPr>
      <w:r>
        <w:rPr>
          <w:rFonts w:eastAsia="仿宋"/>
          <w:b/>
          <w:sz w:val="32"/>
          <w:szCs w:val="32"/>
        </w:rPr>
        <w:t>2.</w:t>
      </w:r>
      <w:r>
        <w:rPr>
          <w:rFonts w:hAnsi="仿宋" w:eastAsia="仿宋"/>
          <w:b/>
          <w:sz w:val="32"/>
          <w:szCs w:val="32"/>
        </w:rPr>
        <w:t>政府性基金预算</w:t>
      </w:r>
      <w:r>
        <w:rPr>
          <w:rFonts w:eastAsia="仿宋"/>
          <w:b/>
          <w:sz w:val="32"/>
          <w:szCs w:val="32"/>
        </w:rPr>
        <w:t>:</w:t>
      </w:r>
      <w:r>
        <w:rPr>
          <w:rFonts w:eastAsia="仿宋"/>
          <w:sz w:val="32"/>
          <w:szCs w:val="32"/>
        </w:rPr>
        <w:t xml:space="preserve"> </w:t>
      </w:r>
      <w:r>
        <w:rPr>
          <w:rFonts w:hAnsi="仿宋" w:eastAsia="仿宋"/>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
          <w:sz w:val="32"/>
          <w:szCs w:val="32"/>
        </w:rPr>
      </w:pPr>
      <w:r>
        <w:rPr>
          <w:rFonts w:eastAsia="仿宋"/>
          <w:b/>
          <w:sz w:val="32"/>
          <w:szCs w:val="32"/>
        </w:rPr>
        <w:t>3.</w:t>
      </w:r>
      <w:r>
        <w:rPr>
          <w:rFonts w:hAnsi="仿宋" w:eastAsia="仿宋"/>
          <w:b/>
          <w:sz w:val="32"/>
          <w:szCs w:val="32"/>
        </w:rPr>
        <w:t>国有资本经营预算</w:t>
      </w:r>
      <w:r>
        <w:rPr>
          <w:rFonts w:eastAsia="仿宋"/>
          <w:b/>
          <w:sz w:val="32"/>
          <w:szCs w:val="32"/>
        </w:rPr>
        <w:t xml:space="preserve">: </w:t>
      </w:r>
      <w:r>
        <w:rPr>
          <w:rFonts w:hAnsi="仿宋" w:eastAsia="仿宋"/>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
          <w:sz w:val="32"/>
          <w:szCs w:val="32"/>
        </w:rPr>
      </w:pPr>
      <w:r>
        <w:rPr>
          <w:rFonts w:eastAsia="仿宋"/>
          <w:b/>
          <w:sz w:val="32"/>
          <w:szCs w:val="32"/>
        </w:rPr>
        <w:t>4.</w:t>
      </w:r>
      <w:r>
        <w:rPr>
          <w:rFonts w:hAnsi="仿宋" w:eastAsia="仿宋"/>
          <w:b/>
          <w:sz w:val="32"/>
          <w:szCs w:val="32"/>
        </w:rPr>
        <w:t>社会保险基金预算</w:t>
      </w:r>
      <w:r>
        <w:rPr>
          <w:rFonts w:eastAsia="仿宋"/>
          <w:b/>
          <w:sz w:val="32"/>
          <w:szCs w:val="32"/>
        </w:rPr>
        <w:t>:</w:t>
      </w:r>
      <w:r>
        <w:rPr>
          <w:rFonts w:eastAsia="仿宋"/>
          <w:sz w:val="32"/>
          <w:szCs w:val="32"/>
        </w:rPr>
        <w:t xml:space="preserve"> </w:t>
      </w:r>
      <w:r>
        <w:rPr>
          <w:rFonts w:hAnsi="仿宋" w:eastAsia="仿宋"/>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
          <w:sz w:val="32"/>
          <w:szCs w:val="32"/>
        </w:rPr>
      </w:pPr>
      <w:r>
        <w:rPr>
          <w:rFonts w:eastAsia="仿宋"/>
          <w:b/>
          <w:sz w:val="32"/>
          <w:szCs w:val="32"/>
        </w:rPr>
        <w:t>5.</w:t>
      </w:r>
      <w:r>
        <w:rPr>
          <w:rFonts w:hAnsi="仿宋" w:eastAsia="仿宋"/>
          <w:b/>
          <w:sz w:val="32"/>
          <w:szCs w:val="32"/>
        </w:rPr>
        <w:t>基本支出：</w:t>
      </w:r>
      <w:r>
        <w:rPr>
          <w:rFonts w:hAnsi="仿宋" w:eastAsia="仿宋"/>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
          <w:sz w:val="32"/>
          <w:szCs w:val="32"/>
        </w:rPr>
      </w:pPr>
      <w:r>
        <w:rPr>
          <w:rFonts w:eastAsia="仿宋"/>
          <w:b/>
          <w:sz w:val="32"/>
          <w:szCs w:val="32"/>
        </w:rPr>
        <w:t>6.</w:t>
      </w:r>
      <w:r>
        <w:rPr>
          <w:rFonts w:hAnsi="仿宋" w:eastAsia="仿宋"/>
          <w:b/>
          <w:sz w:val="32"/>
          <w:szCs w:val="32"/>
        </w:rPr>
        <w:t>项目支出：</w:t>
      </w:r>
      <w:r>
        <w:rPr>
          <w:rFonts w:hAnsi="仿宋" w:eastAsia="仿宋"/>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hAnsi="仿宋" w:eastAsia="仿宋"/>
          <w:sz w:val="32"/>
          <w:szCs w:val="32"/>
        </w:rPr>
      </w:pPr>
      <w:r>
        <w:rPr>
          <w:rFonts w:eastAsia="仿宋"/>
          <w:b/>
          <w:sz w:val="32"/>
          <w:szCs w:val="32"/>
        </w:rPr>
        <w:t>7.“</w:t>
      </w:r>
      <w:r>
        <w:rPr>
          <w:rFonts w:hAnsi="仿宋" w:eastAsia="仿宋"/>
          <w:b/>
          <w:sz w:val="32"/>
          <w:szCs w:val="32"/>
        </w:rPr>
        <w:t>三公</w:t>
      </w:r>
      <w:r>
        <w:rPr>
          <w:rFonts w:eastAsia="仿宋"/>
          <w:b/>
          <w:sz w:val="32"/>
          <w:szCs w:val="32"/>
        </w:rPr>
        <w:t>”</w:t>
      </w:r>
      <w:r>
        <w:rPr>
          <w:rFonts w:hAnsi="仿宋" w:eastAsia="仿宋"/>
          <w:b/>
          <w:sz w:val="32"/>
          <w:szCs w:val="32"/>
        </w:rPr>
        <w:t>经费：</w:t>
      </w:r>
      <w:r>
        <w:rPr>
          <w:rFonts w:hAnsi="仿宋" w:eastAsia="仿宋"/>
          <w:sz w:val="32"/>
          <w:szCs w:val="32"/>
        </w:rPr>
        <w:t>是指商品和服务支出中的因公出国（境）费用、公务用车购置及运行维护费和公务接待费。</w:t>
      </w:r>
      <w:r>
        <w:rPr>
          <w:rFonts w:eastAsia="仿宋"/>
          <w:sz w:val="32"/>
          <w:szCs w:val="32"/>
        </w:rPr>
        <w:br w:type="textWrapping"/>
      </w:r>
      <w:r>
        <w:rPr>
          <w:rFonts w:eastAsia="仿宋"/>
          <w:sz w:val="32"/>
          <w:szCs w:val="32"/>
        </w:rPr>
        <w:t>8.</w:t>
      </w:r>
      <w:r>
        <w:rPr>
          <w:rFonts w:hAnsi="仿宋" w:eastAsia="仿宋"/>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51AB5"/>
    <w:multiLevelType w:val="singleLevel"/>
    <w:tmpl w:val="3FA51A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jBlYTkyODUyNjkxOWM1ZjkzYzYwZDU2MTgyYzEifQ=="/>
  </w:docVars>
  <w:rsids>
    <w:rsidRoot w:val="00000000"/>
    <w:rsid w:val="4DAC60E7"/>
    <w:rsid w:val="7492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3492</Words>
  <Characters>3764</Characters>
  <Lines>0</Lines>
  <Paragraphs>0</Paragraphs>
  <TotalTime>2</TotalTime>
  <ScaleCrop>false</ScaleCrop>
  <LinksUpToDate>false</LinksUpToDate>
  <CharactersWithSpaces>3779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2022-08-23T07:11:00Z</dcterms:created>
  <dc:creator>Administrator</dc:creator>
  <cp:lastModifiedBy>Administrator</cp:lastModifiedBy>
  <dcterms:modified xsi:type="dcterms:W3CDTF">2022-08-23T09:11:15Z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8EE1BFD2F1B94C379BD05E9DD7D592FD</vt:lpwstr>
  </property>
</Properties>
</file>