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74" w:rsidRPr="00826570" w:rsidRDefault="00CA46E2" w:rsidP="00826570">
      <w:pPr>
        <w:pStyle w:val="a6"/>
        <w:spacing w:line="500" w:lineRule="exact"/>
        <w:jc w:val="center"/>
        <w:rPr>
          <w:rFonts w:ascii="方正小标宋简体" w:eastAsia="方正小标宋简体"/>
          <w:sz w:val="44"/>
          <w:szCs w:val="44"/>
        </w:rPr>
      </w:pPr>
      <w:r w:rsidRPr="00826570">
        <w:rPr>
          <w:rFonts w:ascii="方正小标宋简体" w:eastAsia="方正小标宋简体" w:hint="eastAsia"/>
          <w:sz w:val="44"/>
          <w:szCs w:val="44"/>
        </w:rPr>
        <w:t>株洲市20</w:t>
      </w:r>
      <w:r w:rsidR="00AF15A3" w:rsidRPr="00826570">
        <w:rPr>
          <w:rFonts w:ascii="方正小标宋简体" w:eastAsia="方正小标宋简体" w:hint="eastAsia"/>
          <w:sz w:val="44"/>
          <w:szCs w:val="44"/>
        </w:rPr>
        <w:t>2</w:t>
      </w:r>
      <w:r w:rsidR="005A6811" w:rsidRPr="00826570">
        <w:rPr>
          <w:rFonts w:ascii="方正小标宋简体" w:eastAsia="方正小标宋简体" w:hint="eastAsia"/>
          <w:sz w:val="44"/>
          <w:szCs w:val="44"/>
        </w:rPr>
        <w:t>1</w:t>
      </w:r>
      <w:r w:rsidRPr="00826570">
        <w:rPr>
          <w:rFonts w:ascii="方正小标宋简体" w:eastAsia="方正小标宋简体" w:hint="eastAsia"/>
          <w:sz w:val="44"/>
          <w:szCs w:val="44"/>
        </w:rPr>
        <w:t>年1季度</w:t>
      </w:r>
      <w:r w:rsidR="00AF15A3" w:rsidRPr="00826570">
        <w:rPr>
          <w:rFonts w:ascii="方正小标宋简体" w:eastAsia="方正小标宋简体" w:hint="eastAsia"/>
          <w:sz w:val="44"/>
          <w:szCs w:val="44"/>
        </w:rPr>
        <w:t>基本医疗</w:t>
      </w:r>
      <w:r w:rsidRPr="00826570">
        <w:rPr>
          <w:rFonts w:ascii="方正小标宋简体" w:eastAsia="方正小标宋简体" w:hint="eastAsia"/>
          <w:sz w:val="44"/>
          <w:szCs w:val="44"/>
        </w:rPr>
        <w:t>基金</w:t>
      </w:r>
    </w:p>
    <w:p w:rsidR="00CA46E2" w:rsidRPr="00826570" w:rsidRDefault="00CA46E2" w:rsidP="00826570">
      <w:pPr>
        <w:pStyle w:val="a6"/>
        <w:spacing w:line="500" w:lineRule="exact"/>
        <w:jc w:val="center"/>
        <w:rPr>
          <w:rFonts w:ascii="方正小标宋简体" w:eastAsia="方正小标宋简体"/>
          <w:sz w:val="44"/>
          <w:szCs w:val="44"/>
        </w:rPr>
      </w:pPr>
      <w:r w:rsidRPr="00826570">
        <w:rPr>
          <w:rFonts w:ascii="方正小标宋简体" w:eastAsia="方正小标宋简体" w:hint="eastAsia"/>
          <w:sz w:val="44"/>
          <w:szCs w:val="44"/>
        </w:rPr>
        <w:t>财务报表分析报告</w:t>
      </w:r>
    </w:p>
    <w:p w:rsidR="00CA46E2" w:rsidRDefault="00CA46E2" w:rsidP="00C21929">
      <w:pPr>
        <w:jc w:val="left"/>
        <w:rPr>
          <w:rFonts w:ascii="黑体" w:eastAsia="黑体" w:cs="黑体"/>
          <w:sz w:val="36"/>
          <w:szCs w:val="36"/>
        </w:rPr>
      </w:pPr>
      <w:r>
        <w:rPr>
          <w:rFonts w:ascii="黑体" w:eastAsia="黑体" w:cs="黑体"/>
          <w:sz w:val="36"/>
          <w:szCs w:val="36"/>
        </w:rPr>
        <w:t xml:space="preserve">   </w:t>
      </w:r>
    </w:p>
    <w:p w:rsidR="00CA46E2" w:rsidRPr="00345D00" w:rsidRDefault="00CA46E2" w:rsidP="00C21929">
      <w:pPr>
        <w:jc w:val="left"/>
        <w:rPr>
          <w:rFonts w:ascii="楷体_GB2312" w:eastAsia="楷体_GB2312" w:hAnsi="宋体"/>
          <w:sz w:val="32"/>
          <w:szCs w:val="32"/>
        </w:rPr>
      </w:pPr>
      <w:r>
        <w:rPr>
          <w:rFonts w:ascii="黑体" w:eastAsia="黑体" w:cs="黑体"/>
          <w:sz w:val="36"/>
          <w:szCs w:val="36"/>
        </w:rPr>
        <w:t xml:space="preserve">  </w:t>
      </w:r>
      <w:r w:rsidRPr="00762674">
        <w:rPr>
          <w:rFonts w:ascii="楷体_GB2312" w:eastAsia="楷体_GB2312" w:hAnsi="仿宋" w:cs="仿宋_GB2312" w:hint="eastAsia"/>
          <w:sz w:val="32"/>
          <w:szCs w:val="32"/>
        </w:rPr>
        <w:t xml:space="preserve"> </w:t>
      </w:r>
      <w:r w:rsidR="00E20CEC" w:rsidRPr="00762674">
        <w:rPr>
          <w:rFonts w:ascii="楷体_GB2312" w:eastAsia="楷体_GB2312" w:hAnsi="仿宋" w:cs="仿宋_GB2312" w:hint="eastAsia"/>
          <w:sz w:val="32"/>
          <w:szCs w:val="32"/>
        </w:rPr>
        <w:t xml:space="preserve"> </w:t>
      </w:r>
      <w:r w:rsidR="0092493D" w:rsidRPr="00345D00">
        <w:rPr>
          <w:rFonts w:ascii="楷体_GB2312" w:eastAsia="楷体_GB2312" w:hAnsi="宋体" w:cs="仿宋_GB2312" w:hint="eastAsia"/>
          <w:sz w:val="32"/>
          <w:szCs w:val="32"/>
        </w:rPr>
        <w:t>在市委、市政府的坚强领导下，市医保局</w:t>
      </w:r>
      <w:r w:rsidR="0092493D" w:rsidRPr="00345D00">
        <w:rPr>
          <w:rFonts w:ascii="楷体_GB2312" w:eastAsia="楷体_GB2312" w:hAnsi="宋体" w:cs="仿宋_GB2312"/>
          <w:sz w:val="32"/>
          <w:szCs w:val="32"/>
        </w:rPr>
        <w:t>认真贯彻落实</w:t>
      </w:r>
      <w:r w:rsidR="0092493D" w:rsidRPr="00345D00">
        <w:rPr>
          <w:rFonts w:ascii="楷体_GB2312" w:eastAsia="楷体_GB2312" w:hAnsi="宋体" w:cs="仿宋_GB2312" w:hint="eastAsia"/>
          <w:sz w:val="32"/>
          <w:szCs w:val="32"/>
        </w:rPr>
        <w:t>习近平新时代中国特色社会主义思想</w:t>
      </w:r>
      <w:r w:rsidR="0092493D" w:rsidRPr="00345D00">
        <w:rPr>
          <w:rFonts w:ascii="楷体_GB2312" w:eastAsia="楷体_GB2312" w:hAnsi="宋体" w:cs="仿宋_GB2312"/>
          <w:sz w:val="32"/>
          <w:szCs w:val="32"/>
        </w:rPr>
        <w:t>，紧扣</w:t>
      </w:r>
      <w:r w:rsidR="0092493D" w:rsidRPr="00345D00">
        <w:rPr>
          <w:rFonts w:ascii="楷体_GB2312" w:eastAsia="楷体_GB2312" w:hAnsi="宋体" w:cs="仿宋_GB2312" w:hint="eastAsia"/>
          <w:sz w:val="32"/>
          <w:szCs w:val="32"/>
        </w:rPr>
        <w:t>新时代、新医保、新作为</w:t>
      </w:r>
      <w:r w:rsidR="0092493D" w:rsidRPr="00345D00">
        <w:rPr>
          <w:rFonts w:ascii="楷体_GB2312" w:eastAsia="楷体_GB2312" w:hAnsi="宋体" w:cs="仿宋_GB2312"/>
          <w:sz w:val="32"/>
          <w:szCs w:val="32"/>
        </w:rPr>
        <w:t>的发展主题，高标准、高投入抓好</w:t>
      </w:r>
      <w:r w:rsidR="0092493D" w:rsidRPr="00345D00">
        <w:rPr>
          <w:rFonts w:ascii="楷体_GB2312" w:eastAsia="楷体_GB2312" w:hAnsi="宋体" w:cs="仿宋_GB2312" w:hint="eastAsia"/>
          <w:sz w:val="32"/>
          <w:szCs w:val="32"/>
        </w:rPr>
        <w:t>医疗保障</w:t>
      </w:r>
      <w:r w:rsidR="0092493D" w:rsidRPr="00345D00">
        <w:rPr>
          <w:rFonts w:ascii="楷体_GB2312" w:eastAsia="楷体_GB2312" w:hAnsi="宋体" w:cs="仿宋_GB2312"/>
          <w:sz w:val="32"/>
          <w:szCs w:val="32"/>
        </w:rPr>
        <w:t>工作，持续扩大共享面、提高普惠度，</w:t>
      </w:r>
      <w:r w:rsidR="0092493D" w:rsidRPr="00345D00">
        <w:rPr>
          <w:rFonts w:ascii="楷体_GB2312" w:eastAsia="楷体_GB2312" w:hAnsi="宋体" w:cs="仿宋_GB2312" w:hint="eastAsia"/>
          <w:sz w:val="32"/>
          <w:szCs w:val="32"/>
        </w:rPr>
        <w:t>全市400万人民群众医疗保障水平稳步</w:t>
      </w:r>
      <w:r w:rsidR="0092493D" w:rsidRPr="00345D00">
        <w:rPr>
          <w:rFonts w:ascii="楷体_GB2312" w:eastAsia="楷体_GB2312" w:hAnsi="宋体" w:cs="仿宋_GB2312"/>
          <w:sz w:val="32"/>
          <w:szCs w:val="32"/>
        </w:rPr>
        <w:t>提升。</w:t>
      </w:r>
      <w:r w:rsidRPr="00345D00">
        <w:rPr>
          <w:rFonts w:ascii="楷体_GB2312" w:eastAsia="楷体_GB2312" w:hAnsi="宋体" w:cs="仿宋_GB2312" w:hint="eastAsia"/>
          <w:sz w:val="32"/>
          <w:szCs w:val="32"/>
        </w:rPr>
        <w:t>20</w:t>
      </w:r>
      <w:r w:rsidR="007820D0" w:rsidRPr="00345D00">
        <w:rPr>
          <w:rFonts w:ascii="楷体_GB2312" w:eastAsia="楷体_GB2312" w:hAnsi="宋体" w:cs="仿宋_GB2312" w:hint="eastAsia"/>
          <w:sz w:val="32"/>
          <w:szCs w:val="32"/>
        </w:rPr>
        <w:t>2</w:t>
      </w:r>
      <w:r w:rsidR="005B5B0F" w:rsidRPr="00345D00">
        <w:rPr>
          <w:rFonts w:ascii="楷体_GB2312" w:eastAsia="楷体_GB2312" w:hAnsi="宋体" w:cs="仿宋_GB2312" w:hint="eastAsia"/>
          <w:sz w:val="32"/>
          <w:szCs w:val="32"/>
        </w:rPr>
        <w:t>2</w:t>
      </w:r>
      <w:r w:rsidRPr="00345D00">
        <w:rPr>
          <w:rFonts w:ascii="楷体_GB2312" w:eastAsia="楷体_GB2312" w:hAnsi="宋体" w:cs="仿宋_GB2312" w:hint="eastAsia"/>
          <w:sz w:val="32"/>
          <w:szCs w:val="32"/>
        </w:rPr>
        <w:t>年1季度医疗、生育保险及城乡居民基金运行分析如下：</w:t>
      </w:r>
    </w:p>
    <w:p w:rsidR="00CA46E2" w:rsidRPr="00762674" w:rsidRDefault="00CA46E2" w:rsidP="00762674">
      <w:pPr>
        <w:spacing w:line="360" w:lineRule="auto"/>
        <w:ind w:firstLineChars="200" w:firstLine="643"/>
        <w:rPr>
          <w:rFonts w:ascii="黑体" w:eastAsia="黑体" w:hAnsi="黑体" w:cs="仿宋_GB2312"/>
          <w:b/>
          <w:bCs/>
          <w:sz w:val="32"/>
          <w:szCs w:val="32"/>
        </w:rPr>
      </w:pPr>
      <w:r w:rsidRPr="00762674">
        <w:rPr>
          <w:rFonts w:ascii="黑体" w:eastAsia="黑体" w:hAnsi="黑体" w:cs="仿宋_GB2312" w:hint="eastAsia"/>
          <w:b/>
          <w:bCs/>
          <w:sz w:val="32"/>
          <w:szCs w:val="32"/>
        </w:rPr>
        <w:t>一、</w:t>
      </w:r>
      <w:r w:rsidR="007603E0" w:rsidRPr="00762674">
        <w:rPr>
          <w:rFonts w:ascii="黑体" w:eastAsia="黑体" w:hAnsi="黑体" w:cs="仿宋_GB2312" w:hint="eastAsia"/>
          <w:b/>
          <w:bCs/>
          <w:sz w:val="32"/>
          <w:szCs w:val="32"/>
        </w:rPr>
        <w:t>各项医保基金财务情况</w:t>
      </w:r>
      <w:r w:rsidRPr="00762674">
        <w:rPr>
          <w:rFonts w:ascii="黑体" w:eastAsia="黑体" w:hAnsi="黑体" w:cs="仿宋_GB2312" w:hint="eastAsia"/>
          <w:b/>
          <w:bCs/>
          <w:sz w:val="32"/>
          <w:szCs w:val="32"/>
        </w:rPr>
        <w:t>分析</w:t>
      </w:r>
    </w:p>
    <w:p w:rsidR="007603E0" w:rsidRPr="00345D00" w:rsidRDefault="007603E0" w:rsidP="007603E0">
      <w:pPr>
        <w:spacing w:line="360" w:lineRule="auto"/>
        <w:rPr>
          <w:rFonts w:ascii="仿宋_GB2312" w:eastAsia="仿宋_GB2312" w:hAnsi="宋体"/>
          <w:b/>
          <w:bCs/>
          <w:sz w:val="32"/>
          <w:szCs w:val="32"/>
        </w:rPr>
      </w:pPr>
      <w:r w:rsidRPr="00345D00">
        <w:rPr>
          <w:rFonts w:ascii="楷体_GB2312" w:eastAsia="楷体_GB2312" w:hAnsi="宋体" w:hint="eastAsia"/>
          <w:b/>
          <w:bCs/>
          <w:sz w:val="32"/>
          <w:szCs w:val="32"/>
        </w:rPr>
        <w:t xml:space="preserve">  </w:t>
      </w:r>
      <w:r w:rsidRPr="00345D00">
        <w:rPr>
          <w:rFonts w:ascii="仿宋_GB2312" w:eastAsia="仿宋_GB2312" w:hAnsi="宋体" w:hint="eastAsia"/>
          <w:b/>
          <w:bCs/>
          <w:sz w:val="32"/>
          <w:szCs w:val="32"/>
        </w:rPr>
        <w:t>（一）基金收支余情况</w:t>
      </w:r>
    </w:p>
    <w:p w:rsidR="00CA46E2" w:rsidRPr="00345D00" w:rsidRDefault="007603E0" w:rsidP="00762674">
      <w:pPr>
        <w:spacing w:line="360" w:lineRule="auto"/>
        <w:ind w:firstLineChars="150" w:firstLine="480"/>
        <w:rPr>
          <w:rFonts w:ascii="楷体_GB2312" w:eastAsia="楷体_GB2312" w:hAnsi="宋体" w:cs="仿宋_GB2312"/>
          <w:b/>
          <w:sz w:val="32"/>
          <w:szCs w:val="32"/>
        </w:rPr>
      </w:pPr>
      <w:r w:rsidRPr="00345D00">
        <w:rPr>
          <w:rFonts w:ascii="楷体_GB2312" w:eastAsia="楷体_GB2312" w:hAnsi="宋体" w:cs="仿宋_GB2312" w:hint="eastAsia"/>
          <w:sz w:val="32"/>
          <w:szCs w:val="32"/>
        </w:rPr>
        <w:t xml:space="preserve">   </w:t>
      </w:r>
      <w:r w:rsidRPr="00345D00">
        <w:rPr>
          <w:rFonts w:ascii="楷体_GB2312" w:eastAsia="楷体_GB2312" w:hAnsi="宋体" w:cs="仿宋_GB2312" w:hint="eastAsia"/>
          <w:b/>
          <w:sz w:val="32"/>
          <w:szCs w:val="32"/>
        </w:rPr>
        <w:t>1、</w:t>
      </w:r>
      <w:r w:rsidR="00CA46E2" w:rsidRPr="00345D00">
        <w:rPr>
          <w:rFonts w:ascii="楷体_GB2312" w:eastAsia="楷体_GB2312" w:hAnsi="宋体" w:cs="仿宋_GB2312" w:hint="eastAsia"/>
          <w:b/>
          <w:sz w:val="32"/>
          <w:szCs w:val="32"/>
        </w:rPr>
        <w:t>基金收</w:t>
      </w:r>
      <w:r w:rsidR="002D0CDC" w:rsidRPr="00345D00">
        <w:rPr>
          <w:rFonts w:ascii="楷体_GB2312" w:eastAsia="楷体_GB2312" w:hAnsi="宋体" w:cs="仿宋_GB2312" w:hint="eastAsia"/>
          <w:b/>
          <w:sz w:val="32"/>
          <w:szCs w:val="32"/>
        </w:rPr>
        <w:t>入</w:t>
      </w:r>
      <w:r w:rsidR="00CA46E2" w:rsidRPr="00345D00">
        <w:rPr>
          <w:rFonts w:ascii="楷体_GB2312" w:eastAsia="楷体_GB2312" w:hAnsi="宋体" w:cs="仿宋_GB2312" w:hint="eastAsia"/>
          <w:b/>
          <w:sz w:val="32"/>
          <w:szCs w:val="32"/>
        </w:rPr>
        <w:t>情况分析</w:t>
      </w:r>
    </w:p>
    <w:p w:rsidR="002D0CDC" w:rsidRPr="00345D00" w:rsidRDefault="002D0CDC" w:rsidP="00762674">
      <w:pPr>
        <w:spacing w:line="360" w:lineRule="auto"/>
        <w:ind w:firstLineChars="150" w:firstLine="482"/>
        <w:rPr>
          <w:rFonts w:ascii="楷体_GB2312" w:eastAsia="楷体_GB2312" w:hAnsi="宋体" w:cs="仿宋_GB2312"/>
          <w:b/>
          <w:sz w:val="32"/>
          <w:szCs w:val="32"/>
        </w:rPr>
      </w:pPr>
      <w:r w:rsidRPr="00345D00">
        <w:rPr>
          <w:rFonts w:ascii="楷体_GB2312" w:eastAsia="楷体_GB2312" w:hAnsi="宋体" w:cs="仿宋_GB2312" w:hint="eastAsia"/>
          <w:b/>
          <w:sz w:val="32"/>
          <w:szCs w:val="32"/>
        </w:rPr>
        <w:t xml:space="preserve">   ①对比分析情况</w:t>
      </w:r>
    </w:p>
    <w:p w:rsidR="00523F1F" w:rsidRPr="00F746CE" w:rsidRDefault="00EB708D" w:rsidP="00762674">
      <w:pPr>
        <w:jc w:val="right"/>
        <w:rPr>
          <w:rFonts w:ascii="楷体_GB2312" w:eastAsia="楷体_GB2312"/>
          <w:sz w:val="18"/>
          <w:szCs w:val="18"/>
        </w:rPr>
      </w:pPr>
      <w:r>
        <w:rPr>
          <w:rFonts w:ascii="楷体_GB2312" w:eastAsia="楷体_GB2312"/>
          <w:b/>
          <w:sz w:val="32"/>
          <w:szCs w:val="32"/>
        </w:rPr>
        <w:t>2020</w:t>
      </w:r>
      <w:r w:rsidR="00523F1F" w:rsidRPr="00762674">
        <w:rPr>
          <w:rFonts w:ascii="楷体_GB2312" w:eastAsia="楷体_GB2312" w:hint="eastAsia"/>
          <w:b/>
          <w:sz w:val="32"/>
          <w:szCs w:val="32"/>
        </w:rPr>
        <w:t>、20</w:t>
      </w:r>
      <w:r w:rsidR="007820D0" w:rsidRPr="00762674">
        <w:rPr>
          <w:rFonts w:ascii="楷体_GB2312" w:eastAsia="楷体_GB2312" w:hint="eastAsia"/>
          <w:b/>
          <w:sz w:val="32"/>
          <w:szCs w:val="32"/>
        </w:rPr>
        <w:t>2</w:t>
      </w:r>
      <w:r>
        <w:rPr>
          <w:rFonts w:ascii="楷体_GB2312" w:eastAsia="楷体_GB2312"/>
          <w:b/>
          <w:sz w:val="32"/>
          <w:szCs w:val="32"/>
        </w:rPr>
        <w:t>1</w:t>
      </w:r>
      <w:r w:rsidR="00523F1F" w:rsidRPr="00762674">
        <w:rPr>
          <w:rFonts w:ascii="楷体_GB2312" w:eastAsia="楷体_GB2312" w:hint="eastAsia"/>
          <w:b/>
          <w:sz w:val="32"/>
          <w:szCs w:val="32"/>
        </w:rPr>
        <w:t>年1季度全市医疗生育保险基金总收入增长图</w:t>
      </w:r>
      <w:r w:rsidR="00762674">
        <w:rPr>
          <w:rFonts w:ascii="楷体_GB2312" w:eastAsia="楷体_GB2312" w:hint="eastAsia"/>
          <w:b/>
          <w:sz w:val="32"/>
          <w:szCs w:val="32"/>
        </w:rPr>
        <w:t xml:space="preserve">       </w:t>
      </w:r>
      <w:r w:rsidR="00523F1F" w:rsidRPr="00F746CE">
        <w:rPr>
          <w:rFonts w:ascii="楷体_GB2312" w:eastAsia="楷体_GB2312" w:hint="eastAsia"/>
          <w:sz w:val="18"/>
          <w:szCs w:val="18"/>
        </w:rPr>
        <w:t>（单位:万元）</w:t>
      </w:r>
    </w:p>
    <w:p w:rsidR="002E4CD1" w:rsidRPr="00762674" w:rsidRDefault="00565A53" w:rsidP="002E4CD1">
      <w:pPr>
        <w:jc w:val="left"/>
        <w:rPr>
          <w:rFonts w:ascii="楷体_GB2312" w:eastAsia="楷体_GB2312"/>
          <w:sz w:val="32"/>
          <w:szCs w:val="32"/>
        </w:rPr>
      </w:pPr>
      <w:r w:rsidRPr="00762674">
        <w:rPr>
          <w:rFonts w:ascii="楷体_GB2312" w:eastAsia="楷体_GB2312" w:hAnsi="仿宋" w:cs="仿宋_GB2312" w:hint="eastAsia"/>
          <w:sz w:val="32"/>
          <w:szCs w:val="32"/>
        </w:rPr>
        <w:object w:dxaOrig="8145" w:dyaOrig="3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83pt" o:ole="">
            <v:imagedata r:id="rId8" o:title=""/>
          </v:shape>
          <o:OLEObject Type="Embed" ProgID="MSGraph.Chart.8" ShapeID="_x0000_i1025" DrawAspect="Content" ObjectID="_1713857405" r:id="rId9">
            <o:FieldCodes>\s</o:FieldCodes>
          </o:OLEObject>
        </w:object>
      </w:r>
      <w:r w:rsidR="002E4CD1" w:rsidRPr="00762674">
        <w:rPr>
          <w:rFonts w:ascii="楷体_GB2312" w:eastAsia="楷体_GB2312" w:hint="eastAsia"/>
          <w:sz w:val="32"/>
          <w:szCs w:val="32"/>
        </w:rPr>
        <w:t xml:space="preserve">  </w:t>
      </w:r>
    </w:p>
    <w:p w:rsidR="002E4CD1" w:rsidRPr="00762674" w:rsidRDefault="002E4CD1" w:rsidP="00FF1578">
      <w:pPr>
        <w:ind w:firstLine="640"/>
        <w:jc w:val="left"/>
        <w:rPr>
          <w:rFonts w:ascii="楷体_GB2312" w:eastAsia="楷体_GB2312" w:hAnsi="宋体"/>
          <w:sz w:val="32"/>
          <w:szCs w:val="32"/>
        </w:rPr>
      </w:pPr>
      <w:r w:rsidRPr="00762674">
        <w:rPr>
          <w:rFonts w:ascii="楷体_GB2312" w:eastAsia="楷体_GB2312" w:hint="eastAsia"/>
          <w:sz w:val="32"/>
          <w:szCs w:val="32"/>
        </w:rPr>
        <w:t>20</w:t>
      </w:r>
      <w:r w:rsidR="007820D0" w:rsidRPr="00762674">
        <w:rPr>
          <w:rFonts w:ascii="楷体_GB2312" w:eastAsia="楷体_GB2312" w:hint="eastAsia"/>
          <w:sz w:val="32"/>
          <w:szCs w:val="32"/>
        </w:rPr>
        <w:t>2</w:t>
      </w:r>
      <w:r w:rsidR="00EB708D">
        <w:rPr>
          <w:rFonts w:ascii="楷体_GB2312" w:eastAsia="楷体_GB2312"/>
          <w:sz w:val="32"/>
          <w:szCs w:val="32"/>
        </w:rPr>
        <w:t>1</w:t>
      </w:r>
      <w:r w:rsidRPr="00762674">
        <w:rPr>
          <w:rFonts w:ascii="楷体_GB2312" w:eastAsia="楷体_GB2312" w:hint="eastAsia"/>
          <w:sz w:val="32"/>
          <w:szCs w:val="32"/>
        </w:rPr>
        <w:t>年</w:t>
      </w:r>
      <w:r w:rsidR="004F20CB" w:rsidRPr="00762674">
        <w:rPr>
          <w:rFonts w:ascii="楷体_GB2312" w:eastAsia="楷体_GB2312" w:hint="eastAsia"/>
          <w:sz w:val="32"/>
          <w:szCs w:val="32"/>
        </w:rPr>
        <w:t>1季度</w:t>
      </w:r>
      <w:r w:rsidRPr="00762674">
        <w:rPr>
          <w:rFonts w:ascii="楷体_GB2312" w:eastAsia="楷体_GB2312" w:hint="eastAsia"/>
          <w:sz w:val="32"/>
          <w:szCs w:val="32"/>
        </w:rPr>
        <w:t>全市</w:t>
      </w:r>
      <w:r w:rsidRPr="00762674">
        <w:rPr>
          <w:rFonts w:ascii="楷体_GB2312" w:eastAsia="楷体_GB2312" w:hAnsi="宋体" w:hint="eastAsia"/>
          <w:sz w:val="32"/>
          <w:szCs w:val="32"/>
        </w:rPr>
        <w:t>城镇职工医保</w:t>
      </w:r>
      <w:r w:rsidR="00C955AA" w:rsidRPr="00762674">
        <w:rPr>
          <w:rFonts w:ascii="楷体_GB2312" w:eastAsia="楷体_GB2312" w:hAnsi="宋体" w:hint="eastAsia"/>
          <w:sz w:val="32"/>
          <w:szCs w:val="32"/>
        </w:rPr>
        <w:t>（含生育）</w:t>
      </w:r>
      <w:r w:rsidRPr="00762674">
        <w:rPr>
          <w:rFonts w:ascii="楷体_GB2312" w:eastAsia="楷体_GB2312" w:hAnsi="宋体" w:hint="eastAsia"/>
          <w:sz w:val="32"/>
          <w:szCs w:val="32"/>
        </w:rPr>
        <w:t>、城乡居民医保</w:t>
      </w:r>
      <w:r w:rsidR="007820D0" w:rsidRPr="00762674">
        <w:rPr>
          <w:rFonts w:ascii="楷体_GB2312" w:eastAsia="楷体_GB2312" w:hAnsi="宋体" w:hint="eastAsia"/>
          <w:sz w:val="32"/>
          <w:szCs w:val="32"/>
        </w:rPr>
        <w:t>二</w:t>
      </w:r>
      <w:r w:rsidRPr="00762674">
        <w:rPr>
          <w:rFonts w:ascii="楷体_GB2312" w:eastAsia="楷体_GB2312" w:hAnsi="宋体" w:hint="eastAsia"/>
          <w:sz w:val="32"/>
          <w:szCs w:val="32"/>
        </w:rPr>
        <w:t>项基金总收入合计</w:t>
      </w:r>
      <w:r w:rsidR="00565A53">
        <w:rPr>
          <w:rFonts w:ascii="楷体_GB2312" w:eastAsia="楷体_GB2312" w:hAnsi="宋体"/>
          <w:sz w:val="32"/>
          <w:szCs w:val="32"/>
        </w:rPr>
        <w:t>78415</w:t>
      </w:r>
      <w:r w:rsidR="004F20CB" w:rsidRPr="00762674">
        <w:rPr>
          <w:rFonts w:ascii="楷体_GB2312" w:eastAsia="楷体_GB2312" w:hAnsi="宋体" w:hint="eastAsia"/>
          <w:sz w:val="32"/>
          <w:szCs w:val="32"/>
        </w:rPr>
        <w:t>万</w:t>
      </w:r>
      <w:r w:rsidRPr="00762674">
        <w:rPr>
          <w:rFonts w:ascii="楷体_GB2312" w:eastAsia="楷体_GB2312" w:hAnsi="宋体" w:hint="eastAsia"/>
          <w:sz w:val="32"/>
          <w:szCs w:val="32"/>
        </w:rPr>
        <w:t>元，同比</w:t>
      </w:r>
      <w:r w:rsidR="00565A53" w:rsidRPr="00345D00">
        <w:rPr>
          <w:rFonts w:ascii="Calibri" w:eastAsia="楷体_GB2312" w:hAnsi="Calibri" w:hint="eastAsia"/>
          <w:sz w:val="32"/>
          <w:szCs w:val="32"/>
        </w:rPr>
        <w:t>减少</w:t>
      </w:r>
      <w:r w:rsidR="00357B2C" w:rsidRPr="00762674">
        <w:rPr>
          <w:rFonts w:ascii="楷体_GB2312" w:eastAsia="楷体_GB2312" w:hAnsi="宋体" w:hint="eastAsia"/>
          <w:sz w:val="32"/>
          <w:szCs w:val="32"/>
        </w:rPr>
        <w:t>率</w:t>
      </w:r>
      <w:r w:rsidR="00565A53">
        <w:rPr>
          <w:rFonts w:ascii="楷体_GB2312" w:eastAsia="楷体_GB2312" w:hAnsi="宋体" w:hint="eastAsia"/>
          <w:sz w:val="32"/>
          <w:szCs w:val="32"/>
        </w:rPr>
        <w:t>21.02</w:t>
      </w:r>
      <w:r w:rsidRPr="00762674">
        <w:rPr>
          <w:rFonts w:ascii="楷体_GB2312" w:eastAsia="楷体_GB2312" w:hAnsi="宋体" w:hint="eastAsia"/>
          <w:sz w:val="32"/>
          <w:szCs w:val="32"/>
        </w:rPr>
        <w:t>%，</w:t>
      </w:r>
      <w:r w:rsidRPr="00762674">
        <w:rPr>
          <w:rFonts w:ascii="楷体_GB2312" w:eastAsia="楷体_GB2312" w:hAnsi="宋体" w:hint="eastAsia"/>
          <w:sz w:val="32"/>
          <w:szCs w:val="32"/>
        </w:rPr>
        <w:lastRenderedPageBreak/>
        <w:t>其中职工医保</w:t>
      </w:r>
      <w:r w:rsidR="009539FE" w:rsidRPr="00762674">
        <w:rPr>
          <w:rFonts w:ascii="楷体_GB2312" w:eastAsia="楷体_GB2312" w:hAnsi="宋体" w:hint="eastAsia"/>
          <w:sz w:val="32"/>
          <w:szCs w:val="32"/>
        </w:rPr>
        <w:t>（含生育）</w:t>
      </w:r>
      <w:r w:rsidR="00C955AA" w:rsidRPr="00762674">
        <w:rPr>
          <w:rFonts w:ascii="楷体_GB2312" w:eastAsia="楷体_GB2312" w:hAnsi="宋体" w:hint="eastAsia"/>
          <w:sz w:val="32"/>
          <w:szCs w:val="32"/>
        </w:rPr>
        <w:t>41988</w:t>
      </w:r>
      <w:r w:rsidR="00565A53">
        <w:rPr>
          <w:rFonts w:ascii="楷体_GB2312" w:eastAsia="楷体_GB2312" w:hAnsi="宋体"/>
          <w:sz w:val="32"/>
          <w:szCs w:val="32"/>
        </w:rPr>
        <w:t xml:space="preserve"> 54022</w:t>
      </w:r>
      <w:r w:rsidR="004F20CB" w:rsidRPr="00762674">
        <w:rPr>
          <w:rFonts w:ascii="楷体_GB2312" w:eastAsia="楷体_GB2312" w:hAnsi="宋体" w:hint="eastAsia"/>
          <w:sz w:val="32"/>
          <w:szCs w:val="32"/>
        </w:rPr>
        <w:t>万</w:t>
      </w:r>
      <w:r w:rsidRPr="00762674">
        <w:rPr>
          <w:rFonts w:ascii="楷体_GB2312" w:eastAsia="楷体_GB2312" w:hAnsi="宋体" w:hint="eastAsia"/>
          <w:sz w:val="32"/>
          <w:szCs w:val="32"/>
        </w:rPr>
        <w:t>元、居民医保</w:t>
      </w:r>
      <w:r w:rsidR="00C955AA" w:rsidRPr="00762674">
        <w:rPr>
          <w:rFonts w:ascii="楷体_GB2312" w:eastAsia="楷体_GB2312" w:hAnsi="宋体" w:hint="eastAsia"/>
          <w:sz w:val="32"/>
          <w:szCs w:val="32"/>
        </w:rPr>
        <w:t>57305</w:t>
      </w:r>
      <w:r w:rsidR="00565A53">
        <w:rPr>
          <w:rFonts w:ascii="楷体_GB2312" w:eastAsia="楷体_GB2312" w:hAnsi="宋体"/>
          <w:sz w:val="32"/>
          <w:szCs w:val="32"/>
        </w:rPr>
        <w:t xml:space="preserve"> 24393</w:t>
      </w:r>
      <w:r w:rsidR="004F20CB" w:rsidRPr="00762674">
        <w:rPr>
          <w:rFonts w:ascii="楷体_GB2312" w:eastAsia="楷体_GB2312" w:hAnsi="宋体" w:hint="eastAsia"/>
          <w:sz w:val="32"/>
          <w:szCs w:val="32"/>
        </w:rPr>
        <w:t>万</w:t>
      </w:r>
      <w:r w:rsidRPr="00762674">
        <w:rPr>
          <w:rFonts w:ascii="楷体_GB2312" w:eastAsia="楷体_GB2312" w:hAnsi="宋体" w:hint="eastAsia"/>
          <w:sz w:val="32"/>
          <w:szCs w:val="32"/>
        </w:rPr>
        <w:t>元，同比</w:t>
      </w:r>
      <w:r w:rsidR="00C955AA" w:rsidRPr="00762674">
        <w:rPr>
          <w:rFonts w:ascii="楷体_GB2312" w:eastAsia="楷体_GB2312" w:hAnsi="宋体" w:hint="eastAsia"/>
          <w:sz w:val="32"/>
          <w:szCs w:val="32"/>
        </w:rPr>
        <w:t>增</w:t>
      </w:r>
      <w:r w:rsidR="00565A53">
        <w:rPr>
          <w:rFonts w:ascii="楷体_GB2312" w:eastAsia="楷体_GB2312" w:hAnsi="宋体" w:hint="eastAsia"/>
          <w:sz w:val="32"/>
          <w:szCs w:val="32"/>
        </w:rPr>
        <w:t>减</w:t>
      </w:r>
      <w:r w:rsidR="00357B2C" w:rsidRPr="00762674">
        <w:rPr>
          <w:rFonts w:ascii="楷体_GB2312" w:eastAsia="楷体_GB2312" w:hAnsi="宋体" w:hint="eastAsia"/>
          <w:sz w:val="32"/>
          <w:szCs w:val="32"/>
        </w:rPr>
        <w:t>率</w:t>
      </w:r>
      <w:r w:rsidRPr="00762674">
        <w:rPr>
          <w:rFonts w:ascii="楷体_GB2312" w:eastAsia="楷体_GB2312" w:hAnsi="宋体" w:hint="eastAsia"/>
          <w:sz w:val="32"/>
          <w:szCs w:val="32"/>
        </w:rPr>
        <w:t>分别为</w:t>
      </w:r>
      <w:r w:rsidR="00565A53">
        <w:rPr>
          <w:rFonts w:ascii="楷体_GB2312" w:eastAsia="楷体_GB2312" w:hAnsi="宋体" w:hint="eastAsia"/>
          <w:sz w:val="32"/>
          <w:szCs w:val="32"/>
        </w:rPr>
        <w:t>28.66</w:t>
      </w:r>
      <w:r w:rsidRPr="00762674">
        <w:rPr>
          <w:rFonts w:ascii="楷体_GB2312" w:eastAsia="楷体_GB2312" w:hAnsi="宋体" w:hint="eastAsia"/>
          <w:sz w:val="32"/>
          <w:szCs w:val="32"/>
        </w:rPr>
        <w:t>%、</w:t>
      </w:r>
      <w:r w:rsidR="00565A53">
        <w:rPr>
          <w:rFonts w:ascii="楷体_GB2312" w:eastAsia="楷体_GB2312" w:hAnsi="宋体" w:hint="eastAsia"/>
          <w:sz w:val="32"/>
          <w:szCs w:val="32"/>
        </w:rPr>
        <w:t>-57.4</w:t>
      </w:r>
      <w:r w:rsidRPr="00762674">
        <w:rPr>
          <w:rFonts w:ascii="楷体_GB2312" w:eastAsia="楷体_GB2312" w:hAnsi="宋体" w:hint="eastAsia"/>
          <w:sz w:val="32"/>
          <w:szCs w:val="32"/>
        </w:rPr>
        <w:t>%。</w:t>
      </w:r>
      <w:r w:rsidR="009539FE" w:rsidRPr="00762674">
        <w:rPr>
          <w:rFonts w:ascii="楷体_GB2312" w:eastAsia="楷体_GB2312" w:hAnsi="宋体" w:hint="eastAsia"/>
          <w:sz w:val="32"/>
          <w:szCs w:val="32"/>
        </w:rPr>
        <w:t>职工医保（含生育）</w:t>
      </w:r>
      <w:r w:rsidRPr="00762674">
        <w:rPr>
          <w:rFonts w:ascii="楷体_GB2312" w:eastAsia="楷体_GB2312" w:hAnsi="宋体" w:hint="eastAsia"/>
          <w:sz w:val="32"/>
          <w:szCs w:val="32"/>
        </w:rPr>
        <w:t>基金征缴收入分别为</w:t>
      </w:r>
      <w:r w:rsidR="00565A53">
        <w:rPr>
          <w:rFonts w:ascii="楷体_GB2312" w:eastAsia="楷体_GB2312" w:hAnsi="宋体" w:hint="eastAsia"/>
          <w:sz w:val="32"/>
          <w:szCs w:val="32"/>
        </w:rPr>
        <w:t>45790</w:t>
      </w:r>
      <w:r w:rsidR="00C77DB3" w:rsidRPr="00762674">
        <w:rPr>
          <w:rFonts w:ascii="楷体_GB2312" w:eastAsia="楷体_GB2312" w:hAnsi="宋体" w:hint="eastAsia"/>
          <w:sz w:val="32"/>
          <w:szCs w:val="32"/>
        </w:rPr>
        <w:t>万</w:t>
      </w:r>
      <w:r w:rsidRPr="00762674">
        <w:rPr>
          <w:rFonts w:ascii="楷体_GB2312" w:eastAsia="楷体_GB2312" w:hAnsi="宋体" w:hint="eastAsia"/>
          <w:sz w:val="32"/>
          <w:szCs w:val="32"/>
        </w:rPr>
        <w:t>元</w:t>
      </w:r>
      <w:r w:rsidR="009539FE" w:rsidRPr="00762674">
        <w:rPr>
          <w:rFonts w:ascii="楷体_GB2312" w:eastAsia="楷体_GB2312" w:hAnsi="宋体" w:hint="eastAsia"/>
          <w:sz w:val="32"/>
          <w:szCs w:val="32"/>
        </w:rPr>
        <w:t>，同比</w:t>
      </w:r>
      <w:r w:rsidR="00565A53">
        <w:rPr>
          <w:rFonts w:ascii="楷体_GB2312" w:eastAsia="楷体_GB2312" w:hAnsi="宋体" w:hint="eastAsia"/>
          <w:sz w:val="32"/>
          <w:szCs w:val="32"/>
        </w:rPr>
        <w:t>增长</w:t>
      </w:r>
      <w:r w:rsidR="009539FE" w:rsidRPr="00762674">
        <w:rPr>
          <w:rFonts w:ascii="楷体_GB2312" w:eastAsia="楷体_GB2312" w:hAnsi="宋体" w:hint="eastAsia"/>
          <w:sz w:val="32"/>
          <w:szCs w:val="32"/>
        </w:rPr>
        <w:t>率分别为</w:t>
      </w:r>
      <w:r w:rsidR="00565A53">
        <w:rPr>
          <w:rFonts w:ascii="楷体_GB2312" w:eastAsia="楷体_GB2312" w:hAnsi="宋体" w:hint="eastAsia"/>
          <w:sz w:val="32"/>
          <w:szCs w:val="32"/>
        </w:rPr>
        <w:t>124</w:t>
      </w:r>
      <w:r w:rsidR="009539FE" w:rsidRPr="00762674">
        <w:rPr>
          <w:rFonts w:ascii="楷体_GB2312" w:eastAsia="楷体_GB2312" w:hAnsi="宋体" w:hint="eastAsia"/>
          <w:sz w:val="32"/>
          <w:szCs w:val="32"/>
        </w:rPr>
        <w:t>%；居民医保征缴收入</w:t>
      </w:r>
      <w:r w:rsidR="007073BC">
        <w:rPr>
          <w:rFonts w:ascii="楷体_GB2312" w:eastAsia="楷体_GB2312" w:hAnsi="宋体" w:hint="eastAsia"/>
          <w:sz w:val="32"/>
          <w:szCs w:val="32"/>
        </w:rPr>
        <w:t>6683</w:t>
      </w:r>
      <w:r w:rsidR="00C77DB3" w:rsidRPr="00762674">
        <w:rPr>
          <w:rFonts w:ascii="楷体_GB2312" w:eastAsia="楷体_GB2312" w:hAnsi="宋体" w:hint="eastAsia"/>
          <w:sz w:val="32"/>
          <w:szCs w:val="32"/>
        </w:rPr>
        <w:t>万</w:t>
      </w:r>
      <w:r w:rsidRPr="00762674">
        <w:rPr>
          <w:rFonts w:ascii="楷体_GB2312" w:eastAsia="楷体_GB2312" w:hAnsi="宋体" w:hint="eastAsia"/>
          <w:sz w:val="32"/>
          <w:szCs w:val="32"/>
        </w:rPr>
        <w:t>元</w:t>
      </w:r>
      <w:r w:rsidR="009539FE" w:rsidRPr="00762674">
        <w:rPr>
          <w:rFonts w:ascii="楷体_GB2312" w:eastAsia="楷体_GB2312" w:hAnsi="宋体" w:hint="eastAsia"/>
          <w:sz w:val="32"/>
          <w:szCs w:val="32"/>
        </w:rPr>
        <w:t>，同比</w:t>
      </w:r>
      <w:r w:rsidR="007073BC">
        <w:rPr>
          <w:rFonts w:ascii="楷体_GB2312" w:eastAsia="楷体_GB2312" w:hAnsi="宋体" w:hint="eastAsia"/>
          <w:sz w:val="32"/>
          <w:szCs w:val="32"/>
        </w:rPr>
        <w:t>减少</w:t>
      </w:r>
      <w:r w:rsidR="009539FE" w:rsidRPr="00762674">
        <w:rPr>
          <w:rFonts w:ascii="楷体_GB2312" w:eastAsia="楷体_GB2312" w:hAnsi="宋体" w:hint="eastAsia"/>
          <w:sz w:val="32"/>
          <w:szCs w:val="32"/>
        </w:rPr>
        <w:t>率</w:t>
      </w:r>
      <w:r w:rsidR="007073BC">
        <w:rPr>
          <w:rFonts w:ascii="楷体_GB2312" w:eastAsia="楷体_GB2312" w:hAnsi="宋体" w:hint="eastAsia"/>
          <w:sz w:val="32"/>
          <w:szCs w:val="32"/>
        </w:rPr>
        <w:t>62.9</w:t>
      </w:r>
      <w:r w:rsidRPr="00762674">
        <w:rPr>
          <w:rFonts w:ascii="楷体_GB2312" w:eastAsia="楷体_GB2312" w:hAnsi="宋体" w:hint="eastAsia"/>
          <w:sz w:val="32"/>
          <w:szCs w:val="32"/>
        </w:rPr>
        <w:t>%。</w:t>
      </w:r>
    </w:p>
    <w:p w:rsidR="00FF1578" w:rsidRPr="00762674" w:rsidRDefault="00254008" w:rsidP="00762674">
      <w:pPr>
        <w:ind w:leftChars="36" w:left="76" w:firstLineChars="200" w:firstLine="643"/>
        <w:jc w:val="left"/>
        <w:rPr>
          <w:rFonts w:ascii="楷体_GB2312" w:eastAsia="楷体_GB2312"/>
          <w:sz w:val="32"/>
          <w:szCs w:val="32"/>
        </w:rPr>
      </w:pPr>
      <w:r w:rsidRPr="00762674">
        <w:rPr>
          <w:rFonts w:ascii="楷体_GB2312" w:eastAsia="楷体_GB2312" w:hAnsi="宋体" w:hint="eastAsia"/>
          <w:b/>
          <w:sz w:val="32"/>
          <w:szCs w:val="32"/>
        </w:rPr>
        <w:fldChar w:fldCharType="begin"/>
      </w:r>
      <w:r w:rsidR="00FF1578" w:rsidRPr="00762674">
        <w:rPr>
          <w:rFonts w:ascii="楷体_GB2312" w:eastAsia="楷体_GB2312" w:hAnsi="宋体" w:hint="eastAsia"/>
          <w:b/>
          <w:sz w:val="32"/>
          <w:szCs w:val="32"/>
        </w:rPr>
        <w:instrText xml:space="preserve"> = 2 \* GB3 </w:instrText>
      </w:r>
      <w:r w:rsidRPr="00762674">
        <w:rPr>
          <w:rFonts w:ascii="楷体_GB2312" w:eastAsia="楷体_GB2312" w:hAnsi="宋体" w:hint="eastAsia"/>
          <w:b/>
          <w:sz w:val="32"/>
          <w:szCs w:val="32"/>
        </w:rPr>
        <w:fldChar w:fldCharType="separate"/>
      </w:r>
      <w:r w:rsidR="00FF1578" w:rsidRPr="00762674">
        <w:rPr>
          <w:rFonts w:ascii="楷体_GB2312" w:eastAsia="楷体_GB2312" w:hAnsi="宋体" w:hint="eastAsia"/>
          <w:b/>
          <w:noProof/>
          <w:sz w:val="32"/>
          <w:szCs w:val="32"/>
        </w:rPr>
        <w:t>②</w:t>
      </w:r>
      <w:r w:rsidRPr="00762674">
        <w:rPr>
          <w:rFonts w:ascii="楷体_GB2312" w:eastAsia="楷体_GB2312" w:hAnsi="宋体" w:hint="eastAsia"/>
          <w:b/>
          <w:sz w:val="32"/>
          <w:szCs w:val="32"/>
        </w:rPr>
        <w:fldChar w:fldCharType="end"/>
      </w:r>
      <w:r w:rsidR="00FF1578" w:rsidRPr="00762674">
        <w:rPr>
          <w:rFonts w:ascii="楷体_GB2312" w:eastAsia="楷体_GB2312" w:hAnsi="宋体" w:hint="eastAsia"/>
          <w:b/>
          <w:sz w:val="32"/>
          <w:szCs w:val="32"/>
        </w:rPr>
        <w:t>收入增长因素分析</w:t>
      </w:r>
    </w:p>
    <w:p w:rsidR="00F0070E" w:rsidRPr="00762674" w:rsidRDefault="00FF1578" w:rsidP="00762674">
      <w:pPr>
        <w:ind w:leftChars="36" w:left="76" w:firstLineChars="200" w:firstLine="640"/>
        <w:jc w:val="left"/>
        <w:rPr>
          <w:rFonts w:ascii="楷体_GB2312" w:eastAsia="楷体_GB2312" w:hAnsi="宋体"/>
          <w:sz w:val="32"/>
          <w:szCs w:val="32"/>
        </w:rPr>
      </w:pPr>
      <w:r w:rsidRPr="00762674">
        <w:rPr>
          <w:rFonts w:ascii="楷体_GB2312" w:eastAsia="楷体_GB2312" w:hint="eastAsia"/>
          <w:sz w:val="32"/>
          <w:szCs w:val="32"/>
        </w:rPr>
        <w:t>收入增减主要受以下因素影响：</w:t>
      </w:r>
      <w:r w:rsidRPr="00762674">
        <w:rPr>
          <w:rFonts w:ascii="楷体_GB2312" w:eastAsia="楷体_GB2312" w:hAnsi="宋体" w:hint="eastAsia"/>
          <w:b/>
          <w:sz w:val="32"/>
          <w:szCs w:val="32"/>
        </w:rPr>
        <w:t>一是</w:t>
      </w:r>
      <w:r w:rsidR="00BD6219" w:rsidRPr="00762674">
        <w:rPr>
          <w:rFonts w:ascii="楷体_GB2312" w:eastAsia="楷体_GB2312" w:hAnsi="宋体" w:hint="eastAsia"/>
          <w:b/>
          <w:sz w:val="32"/>
          <w:szCs w:val="32"/>
        </w:rPr>
        <w:t>职工基本医疗</w:t>
      </w:r>
      <w:r w:rsidRPr="00762674">
        <w:rPr>
          <w:rFonts w:ascii="楷体_GB2312" w:eastAsia="楷体_GB2312" w:hAnsi="宋体" w:hint="eastAsia"/>
          <w:b/>
          <w:sz w:val="32"/>
          <w:szCs w:val="32"/>
        </w:rPr>
        <w:t>基金征收</w:t>
      </w:r>
      <w:r w:rsidR="007073BC">
        <w:rPr>
          <w:rFonts w:ascii="楷体_GB2312" w:eastAsia="楷体_GB2312" w:hAnsi="宋体" w:hint="eastAsia"/>
          <w:b/>
          <w:sz w:val="32"/>
          <w:szCs w:val="32"/>
        </w:rPr>
        <w:t>恢复正常缴费</w:t>
      </w:r>
      <w:r w:rsidR="009B4601" w:rsidRPr="00762674">
        <w:rPr>
          <w:rFonts w:ascii="楷体_GB2312" w:eastAsia="楷体_GB2312" w:hAnsi="宋体" w:hint="eastAsia"/>
          <w:b/>
          <w:sz w:val="32"/>
          <w:szCs w:val="32"/>
        </w:rPr>
        <w:t>政策，收入较同期</w:t>
      </w:r>
      <w:r w:rsidR="007073BC">
        <w:rPr>
          <w:rFonts w:ascii="楷体_GB2312" w:eastAsia="楷体_GB2312" w:hAnsi="宋体" w:hint="eastAsia"/>
          <w:b/>
          <w:sz w:val="32"/>
          <w:szCs w:val="32"/>
        </w:rPr>
        <w:t>增长</w:t>
      </w:r>
      <w:r w:rsidR="009B4601" w:rsidRPr="00762674">
        <w:rPr>
          <w:rFonts w:ascii="楷体_GB2312" w:eastAsia="楷体_GB2312" w:hAnsi="宋体" w:hint="eastAsia"/>
          <w:b/>
          <w:sz w:val="32"/>
          <w:szCs w:val="32"/>
        </w:rPr>
        <w:t>较大</w:t>
      </w:r>
      <w:r w:rsidRPr="00762674">
        <w:rPr>
          <w:rFonts w:ascii="楷体_GB2312" w:eastAsia="楷体_GB2312" w:hAnsi="宋体" w:hint="eastAsia"/>
          <w:b/>
          <w:sz w:val="32"/>
          <w:szCs w:val="32"/>
        </w:rPr>
        <w:t>。</w:t>
      </w:r>
      <w:r w:rsidR="009B4601" w:rsidRPr="00762674">
        <w:rPr>
          <w:rFonts w:ascii="楷体_GB2312" w:eastAsia="楷体_GB2312" w:hAnsi="宋体" w:hint="eastAsia"/>
          <w:sz w:val="32"/>
          <w:szCs w:val="32"/>
        </w:rPr>
        <w:t>根据新冠肺炎疫情防控工作的重要指示</w:t>
      </w:r>
      <w:r w:rsidR="00BD6219" w:rsidRPr="00762674">
        <w:rPr>
          <w:rFonts w:ascii="楷体_GB2312" w:eastAsia="楷体_GB2312" w:hAnsi="宋体" w:hint="eastAsia"/>
          <w:sz w:val="32"/>
          <w:szCs w:val="32"/>
        </w:rPr>
        <w:t>及</w:t>
      </w:r>
      <w:r w:rsidR="00C41ECE" w:rsidRPr="00762674">
        <w:rPr>
          <w:rFonts w:ascii="楷体_GB2312" w:eastAsia="楷体_GB2312" w:hAnsi="宋体" w:hint="eastAsia"/>
          <w:sz w:val="32"/>
          <w:szCs w:val="32"/>
        </w:rPr>
        <w:t>株医保函[2020]3号</w:t>
      </w:r>
      <w:r w:rsidR="00BD6219" w:rsidRPr="00762674">
        <w:rPr>
          <w:rFonts w:ascii="楷体_GB2312" w:eastAsia="楷体_GB2312" w:hAnsi="宋体" w:hint="eastAsia"/>
          <w:sz w:val="32"/>
          <w:szCs w:val="32"/>
        </w:rPr>
        <w:t>文件、株医保发[2020]4号精神，</w:t>
      </w:r>
      <w:r w:rsidR="00D273E8" w:rsidRPr="00762674">
        <w:rPr>
          <w:rFonts w:ascii="楷体_GB2312" w:eastAsia="楷体_GB2312" w:hAnsi="宋体" w:hint="eastAsia"/>
          <w:sz w:val="32"/>
          <w:szCs w:val="32"/>
        </w:rPr>
        <w:t>2020</w:t>
      </w:r>
      <w:r w:rsidR="00BD6219" w:rsidRPr="00762674">
        <w:rPr>
          <w:rFonts w:ascii="楷体_GB2312" w:eastAsia="楷体_GB2312" w:hAnsi="宋体" w:hint="eastAsia"/>
          <w:sz w:val="32"/>
          <w:szCs w:val="32"/>
        </w:rPr>
        <w:t>年1月开始医保金缓交及减免，</w:t>
      </w:r>
      <w:r w:rsidR="007073BC">
        <w:rPr>
          <w:rFonts w:ascii="楷体_GB2312" w:eastAsia="楷体_GB2312" w:hAnsi="宋体" w:hint="eastAsia"/>
          <w:sz w:val="32"/>
          <w:szCs w:val="32"/>
        </w:rPr>
        <w:t>2021年开始恢复正常缴费，因此较以前年度较大幅度增加</w:t>
      </w:r>
      <w:r w:rsidR="009C58F4" w:rsidRPr="00762674">
        <w:rPr>
          <w:rFonts w:ascii="楷体_GB2312" w:eastAsia="楷体_GB2312" w:hAnsi="宋体" w:hint="eastAsia"/>
          <w:sz w:val="32"/>
          <w:szCs w:val="32"/>
        </w:rPr>
        <w:t>；</w:t>
      </w:r>
      <w:r w:rsidR="009C58F4" w:rsidRPr="007073BC">
        <w:rPr>
          <w:rFonts w:ascii="楷体_GB2312" w:eastAsia="楷体_GB2312" w:hAnsi="宋体" w:hint="eastAsia"/>
          <w:b/>
          <w:sz w:val="32"/>
          <w:szCs w:val="32"/>
        </w:rPr>
        <w:t>二是</w:t>
      </w:r>
      <w:r w:rsidR="007073BC" w:rsidRPr="007073BC">
        <w:rPr>
          <w:rFonts w:ascii="楷体_GB2312" w:eastAsia="楷体_GB2312" w:hAnsi="宋体" w:hint="eastAsia"/>
          <w:b/>
          <w:sz w:val="32"/>
          <w:szCs w:val="32"/>
        </w:rPr>
        <w:t>城乡居民移交税务，由于税务系统问题</w:t>
      </w:r>
      <w:r w:rsidR="00711068" w:rsidRPr="007073BC">
        <w:rPr>
          <w:rFonts w:ascii="楷体_GB2312" w:eastAsia="楷体_GB2312" w:hAnsi="宋体" w:hint="eastAsia"/>
          <w:b/>
          <w:sz w:val="32"/>
          <w:szCs w:val="32"/>
        </w:rPr>
        <w:t>城乡居民收入征缴</w:t>
      </w:r>
      <w:r w:rsidR="007073BC" w:rsidRPr="007073BC">
        <w:rPr>
          <w:rFonts w:ascii="楷体_GB2312" w:eastAsia="楷体_GB2312" w:hAnsi="宋体" w:hint="eastAsia"/>
          <w:b/>
          <w:sz w:val="32"/>
          <w:szCs w:val="32"/>
        </w:rPr>
        <w:t>没有</w:t>
      </w:r>
      <w:r w:rsidR="00711068" w:rsidRPr="007073BC">
        <w:rPr>
          <w:rFonts w:ascii="楷体_GB2312" w:eastAsia="楷体_GB2312" w:hAnsi="宋体" w:hint="eastAsia"/>
          <w:b/>
          <w:sz w:val="32"/>
          <w:szCs w:val="32"/>
        </w:rPr>
        <w:t>到位</w:t>
      </w:r>
      <w:r w:rsidR="009C58F4" w:rsidRPr="007073BC">
        <w:rPr>
          <w:rFonts w:ascii="楷体_GB2312" w:eastAsia="楷体_GB2312" w:hAnsi="宋体" w:hint="eastAsia"/>
          <w:b/>
          <w:sz w:val="32"/>
          <w:szCs w:val="32"/>
        </w:rPr>
        <w:t>。</w:t>
      </w:r>
      <w:r w:rsidR="007073BC">
        <w:rPr>
          <w:rFonts w:ascii="楷体_GB2312" w:eastAsia="楷体_GB2312" w:hAnsi="宋体" w:hint="eastAsia"/>
          <w:sz w:val="32"/>
          <w:szCs w:val="32"/>
        </w:rPr>
        <w:t>税务系统征缴无法区分县市区</w:t>
      </w:r>
      <w:r w:rsidR="00325A0F" w:rsidRPr="00762674">
        <w:rPr>
          <w:rFonts w:ascii="楷体_GB2312" w:eastAsia="楷体_GB2312" w:hAnsi="宋体" w:hint="eastAsia"/>
          <w:sz w:val="32"/>
          <w:szCs w:val="32"/>
        </w:rPr>
        <w:t>。</w:t>
      </w:r>
      <w:r w:rsidR="007073BC">
        <w:rPr>
          <w:rFonts w:ascii="楷体_GB2312" w:eastAsia="楷体_GB2312" w:hAnsi="宋体" w:hint="eastAsia"/>
          <w:sz w:val="32"/>
          <w:szCs w:val="32"/>
        </w:rPr>
        <w:t>2020年10月全面推行医保市级统筹，2021年1月税务征缴直接上解到市级财政，没有区分县市区，以至于征缴收入无法入账。</w:t>
      </w:r>
    </w:p>
    <w:p w:rsidR="00F0070E" w:rsidRPr="00762674" w:rsidRDefault="00254008" w:rsidP="00762674">
      <w:pPr>
        <w:ind w:leftChars="36" w:left="76" w:firstLineChars="200" w:firstLine="643"/>
        <w:jc w:val="left"/>
        <w:rPr>
          <w:rFonts w:ascii="楷体_GB2312" w:eastAsia="楷体_GB2312"/>
          <w:b/>
          <w:sz w:val="32"/>
          <w:szCs w:val="32"/>
        </w:rPr>
      </w:pPr>
      <w:r w:rsidRPr="00762674">
        <w:rPr>
          <w:rFonts w:ascii="楷体_GB2312" w:eastAsia="楷体_GB2312" w:hint="eastAsia"/>
          <w:b/>
          <w:sz w:val="32"/>
          <w:szCs w:val="32"/>
        </w:rPr>
        <w:fldChar w:fldCharType="begin"/>
      </w:r>
      <w:r w:rsidR="009B3530" w:rsidRPr="00762674">
        <w:rPr>
          <w:rFonts w:ascii="楷体_GB2312" w:eastAsia="楷体_GB2312" w:hint="eastAsia"/>
          <w:b/>
          <w:sz w:val="32"/>
          <w:szCs w:val="32"/>
        </w:rPr>
        <w:instrText xml:space="preserve"> = 3 \* GB3 </w:instrText>
      </w:r>
      <w:r w:rsidRPr="00762674">
        <w:rPr>
          <w:rFonts w:ascii="楷体_GB2312" w:eastAsia="楷体_GB2312" w:hint="eastAsia"/>
          <w:b/>
          <w:sz w:val="32"/>
          <w:szCs w:val="32"/>
        </w:rPr>
        <w:fldChar w:fldCharType="separate"/>
      </w:r>
      <w:r w:rsidR="009B3530" w:rsidRPr="00762674">
        <w:rPr>
          <w:rFonts w:ascii="楷体_GB2312" w:eastAsia="楷体_GB2312" w:hint="eastAsia"/>
          <w:b/>
          <w:noProof/>
          <w:sz w:val="32"/>
          <w:szCs w:val="32"/>
        </w:rPr>
        <w:t>③</w:t>
      </w:r>
      <w:r w:rsidRPr="00762674">
        <w:rPr>
          <w:rFonts w:ascii="楷体_GB2312" w:eastAsia="楷体_GB2312" w:hint="eastAsia"/>
          <w:b/>
          <w:sz w:val="32"/>
          <w:szCs w:val="32"/>
        </w:rPr>
        <w:fldChar w:fldCharType="end"/>
      </w:r>
      <w:r w:rsidR="00F0070E" w:rsidRPr="00762674">
        <w:rPr>
          <w:rFonts w:ascii="楷体_GB2312" w:eastAsia="楷体_GB2312" w:hint="eastAsia"/>
          <w:b/>
          <w:sz w:val="32"/>
          <w:szCs w:val="32"/>
        </w:rPr>
        <w:t>收入预算执行情况分析</w:t>
      </w:r>
    </w:p>
    <w:p w:rsidR="00F0070E" w:rsidRPr="00762674" w:rsidRDefault="00882B47" w:rsidP="00762674">
      <w:pPr>
        <w:ind w:firstLineChars="200" w:firstLine="640"/>
        <w:jc w:val="left"/>
        <w:rPr>
          <w:rFonts w:ascii="楷体_GB2312" w:eastAsia="楷体_GB2312"/>
          <w:sz w:val="32"/>
          <w:szCs w:val="32"/>
        </w:rPr>
      </w:pPr>
      <w:r w:rsidRPr="00762674">
        <w:rPr>
          <w:rFonts w:ascii="楷体_GB2312" w:eastAsia="楷体_GB2312" w:hint="eastAsia"/>
          <w:sz w:val="32"/>
          <w:szCs w:val="32"/>
        </w:rPr>
        <w:t>202</w:t>
      </w:r>
      <w:r w:rsidR="007073BC">
        <w:rPr>
          <w:rFonts w:ascii="楷体_GB2312" w:eastAsia="楷体_GB2312" w:hint="eastAsia"/>
          <w:sz w:val="32"/>
          <w:szCs w:val="32"/>
        </w:rPr>
        <w:t>1</w:t>
      </w:r>
      <w:r w:rsidR="00F0070E" w:rsidRPr="00762674">
        <w:rPr>
          <w:rFonts w:ascii="楷体_GB2312" w:eastAsia="楷体_GB2312" w:hint="eastAsia"/>
          <w:sz w:val="32"/>
          <w:szCs w:val="32"/>
        </w:rPr>
        <w:t>年1季度全市城镇职工医保</w:t>
      </w:r>
      <w:r w:rsidRPr="00762674">
        <w:rPr>
          <w:rFonts w:ascii="楷体_GB2312" w:eastAsia="楷体_GB2312" w:hint="eastAsia"/>
          <w:sz w:val="32"/>
          <w:szCs w:val="32"/>
        </w:rPr>
        <w:t>（含生育保险）</w:t>
      </w:r>
      <w:r w:rsidR="00F0070E" w:rsidRPr="00762674">
        <w:rPr>
          <w:rFonts w:ascii="楷体_GB2312" w:eastAsia="楷体_GB2312" w:hint="eastAsia"/>
          <w:sz w:val="32"/>
          <w:szCs w:val="32"/>
        </w:rPr>
        <w:t>、居民医保基金预算收入执行率分别为</w:t>
      </w:r>
      <w:r w:rsidR="00490557">
        <w:rPr>
          <w:rFonts w:ascii="楷体_GB2312" w:eastAsia="楷体_GB2312" w:hint="eastAsia"/>
          <w:sz w:val="32"/>
          <w:szCs w:val="32"/>
        </w:rPr>
        <w:t>17.62</w:t>
      </w:r>
      <w:r w:rsidR="00F0070E" w:rsidRPr="00762674">
        <w:rPr>
          <w:rFonts w:ascii="楷体_GB2312" w:eastAsia="楷体_GB2312" w:hint="eastAsia"/>
          <w:sz w:val="32"/>
          <w:szCs w:val="32"/>
        </w:rPr>
        <w:t>%、</w:t>
      </w:r>
      <w:r w:rsidR="00490557">
        <w:rPr>
          <w:rFonts w:ascii="楷体_GB2312" w:eastAsia="楷体_GB2312" w:hint="eastAsia"/>
          <w:sz w:val="32"/>
          <w:szCs w:val="32"/>
        </w:rPr>
        <w:t>9.26</w:t>
      </w:r>
      <w:r w:rsidR="00F0070E" w:rsidRPr="00762674">
        <w:rPr>
          <w:rFonts w:ascii="楷体_GB2312" w:eastAsia="楷体_GB2312" w:hint="eastAsia"/>
          <w:sz w:val="32"/>
          <w:szCs w:val="32"/>
        </w:rPr>
        <w:t>%，保险费收入预算执行率分别为</w:t>
      </w:r>
      <w:r w:rsidR="00490557">
        <w:rPr>
          <w:rFonts w:ascii="楷体_GB2312" w:eastAsia="楷体_GB2312" w:hint="eastAsia"/>
          <w:sz w:val="32"/>
          <w:szCs w:val="32"/>
        </w:rPr>
        <w:t>17.27</w:t>
      </w:r>
      <w:r w:rsidR="00123297" w:rsidRPr="00762674">
        <w:rPr>
          <w:rFonts w:ascii="楷体_GB2312" w:eastAsia="楷体_GB2312" w:hint="eastAsia"/>
          <w:sz w:val="32"/>
          <w:szCs w:val="32"/>
        </w:rPr>
        <w:t>%、</w:t>
      </w:r>
      <w:r w:rsidR="00490557">
        <w:rPr>
          <w:rFonts w:ascii="楷体_GB2312" w:eastAsia="楷体_GB2312" w:hint="eastAsia"/>
          <w:sz w:val="32"/>
          <w:szCs w:val="32"/>
        </w:rPr>
        <w:t>7.84</w:t>
      </w:r>
      <w:r w:rsidR="00123297" w:rsidRPr="00762674">
        <w:rPr>
          <w:rFonts w:ascii="楷体_GB2312" w:eastAsia="楷体_GB2312" w:hint="eastAsia"/>
          <w:sz w:val="32"/>
          <w:szCs w:val="32"/>
        </w:rPr>
        <w:t>%</w:t>
      </w:r>
      <w:r w:rsidR="00F0070E" w:rsidRPr="00762674">
        <w:rPr>
          <w:rFonts w:ascii="楷体_GB2312" w:eastAsia="楷体_GB2312" w:hint="eastAsia"/>
          <w:sz w:val="32"/>
          <w:szCs w:val="32"/>
        </w:rPr>
        <w:t>。职工</w:t>
      </w:r>
      <w:r w:rsidR="00664164" w:rsidRPr="00762674">
        <w:rPr>
          <w:rFonts w:ascii="楷体_GB2312" w:eastAsia="楷体_GB2312" w:hint="eastAsia"/>
          <w:sz w:val="32"/>
          <w:szCs w:val="32"/>
        </w:rPr>
        <w:t>基本医疗(含生育)、</w:t>
      </w:r>
      <w:r w:rsidR="00F0070E" w:rsidRPr="00762674">
        <w:rPr>
          <w:rFonts w:ascii="楷体_GB2312" w:eastAsia="楷体_GB2312" w:hint="eastAsia"/>
          <w:sz w:val="32"/>
          <w:szCs w:val="32"/>
        </w:rPr>
        <w:t>基金预算收支执行比率均</w:t>
      </w:r>
      <w:r w:rsidR="002E1947" w:rsidRPr="00762674">
        <w:rPr>
          <w:rFonts w:ascii="楷体_GB2312" w:eastAsia="楷体_GB2312" w:hint="eastAsia"/>
          <w:sz w:val="32"/>
          <w:szCs w:val="32"/>
        </w:rPr>
        <w:t>未达到25%</w:t>
      </w:r>
      <w:r w:rsidR="00F0070E" w:rsidRPr="00762674">
        <w:rPr>
          <w:rFonts w:ascii="楷体_GB2312" w:eastAsia="楷体_GB2312" w:hint="eastAsia"/>
          <w:sz w:val="32"/>
          <w:szCs w:val="32"/>
        </w:rPr>
        <w:t>，主要原因</w:t>
      </w:r>
      <w:r w:rsidR="00490557">
        <w:rPr>
          <w:rFonts w:ascii="楷体_GB2312" w:eastAsia="楷体_GB2312" w:hint="eastAsia"/>
          <w:sz w:val="32"/>
          <w:szCs w:val="32"/>
        </w:rPr>
        <w:t>税务征缴职工基本医疗以及城乡居民收入，由于税务系统原因不能按时入账，以至于</w:t>
      </w:r>
      <w:r w:rsidR="002E1947" w:rsidRPr="00762674">
        <w:rPr>
          <w:rFonts w:ascii="楷体_GB2312" w:eastAsia="楷体_GB2312" w:hint="eastAsia"/>
          <w:sz w:val="32"/>
          <w:szCs w:val="32"/>
        </w:rPr>
        <w:t>1季度未达平均执行率。</w:t>
      </w:r>
    </w:p>
    <w:p w:rsidR="00F0070E" w:rsidRPr="00762674" w:rsidRDefault="00F0070E" w:rsidP="007073BC">
      <w:pPr>
        <w:ind w:leftChars="36" w:left="76"/>
        <w:jc w:val="right"/>
        <w:rPr>
          <w:rFonts w:ascii="楷体_GB2312" w:eastAsia="楷体_GB2312"/>
          <w:sz w:val="32"/>
          <w:szCs w:val="32"/>
        </w:rPr>
      </w:pPr>
      <w:r w:rsidRPr="00762674">
        <w:rPr>
          <w:rFonts w:ascii="楷体_GB2312" w:eastAsia="楷体_GB2312" w:hint="eastAsia"/>
          <w:b/>
          <w:sz w:val="32"/>
          <w:szCs w:val="32"/>
        </w:rPr>
        <w:t>20</w:t>
      </w:r>
      <w:r w:rsidR="00054908" w:rsidRPr="00762674">
        <w:rPr>
          <w:rFonts w:ascii="楷体_GB2312" w:eastAsia="楷体_GB2312" w:hint="eastAsia"/>
          <w:b/>
          <w:sz w:val="32"/>
          <w:szCs w:val="32"/>
        </w:rPr>
        <w:t>2</w:t>
      </w:r>
      <w:r w:rsidR="007073BC">
        <w:rPr>
          <w:rFonts w:ascii="楷体_GB2312" w:eastAsia="楷体_GB2312" w:hint="eastAsia"/>
          <w:b/>
          <w:sz w:val="32"/>
          <w:szCs w:val="32"/>
        </w:rPr>
        <w:t>1</w:t>
      </w:r>
      <w:r w:rsidRPr="00762674">
        <w:rPr>
          <w:rFonts w:ascii="楷体_GB2312" w:eastAsia="楷体_GB2312" w:hint="eastAsia"/>
          <w:b/>
          <w:sz w:val="32"/>
          <w:szCs w:val="32"/>
        </w:rPr>
        <w:t>年1季度全市医疗生育保险基金预算收入执行情况表</w:t>
      </w:r>
      <w:r w:rsidR="007073BC">
        <w:rPr>
          <w:rFonts w:ascii="楷体_GB2312" w:eastAsia="楷体_GB2312" w:hint="eastAsia"/>
          <w:b/>
          <w:sz w:val="32"/>
          <w:szCs w:val="32"/>
        </w:rPr>
        <w:t xml:space="preserve">    </w:t>
      </w:r>
      <w:r w:rsidRPr="007073BC">
        <w:rPr>
          <w:rFonts w:ascii="楷体_GB2312" w:eastAsia="楷体_GB2312" w:hint="eastAsia"/>
        </w:rPr>
        <w:lastRenderedPageBreak/>
        <w:t>（单位:万元）</w:t>
      </w:r>
    </w:p>
    <w:tbl>
      <w:tblPr>
        <w:tblW w:w="5000" w:type="pct"/>
        <w:tblLook w:val="0000" w:firstRow="0" w:lastRow="0" w:firstColumn="0" w:lastColumn="0" w:noHBand="0" w:noVBand="0"/>
      </w:tblPr>
      <w:tblGrid>
        <w:gridCol w:w="1496"/>
        <w:gridCol w:w="1476"/>
        <w:gridCol w:w="1029"/>
        <w:gridCol w:w="1057"/>
        <w:gridCol w:w="1476"/>
        <w:gridCol w:w="932"/>
        <w:gridCol w:w="1056"/>
      </w:tblGrid>
      <w:tr w:rsidR="00F0070E" w:rsidRPr="00762674" w:rsidTr="00FD0672">
        <w:trPr>
          <w:trHeight w:val="630"/>
        </w:trPr>
        <w:tc>
          <w:tcPr>
            <w:tcW w:w="8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险 种</w:t>
            </w:r>
          </w:p>
        </w:tc>
        <w:tc>
          <w:tcPr>
            <w:tcW w:w="2090" w:type="pct"/>
            <w:gridSpan w:val="3"/>
            <w:tcBorders>
              <w:top w:val="single" w:sz="4" w:space="0" w:color="auto"/>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本年收入</w:t>
            </w:r>
          </w:p>
        </w:tc>
        <w:tc>
          <w:tcPr>
            <w:tcW w:w="2032" w:type="pct"/>
            <w:gridSpan w:val="3"/>
            <w:tcBorders>
              <w:top w:val="single" w:sz="4" w:space="0" w:color="auto"/>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其中：保险费收入</w:t>
            </w:r>
          </w:p>
        </w:tc>
      </w:tr>
      <w:tr w:rsidR="00F0070E" w:rsidRPr="00762674" w:rsidTr="00FD0672">
        <w:trPr>
          <w:trHeight w:val="630"/>
        </w:trPr>
        <w:tc>
          <w:tcPr>
            <w:tcW w:w="878" w:type="pct"/>
            <w:vMerge/>
            <w:tcBorders>
              <w:top w:val="single" w:sz="4" w:space="0" w:color="auto"/>
              <w:left w:val="single" w:sz="4" w:space="0" w:color="auto"/>
              <w:bottom w:val="single" w:sz="4" w:space="0" w:color="auto"/>
              <w:right w:val="single" w:sz="4" w:space="0" w:color="auto"/>
            </w:tcBorders>
            <w:vAlign w:val="center"/>
          </w:tcPr>
          <w:p w:rsidR="00F0070E" w:rsidRPr="00762674" w:rsidRDefault="00F0070E" w:rsidP="004D18AD">
            <w:pPr>
              <w:widowControl/>
              <w:jc w:val="left"/>
              <w:rPr>
                <w:rFonts w:ascii="楷体_GB2312" w:eastAsia="楷体_GB2312" w:hAnsi="宋体" w:cs="宋体"/>
                <w:color w:val="000000"/>
                <w:kern w:val="0"/>
                <w:sz w:val="32"/>
                <w:szCs w:val="32"/>
              </w:rPr>
            </w:pPr>
          </w:p>
        </w:tc>
        <w:tc>
          <w:tcPr>
            <w:tcW w:w="866" w:type="pct"/>
            <w:tcBorders>
              <w:top w:val="nil"/>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预算数</w:t>
            </w:r>
          </w:p>
        </w:tc>
        <w:tc>
          <w:tcPr>
            <w:tcW w:w="604" w:type="pct"/>
            <w:tcBorders>
              <w:top w:val="nil"/>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执行数</w:t>
            </w:r>
          </w:p>
        </w:tc>
        <w:tc>
          <w:tcPr>
            <w:tcW w:w="620" w:type="pct"/>
            <w:tcBorders>
              <w:top w:val="nil"/>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执行率</w:t>
            </w:r>
          </w:p>
        </w:tc>
        <w:tc>
          <w:tcPr>
            <w:tcW w:w="866" w:type="pct"/>
            <w:tcBorders>
              <w:top w:val="nil"/>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预算数</w:t>
            </w:r>
          </w:p>
        </w:tc>
        <w:tc>
          <w:tcPr>
            <w:tcW w:w="547" w:type="pct"/>
            <w:tcBorders>
              <w:top w:val="nil"/>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执行数</w:t>
            </w:r>
          </w:p>
        </w:tc>
        <w:tc>
          <w:tcPr>
            <w:tcW w:w="620" w:type="pct"/>
            <w:tcBorders>
              <w:top w:val="nil"/>
              <w:left w:val="nil"/>
              <w:bottom w:val="single" w:sz="4" w:space="0" w:color="auto"/>
              <w:right w:val="single" w:sz="4" w:space="0" w:color="auto"/>
            </w:tcBorders>
            <w:shd w:val="clear" w:color="auto" w:fill="auto"/>
            <w:vAlign w:val="center"/>
          </w:tcPr>
          <w:p w:rsidR="00F0070E" w:rsidRPr="00762674" w:rsidRDefault="00F0070E"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执行率</w:t>
            </w:r>
          </w:p>
        </w:tc>
      </w:tr>
      <w:tr w:rsidR="00FD0672" w:rsidRPr="00762674" w:rsidTr="00FD0672">
        <w:trPr>
          <w:trHeight w:val="630"/>
        </w:trPr>
        <w:tc>
          <w:tcPr>
            <w:tcW w:w="878" w:type="pct"/>
            <w:tcBorders>
              <w:top w:val="nil"/>
              <w:left w:val="single" w:sz="4" w:space="0" w:color="auto"/>
              <w:bottom w:val="single" w:sz="4" w:space="0" w:color="auto"/>
              <w:right w:val="single" w:sz="4" w:space="0" w:color="auto"/>
            </w:tcBorders>
            <w:shd w:val="clear" w:color="auto" w:fill="auto"/>
            <w:noWrap/>
            <w:vAlign w:val="center"/>
          </w:tcPr>
          <w:p w:rsidR="00FD0672" w:rsidRPr="00762674" w:rsidRDefault="00FD0672"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职工医保</w:t>
            </w:r>
          </w:p>
        </w:tc>
        <w:tc>
          <w:tcPr>
            <w:tcW w:w="866" w:type="pct"/>
            <w:tcBorders>
              <w:top w:val="nil"/>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hAnsi="宋体" w:cs="宋体"/>
                <w:sz w:val="28"/>
                <w:szCs w:val="28"/>
              </w:rPr>
            </w:pPr>
            <w:r w:rsidRPr="00FD0672">
              <w:rPr>
                <w:rFonts w:ascii="楷体_GB2312" w:eastAsia="楷体_GB2312" w:hint="eastAsia"/>
                <w:sz w:val="28"/>
                <w:szCs w:val="28"/>
              </w:rPr>
              <w:t>306577.86</w:t>
            </w:r>
          </w:p>
        </w:tc>
        <w:tc>
          <w:tcPr>
            <w:tcW w:w="604" w:type="pct"/>
            <w:tcBorders>
              <w:top w:val="nil"/>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hAnsi="宋体" w:cs="宋体"/>
                <w:sz w:val="28"/>
                <w:szCs w:val="28"/>
              </w:rPr>
            </w:pPr>
            <w:r w:rsidRPr="00FD0672">
              <w:rPr>
                <w:rFonts w:ascii="楷体_GB2312" w:eastAsia="楷体_GB2312" w:hint="eastAsia"/>
                <w:sz w:val="28"/>
                <w:szCs w:val="28"/>
              </w:rPr>
              <w:t>54022</w:t>
            </w:r>
          </w:p>
        </w:tc>
        <w:tc>
          <w:tcPr>
            <w:tcW w:w="620" w:type="pct"/>
            <w:tcBorders>
              <w:top w:val="nil"/>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hAnsi="宋体" w:cs="宋体"/>
                <w:sz w:val="28"/>
                <w:szCs w:val="28"/>
              </w:rPr>
            </w:pPr>
            <w:r w:rsidRPr="00FD0672">
              <w:rPr>
                <w:rFonts w:ascii="楷体_GB2312" w:eastAsia="楷体_GB2312" w:hint="eastAsia"/>
                <w:sz w:val="28"/>
                <w:szCs w:val="28"/>
              </w:rPr>
              <w:t>17.62%</w:t>
            </w:r>
          </w:p>
        </w:tc>
        <w:tc>
          <w:tcPr>
            <w:tcW w:w="866" w:type="pct"/>
            <w:tcBorders>
              <w:top w:val="nil"/>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hAnsi="宋体" w:cs="宋体"/>
                <w:sz w:val="28"/>
                <w:szCs w:val="28"/>
              </w:rPr>
            </w:pPr>
            <w:r w:rsidRPr="00FD0672">
              <w:rPr>
                <w:rFonts w:ascii="楷体_GB2312" w:eastAsia="楷体_GB2312" w:hint="eastAsia"/>
                <w:sz w:val="28"/>
                <w:szCs w:val="28"/>
              </w:rPr>
              <w:t>265117.21</w:t>
            </w:r>
          </w:p>
        </w:tc>
        <w:tc>
          <w:tcPr>
            <w:tcW w:w="547" w:type="pct"/>
            <w:tcBorders>
              <w:top w:val="nil"/>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hAnsi="宋体" w:cs="宋体"/>
                <w:sz w:val="28"/>
                <w:szCs w:val="28"/>
              </w:rPr>
            </w:pPr>
            <w:r w:rsidRPr="00FD0672">
              <w:rPr>
                <w:rFonts w:ascii="楷体_GB2312" w:eastAsia="楷体_GB2312" w:hint="eastAsia"/>
                <w:sz w:val="28"/>
                <w:szCs w:val="28"/>
              </w:rPr>
              <w:t>45790</w:t>
            </w:r>
          </w:p>
        </w:tc>
        <w:tc>
          <w:tcPr>
            <w:tcW w:w="620" w:type="pct"/>
            <w:tcBorders>
              <w:top w:val="nil"/>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hAnsi="宋体" w:cs="宋体"/>
                <w:sz w:val="28"/>
                <w:szCs w:val="28"/>
              </w:rPr>
            </w:pPr>
            <w:r w:rsidRPr="00FD0672">
              <w:rPr>
                <w:rFonts w:ascii="楷体_GB2312" w:eastAsia="楷体_GB2312" w:hint="eastAsia"/>
                <w:sz w:val="28"/>
                <w:szCs w:val="28"/>
              </w:rPr>
              <w:t>17.27%</w:t>
            </w:r>
          </w:p>
        </w:tc>
      </w:tr>
      <w:tr w:rsidR="00FD0672" w:rsidRPr="00762674" w:rsidTr="00FD0672">
        <w:trPr>
          <w:trHeight w:val="725"/>
        </w:trPr>
        <w:tc>
          <w:tcPr>
            <w:tcW w:w="8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672" w:rsidRPr="00762674" w:rsidRDefault="00FD0672"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居民医保</w:t>
            </w:r>
          </w:p>
        </w:tc>
        <w:tc>
          <w:tcPr>
            <w:tcW w:w="866" w:type="pct"/>
            <w:tcBorders>
              <w:top w:val="single" w:sz="4" w:space="0" w:color="auto"/>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sz w:val="28"/>
                <w:szCs w:val="28"/>
              </w:rPr>
            </w:pPr>
            <w:r w:rsidRPr="00FD0672">
              <w:rPr>
                <w:rFonts w:ascii="楷体_GB2312" w:eastAsia="楷体_GB2312" w:hint="eastAsia"/>
                <w:sz w:val="28"/>
                <w:szCs w:val="28"/>
              </w:rPr>
              <w:t>263560.71</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sz w:val="28"/>
                <w:szCs w:val="28"/>
              </w:rPr>
            </w:pPr>
            <w:r w:rsidRPr="00FD0672">
              <w:rPr>
                <w:rFonts w:ascii="楷体_GB2312" w:eastAsia="楷体_GB2312" w:hint="eastAsia"/>
                <w:sz w:val="28"/>
                <w:szCs w:val="28"/>
              </w:rPr>
              <w:t>24393</w:t>
            </w:r>
          </w:p>
        </w:tc>
        <w:tc>
          <w:tcPr>
            <w:tcW w:w="620" w:type="pct"/>
            <w:tcBorders>
              <w:top w:val="single" w:sz="4" w:space="0" w:color="auto"/>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sz w:val="28"/>
                <w:szCs w:val="28"/>
              </w:rPr>
            </w:pPr>
            <w:r w:rsidRPr="00FD0672">
              <w:rPr>
                <w:rFonts w:ascii="楷体_GB2312" w:eastAsia="楷体_GB2312" w:hint="eastAsia"/>
                <w:sz w:val="28"/>
                <w:szCs w:val="28"/>
              </w:rPr>
              <w:t>9.26%</w:t>
            </w:r>
          </w:p>
        </w:tc>
        <w:tc>
          <w:tcPr>
            <w:tcW w:w="866" w:type="pct"/>
            <w:tcBorders>
              <w:top w:val="single" w:sz="4" w:space="0" w:color="auto"/>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sz w:val="28"/>
                <w:szCs w:val="28"/>
              </w:rPr>
            </w:pPr>
            <w:r w:rsidRPr="00FD0672">
              <w:rPr>
                <w:rFonts w:ascii="楷体_GB2312" w:eastAsia="楷体_GB2312" w:hint="eastAsia"/>
                <w:sz w:val="28"/>
                <w:szCs w:val="28"/>
              </w:rPr>
              <w:t>85219.93</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sz w:val="28"/>
                <w:szCs w:val="28"/>
              </w:rPr>
            </w:pPr>
            <w:r w:rsidRPr="00FD0672">
              <w:rPr>
                <w:rFonts w:ascii="楷体_GB2312" w:eastAsia="楷体_GB2312" w:hint="eastAsia"/>
                <w:sz w:val="28"/>
                <w:szCs w:val="28"/>
              </w:rPr>
              <w:t>6683</w:t>
            </w:r>
          </w:p>
        </w:tc>
        <w:tc>
          <w:tcPr>
            <w:tcW w:w="620" w:type="pct"/>
            <w:tcBorders>
              <w:top w:val="single" w:sz="4" w:space="0" w:color="auto"/>
              <w:left w:val="nil"/>
              <w:bottom w:val="single" w:sz="4" w:space="0" w:color="auto"/>
              <w:right w:val="single" w:sz="4" w:space="0" w:color="auto"/>
            </w:tcBorders>
            <w:shd w:val="clear" w:color="auto" w:fill="auto"/>
            <w:noWrap/>
            <w:vAlign w:val="center"/>
          </w:tcPr>
          <w:p w:rsidR="00FD0672" w:rsidRPr="00FD0672" w:rsidRDefault="00FD0672">
            <w:pPr>
              <w:jc w:val="center"/>
              <w:rPr>
                <w:rFonts w:ascii="楷体_GB2312" w:eastAsia="楷体_GB2312"/>
                <w:sz w:val="28"/>
                <w:szCs w:val="28"/>
              </w:rPr>
            </w:pPr>
            <w:r w:rsidRPr="00FD0672">
              <w:rPr>
                <w:rFonts w:ascii="楷体_GB2312" w:eastAsia="楷体_GB2312" w:hint="eastAsia"/>
                <w:sz w:val="28"/>
                <w:szCs w:val="28"/>
              </w:rPr>
              <w:t>7.84%</w:t>
            </w:r>
          </w:p>
        </w:tc>
      </w:tr>
    </w:tbl>
    <w:p w:rsidR="00882B47" w:rsidRPr="00345D00" w:rsidRDefault="009B3530" w:rsidP="00762674">
      <w:pPr>
        <w:spacing w:line="360" w:lineRule="auto"/>
        <w:ind w:firstLineChars="150" w:firstLine="480"/>
        <w:rPr>
          <w:rFonts w:ascii="楷体_GB2312" w:eastAsia="楷体_GB2312" w:hAnsi="宋体" w:cs="仿宋_GB2312"/>
          <w:sz w:val="32"/>
          <w:szCs w:val="32"/>
        </w:rPr>
      </w:pPr>
      <w:r w:rsidRPr="00345D00">
        <w:rPr>
          <w:rFonts w:ascii="楷体_GB2312" w:eastAsia="楷体_GB2312" w:hAnsi="宋体" w:cs="仿宋_GB2312" w:hint="eastAsia"/>
          <w:sz w:val="32"/>
          <w:szCs w:val="32"/>
        </w:rPr>
        <w:t xml:space="preserve"> </w:t>
      </w:r>
    </w:p>
    <w:p w:rsidR="009B3530" w:rsidRPr="00345D00" w:rsidRDefault="009B3530" w:rsidP="00762674">
      <w:pPr>
        <w:spacing w:line="360" w:lineRule="auto"/>
        <w:ind w:firstLineChars="150" w:firstLine="480"/>
        <w:rPr>
          <w:rFonts w:ascii="仿宋_GB2312" w:eastAsia="仿宋_GB2312" w:hAnsi="宋体" w:cs="仿宋_GB2312"/>
          <w:b/>
          <w:sz w:val="32"/>
          <w:szCs w:val="32"/>
        </w:rPr>
      </w:pPr>
      <w:r w:rsidRPr="00345D00">
        <w:rPr>
          <w:rFonts w:ascii="仿宋_GB2312" w:eastAsia="仿宋_GB2312" w:hAnsi="宋体" w:cs="仿宋_GB2312" w:hint="eastAsia"/>
          <w:sz w:val="32"/>
          <w:szCs w:val="32"/>
        </w:rPr>
        <w:t xml:space="preserve"> </w:t>
      </w:r>
      <w:r w:rsidRPr="00345D00">
        <w:rPr>
          <w:rFonts w:ascii="仿宋_GB2312" w:eastAsia="仿宋_GB2312" w:hAnsi="宋体" w:cs="仿宋_GB2312" w:hint="eastAsia"/>
          <w:b/>
          <w:sz w:val="32"/>
          <w:szCs w:val="32"/>
        </w:rPr>
        <w:t>2、基金支出情况分析</w:t>
      </w:r>
    </w:p>
    <w:p w:rsidR="00A660A4" w:rsidRPr="00762674" w:rsidRDefault="00254008" w:rsidP="00762674">
      <w:pPr>
        <w:ind w:leftChars="36" w:left="76" w:firstLineChars="200" w:firstLine="643"/>
        <w:jc w:val="left"/>
        <w:rPr>
          <w:rFonts w:ascii="楷体_GB2312" w:eastAsia="楷体_GB2312" w:hAnsi="宋体"/>
          <w:sz w:val="32"/>
          <w:szCs w:val="32"/>
        </w:rPr>
      </w:pPr>
      <w:r w:rsidRPr="00762674">
        <w:rPr>
          <w:rFonts w:ascii="楷体_GB2312" w:eastAsia="楷体_GB2312" w:hAnsi="宋体" w:hint="eastAsia"/>
          <w:b/>
          <w:sz w:val="32"/>
          <w:szCs w:val="32"/>
        </w:rPr>
        <w:fldChar w:fldCharType="begin"/>
      </w:r>
      <w:r w:rsidR="00A660A4" w:rsidRPr="00762674">
        <w:rPr>
          <w:rFonts w:ascii="楷体_GB2312" w:eastAsia="楷体_GB2312" w:hAnsi="宋体" w:hint="eastAsia"/>
          <w:b/>
          <w:sz w:val="32"/>
          <w:szCs w:val="32"/>
        </w:rPr>
        <w:instrText xml:space="preserve"> = 1 \* GB3 </w:instrText>
      </w:r>
      <w:r w:rsidRPr="00762674">
        <w:rPr>
          <w:rFonts w:ascii="楷体_GB2312" w:eastAsia="楷体_GB2312" w:hAnsi="宋体" w:hint="eastAsia"/>
          <w:b/>
          <w:sz w:val="32"/>
          <w:szCs w:val="32"/>
        </w:rPr>
        <w:fldChar w:fldCharType="separate"/>
      </w:r>
      <w:r w:rsidR="00A660A4" w:rsidRPr="00762674">
        <w:rPr>
          <w:rFonts w:ascii="楷体_GB2312" w:eastAsia="楷体_GB2312" w:hAnsi="宋体" w:hint="eastAsia"/>
          <w:b/>
          <w:noProof/>
          <w:sz w:val="32"/>
          <w:szCs w:val="32"/>
        </w:rPr>
        <w:t>①</w:t>
      </w:r>
      <w:r w:rsidRPr="00762674">
        <w:rPr>
          <w:rFonts w:ascii="楷体_GB2312" w:eastAsia="楷体_GB2312" w:hAnsi="宋体" w:hint="eastAsia"/>
          <w:b/>
          <w:sz w:val="32"/>
          <w:szCs w:val="32"/>
        </w:rPr>
        <w:fldChar w:fldCharType="end"/>
      </w:r>
      <w:r w:rsidR="00A660A4" w:rsidRPr="00762674">
        <w:rPr>
          <w:rFonts w:ascii="楷体_GB2312" w:eastAsia="楷体_GB2312" w:hAnsi="宋体" w:hint="eastAsia"/>
          <w:b/>
          <w:sz w:val="32"/>
          <w:szCs w:val="32"/>
        </w:rPr>
        <w:t xml:space="preserve">对比分析情况  </w:t>
      </w:r>
      <w:r w:rsidR="00A660A4" w:rsidRPr="00762674">
        <w:rPr>
          <w:rFonts w:ascii="楷体_GB2312" w:eastAsia="楷体_GB2312" w:hint="eastAsia"/>
          <w:sz w:val="32"/>
          <w:szCs w:val="32"/>
        </w:rPr>
        <w:t>20</w:t>
      </w:r>
      <w:r w:rsidR="00402826" w:rsidRPr="00762674">
        <w:rPr>
          <w:rFonts w:ascii="楷体_GB2312" w:eastAsia="楷体_GB2312" w:hint="eastAsia"/>
          <w:sz w:val="32"/>
          <w:szCs w:val="32"/>
        </w:rPr>
        <w:t>2</w:t>
      </w:r>
      <w:r w:rsidR="00A660A4" w:rsidRPr="00762674">
        <w:rPr>
          <w:rFonts w:ascii="楷体_GB2312" w:eastAsia="楷体_GB2312" w:hint="eastAsia"/>
          <w:sz w:val="32"/>
          <w:szCs w:val="32"/>
        </w:rPr>
        <w:t>年1季度全市</w:t>
      </w:r>
      <w:r w:rsidR="00A660A4" w:rsidRPr="00762674">
        <w:rPr>
          <w:rFonts w:ascii="楷体_GB2312" w:eastAsia="楷体_GB2312" w:hAnsi="宋体" w:hint="eastAsia"/>
          <w:sz w:val="32"/>
          <w:szCs w:val="32"/>
        </w:rPr>
        <w:t>职工</w:t>
      </w:r>
      <w:r w:rsidR="00402826" w:rsidRPr="00762674">
        <w:rPr>
          <w:rFonts w:ascii="楷体_GB2312" w:eastAsia="楷体_GB2312" w:hAnsi="宋体" w:hint="eastAsia"/>
          <w:sz w:val="32"/>
          <w:szCs w:val="32"/>
        </w:rPr>
        <w:t>基本</w:t>
      </w:r>
      <w:r w:rsidR="00A660A4" w:rsidRPr="00762674">
        <w:rPr>
          <w:rFonts w:ascii="楷体_GB2312" w:eastAsia="楷体_GB2312" w:hAnsi="宋体" w:hint="eastAsia"/>
          <w:sz w:val="32"/>
          <w:szCs w:val="32"/>
        </w:rPr>
        <w:t>医保</w:t>
      </w:r>
      <w:r w:rsidR="00402826" w:rsidRPr="00762674">
        <w:rPr>
          <w:rFonts w:ascii="楷体_GB2312" w:eastAsia="楷体_GB2312" w:hAnsi="宋体" w:hint="eastAsia"/>
          <w:sz w:val="32"/>
          <w:szCs w:val="32"/>
        </w:rPr>
        <w:t>（含生育保险）</w:t>
      </w:r>
      <w:r w:rsidR="00A660A4" w:rsidRPr="00762674">
        <w:rPr>
          <w:rFonts w:ascii="楷体_GB2312" w:eastAsia="楷体_GB2312" w:hAnsi="宋体" w:hint="eastAsia"/>
          <w:sz w:val="32"/>
          <w:szCs w:val="32"/>
        </w:rPr>
        <w:t>、居民医保</w:t>
      </w:r>
      <w:r w:rsidR="00402826" w:rsidRPr="00762674">
        <w:rPr>
          <w:rFonts w:ascii="楷体_GB2312" w:eastAsia="楷体_GB2312" w:hAnsi="宋体" w:hint="eastAsia"/>
          <w:sz w:val="32"/>
          <w:szCs w:val="32"/>
        </w:rPr>
        <w:t>二</w:t>
      </w:r>
      <w:r w:rsidR="00A660A4" w:rsidRPr="00762674">
        <w:rPr>
          <w:rFonts w:ascii="楷体_GB2312" w:eastAsia="楷体_GB2312" w:hint="eastAsia"/>
          <w:sz w:val="32"/>
          <w:szCs w:val="32"/>
        </w:rPr>
        <w:t>项基金总支出</w:t>
      </w:r>
      <w:r w:rsidR="00A660A4" w:rsidRPr="00762674">
        <w:rPr>
          <w:rFonts w:ascii="楷体_GB2312" w:eastAsia="楷体_GB2312" w:hAnsi="宋体" w:hint="eastAsia"/>
          <w:sz w:val="32"/>
          <w:szCs w:val="32"/>
        </w:rPr>
        <w:t>合计</w:t>
      </w:r>
      <w:r w:rsidR="00226979" w:rsidRPr="00762674">
        <w:rPr>
          <w:rFonts w:ascii="楷体_GB2312" w:eastAsia="楷体_GB2312" w:hAnsi="宋体" w:hint="eastAsia"/>
          <w:sz w:val="32"/>
          <w:szCs w:val="32"/>
        </w:rPr>
        <w:t>124706</w:t>
      </w:r>
      <w:r w:rsidR="00A660A4" w:rsidRPr="00762674">
        <w:rPr>
          <w:rFonts w:ascii="楷体_GB2312" w:eastAsia="楷体_GB2312" w:hAnsi="宋体" w:hint="eastAsia"/>
          <w:sz w:val="32"/>
          <w:szCs w:val="32"/>
        </w:rPr>
        <w:t>万元，同比</w:t>
      </w:r>
      <w:r w:rsidR="00226979" w:rsidRPr="00762674">
        <w:rPr>
          <w:rFonts w:ascii="楷体_GB2312" w:eastAsia="楷体_GB2312" w:hAnsi="宋体" w:hint="eastAsia"/>
          <w:sz w:val="32"/>
          <w:szCs w:val="32"/>
        </w:rPr>
        <w:t>减少</w:t>
      </w:r>
      <w:r w:rsidR="00A660A4" w:rsidRPr="00762674">
        <w:rPr>
          <w:rFonts w:ascii="楷体_GB2312" w:eastAsia="楷体_GB2312" w:hAnsi="宋体" w:hint="eastAsia"/>
          <w:sz w:val="32"/>
          <w:szCs w:val="32"/>
        </w:rPr>
        <w:t>率为</w:t>
      </w:r>
      <w:r w:rsidR="00226979" w:rsidRPr="00762674">
        <w:rPr>
          <w:rFonts w:ascii="楷体_GB2312" w:eastAsia="楷体_GB2312" w:hAnsi="宋体" w:hint="eastAsia"/>
          <w:sz w:val="32"/>
          <w:szCs w:val="32"/>
        </w:rPr>
        <w:t>31.2</w:t>
      </w:r>
      <w:r w:rsidR="00A660A4" w:rsidRPr="00762674">
        <w:rPr>
          <w:rFonts w:ascii="楷体_GB2312" w:eastAsia="楷体_GB2312" w:hint="eastAsia"/>
          <w:sz w:val="32"/>
          <w:szCs w:val="32"/>
        </w:rPr>
        <w:t>%，其</w:t>
      </w:r>
      <w:r w:rsidR="00A660A4" w:rsidRPr="00762674">
        <w:rPr>
          <w:rFonts w:ascii="楷体_GB2312" w:eastAsia="楷体_GB2312" w:hAnsi="宋体" w:hint="eastAsia"/>
          <w:sz w:val="32"/>
          <w:szCs w:val="32"/>
        </w:rPr>
        <w:t>中职工</w:t>
      </w:r>
      <w:r w:rsidR="00226979" w:rsidRPr="00762674">
        <w:rPr>
          <w:rFonts w:ascii="楷体_GB2312" w:eastAsia="楷体_GB2312" w:hAnsi="宋体" w:hint="eastAsia"/>
          <w:sz w:val="32"/>
          <w:szCs w:val="32"/>
        </w:rPr>
        <w:t>基本</w:t>
      </w:r>
      <w:r w:rsidR="00A660A4" w:rsidRPr="00762674">
        <w:rPr>
          <w:rFonts w:ascii="楷体_GB2312" w:eastAsia="楷体_GB2312" w:hAnsi="宋体" w:hint="eastAsia"/>
          <w:sz w:val="32"/>
          <w:szCs w:val="32"/>
        </w:rPr>
        <w:t>医保</w:t>
      </w:r>
      <w:r w:rsidR="00226979" w:rsidRPr="00762674">
        <w:rPr>
          <w:rFonts w:ascii="楷体_GB2312" w:eastAsia="楷体_GB2312" w:hAnsi="宋体" w:hint="eastAsia"/>
          <w:sz w:val="32"/>
          <w:szCs w:val="32"/>
        </w:rPr>
        <w:t>63532</w:t>
      </w:r>
      <w:r w:rsidR="00F83A8C" w:rsidRPr="00762674">
        <w:rPr>
          <w:rFonts w:ascii="楷体_GB2312" w:eastAsia="楷体_GB2312" w:hAnsi="宋体" w:hint="eastAsia"/>
          <w:sz w:val="32"/>
          <w:szCs w:val="32"/>
        </w:rPr>
        <w:t>万</w:t>
      </w:r>
      <w:r w:rsidR="00A660A4" w:rsidRPr="00762674">
        <w:rPr>
          <w:rFonts w:ascii="楷体_GB2312" w:eastAsia="楷体_GB2312" w:hAnsi="宋体" w:hint="eastAsia"/>
          <w:sz w:val="32"/>
          <w:szCs w:val="32"/>
        </w:rPr>
        <w:t>元、居民医保</w:t>
      </w:r>
      <w:r w:rsidR="00226979" w:rsidRPr="00762674">
        <w:rPr>
          <w:rFonts w:ascii="楷体_GB2312" w:eastAsia="楷体_GB2312" w:hAnsi="宋体" w:hint="eastAsia"/>
          <w:sz w:val="32"/>
          <w:szCs w:val="32"/>
        </w:rPr>
        <w:t>61174</w:t>
      </w:r>
      <w:r w:rsidR="00F83A8C" w:rsidRPr="00762674">
        <w:rPr>
          <w:rFonts w:ascii="楷体_GB2312" w:eastAsia="楷体_GB2312" w:hAnsi="宋体" w:hint="eastAsia"/>
          <w:sz w:val="32"/>
          <w:szCs w:val="32"/>
        </w:rPr>
        <w:t>万</w:t>
      </w:r>
      <w:r w:rsidR="00A660A4" w:rsidRPr="00762674">
        <w:rPr>
          <w:rFonts w:ascii="楷体_GB2312" w:eastAsia="楷体_GB2312" w:hAnsi="宋体" w:hint="eastAsia"/>
          <w:sz w:val="32"/>
          <w:szCs w:val="32"/>
        </w:rPr>
        <w:t>元，同比增长率分别为</w:t>
      </w:r>
      <w:r w:rsidR="0025128C" w:rsidRPr="00762674">
        <w:rPr>
          <w:rFonts w:ascii="楷体_GB2312" w:eastAsia="楷体_GB2312" w:hAnsi="宋体" w:hint="eastAsia"/>
          <w:sz w:val="32"/>
          <w:szCs w:val="32"/>
        </w:rPr>
        <w:t>19.6</w:t>
      </w:r>
      <w:r w:rsidR="00A660A4" w:rsidRPr="00762674">
        <w:rPr>
          <w:rFonts w:ascii="楷体_GB2312" w:eastAsia="楷体_GB2312" w:hAnsi="宋体" w:hint="eastAsia"/>
          <w:sz w:val="32"/>
          <w:szCs w:val="32"/>
        </w:rPr>
        <w:t>%、</w:t>
      </w:r>
      <w:r w:rsidR="0025128C" w:rsidRPr="00762674">
        <w:rPr>
          <w:rFonts w:ascii="楷体_GB2312" w:eastAsia="楷体_GB2312" w:hAnsi="宋体" w:hint="eastAsia"/>
          <w:sz w:val="32"/>
          <w:szCs w:val="32"/>
        </w:rPr>
        <w:t>46</w:t>
      </w:r>
      <w:r w:rsidR="00A660A4" w:rsidRPr="00762674">
        <w:rPr>
          <w:rFonts w:ascii="楷体_GB2312" w:eastAsia="楷体_GB2312" w:hAnsi="宋体" w:hint="eastAsia"/>
          <w:sz w:val="32"/>
          <w:szCs w:val="32"/>
        </w:rPr>
        <w:t>%。</w:t>
      </w:r>
    </w:p>
    <w:p w:rsidR="00A660A4" w:rsidRPr="00762674" w:rsidRDefault="00A660A4" w:rsidP="00A660A4">
      <w:pPr>
        <w:jc w:val="center"/>
        <w:rPr>
          <w:rFonts w:ascii="楷体_GB2312" w:eastAsia="楷体_GB2312"/>
          <w:b/>
          <w:sz w:val="32"/>
          <w:szCs w:val="32"/>
        </w:rPr>
      </w:pPr>
      <w:r w:rsidRPr="00762674">
        <w:rPr>
          <w:rFonts w:ascii="楷体_GB2312" w:eastAsia="楷体_GB2312" w:hint="eastAsia"/>
          <w:b/>
          <w:sz w:val="32"/>
          <w:szCs w:val="32"/>
        </w:rPr>
        <w:t>20</w:t>
      </w:r>
      <w:r w:rsidR="004005D6" w:rsidRPr="00762674">
        <w:rPr>
          <w:rFonts w:ascii="楷体_GB2312" w:eastAsia="楷体_GB2312" w:hint="eastAsia"/>
          <w:b/>
          <w:sz w:val="32"/>
          <w:szCs w:val="32"/>
        </w:rPr>
        <w:t>20</w:t>
      </w:r>
      <w:r w:rsidRPr="00762674">
        <w:rPr>
          <w:rFonts w:ascii="楷体_GB2312" w:eastAsia="楷体_GB2312" w:hint="eastAsia"/>
          <w:b/>
          <w:sz w:val="32"/>
          <w:szCs w:val="32"/>
        </w:rPr>
        <w:t>年1季度全市医疗生育保险基金支出同比增长图</w:t>
      </w:r>
    </w:p>
    <w:p w:rsidR="00A660A4" w:rsidRPr="00762674" w:rsidRDefault="00A660A4" w:rsidP="00A660A4">
      <w:pPr>
        <w:jc w:val="right"/>
        <w:rPr>
          <w:rFonts w:ascii="楷体_GB2312" w:eastAsia="楷体_GB2312"/>
          <w:sz w:val="32"/>
          <w:szCs w:val="32"/>
        </w:rPr>
      </w:pPr>
      <w:r w:rsidRPr="00762674">
        <w:rPr>
          <w:rFonts w:ascii="楷体_GB2312" w:eastAsia="楷体_GB2312" w:hint="eastAsia"/>
          <w:sz w:val="32"/>
          <w:szCs w:val="32"/>
        </w:rPr>
        <w:t>（单位:万元）</w:t>
      </w:r>
    </w:p>
    <w:p w:rsidR="003643BD" w:rsidRPr="00762674" w:rsidRDefault="00F5292C" w:rsidP="00762674">
      <w:pPr>
        <w:ind w:leftChars="36" w:left="76" w:firstLineChars="200" w:firstLine="640"/>
        <w:jc w:val="left"/>
        <w:rPr>
          <w:rFonts w:ascii="楷体_GB2312" w:eastAsia="楷体_GB2312" w:hAnsi="宋体"/>
          <w:b/>
          <w:sz w:val="32"/>
          <w:szCs w:val="32"/>
        </w:rPr>
      </w:pPr>
      <w:r w:rsidRPr="00762674">
        <w:rPr>
          <w:rFonts w:ascii="楷体_GB2312" w:eastAsia="楷体_GB2312" w:hint="eastAsia"/>
          <w:sz w:val="32"/>
          <w:szCs w:val="32"/>
        </w:rPr>
        <w:object w:dxaOrig="7913" w:dyaOrig="4523">
          <v:shape id="_x0000_i1026" type="#_x0000_t75" style="width:396.75pt;height:225pt" o:ole="">
            <v:imagedata r:id="rId10" o:title=""/>
          </v:shape>
          <o:OLEObject Type="Embed" ProgID="MSGraph.Chart.8" ShapeID="_x0000_i1026" DrawAspect="Content" ObjectID="_1713857406" r:id="rId11">
            <o:FieldCodes>\s</o:FieldCodes>
          </o:OLEObject>
        </w:object>
      </w:r>
      <w:r w:rsidR="003643BD" w:rsidRPr="00762674">
        <w:rPr>
          <w:rFonts w:ascii="楷体_GB2312" w:eastAsia="楷体_GB2312" w:hint="eastAsia"/>
          <w:sz w:val="32"/>
          <w:szCs w:val="32"/>
        </w:rPr>
        <w:t xml:space="preserve"> </w:t>
      </w:r>
      <w:r w:rsidR="00D6425F" w:rsidRPr="00762674">
        <w:rPr>
          <w:rFonts w:ascii="楷体_GB2312" w:eastAsia="楷体_GB2312" w:hint="eastAsia"/>
          <w:sz w:val="32"/>
          <w:szCs w:val="32"/>
        </w:rPr>
        <w:t xml:space="preserve">  </w:t>
      </w:r>
      <w:r w:rsidR="003643BD" w:rsidRPr="00762674">
        <w:rPr>
          <w:rFonts w:ascii="楷体_GB2312" w:eastAsia="楷体_GB2312" w:hint="eastAsia"/>
          <w:sz w:val="32"/>
          <w:szCs w:val="32"/>
        </w:rPr>
        <w:t xml:space="preserve"> </w:t>
      </w:r>
      <w:r w:rsidR="00254008" w:rsidRPr="00762674">
        <w:rPr>
          <w:rFonts w:ascii="楷体_GB2312" w:eastAsia="楷体_GB2312" w:hAnsi="宋体" w:hint="eastAsia"/>
          <w:b/>
          <w:sz w:val="32"/>
          <w:szCs w:val="32"/>
        </w:rPr>
        <w:fldChar w:fldCharType="begin"/>
      </w:r>
      <w:r w:rsidR="00D6425F" w:rsidRPr="00762674">
        <w:rPr>
          <w:rFonts w:ascii="楷体_GB2312" w:eastAsia="楷体_GB2312" w:hAnsi="宋体" w:hint="eastAsia"/>
          <w:b/>
          <w:sz w:val="32"/>
          <w:szCs w:val="32"/>
        </w:rPr>
        <w:instrText xml:space="preserve"> = 2 \* GB3 </w:instrText>
      </w:r>
      <w:r w:rsidR="00254008" w:rsidRPr="00762674">
        <w:rPr>
          <w:rFonts w:ascii="楷体_GB2312" w:eastAsia="楷体_GB2312" w:hAnsi="宋体" w:hint="eastAsia"/>
          <w:b/>
          <w:sz w:val="32"/>
          <w:szCs w:val="32"/>
        </w:rPr>
        <w:fldChar w:fldCharType="separate"/>
      </w:r>
      <w:r w:rsidR="00D6425F" w:rsidRPr="00762674">
        <w:rPr>
          <w:rFonts w:ascii="楷体_GB2312" w:eastAsia="楷体_GB2312" w:hAnsi="宋体" w:hint="eastAsia"/>
          <w:b/>
          <w:noProof/>
          <w:sz w:val="32"/>
          <w:szCs w:val="32"/>
        </w:rPr>
        <w:t>②</w:t>
      </w:r>
      <w:r w:rsidR="00254008" w:rsidRPr="00762674">
        <w:rPr>
          <w:rFonts w:ascii="楷体_GB2312" w:eastAsia="楷体_GB2312" w:hAnsi="宋体" w:hint="eastAsia"/>
          <w:b/>
          <w:sz w:val="32"/>
          <w:szCs w:val="32"/>
        </w:rPr>
        <w:fldChar w:fldCharType="end"/>
      </w:r>
      <w:r w:rsidR="003643BD" w:rsidRPr="00762674">
        <w:rPr>
          <w:rFonts w:ascii="楷体_GB2312" w:eastAsia="楷体_GB2312" w:hAnsi="宋体" w:hint="eastAsia"/>
          <w:b/>
          <w:sz w:val="32"/>
          <w:szCs w:val="32"/>
        </w:rPr>
        <w:t>支出增长因素分析</w:t>
      </w:r>
    </w:p>
    <w:p w:rsidR="003643BD" w:rsidRPr="00762674" w:rsidRDefault="003643BD" w:rsidP="00762674">
      <w:pPr>
        <w:ind w:leftChars="36" w:left="76" w:firstLineChars="200" w:firstLine="640"/>
        <w:jc w:val="left"/>
        <w:rPr>
          <w:rFonts w:ascii="楷体_GB2312" w:eastAsia="楷体_GB2312" w:hAnsi="宋体"/>
          <w:sz w:val="32"/>
          <w:szCs w:val="32"/>
        </w:rPr>
      </w:pPr>
      <w:r w:rsidRPr="00762674">
        <w:rPr>
          <w:rFonts w:ascii="楷体_GB2312" w:eastAsia="楷体_GB2312" w:hint="eastAsia"/>
          <w:sz w:val="32"/>
          <w:szCs w:val="32"/>
        </w:rPr>
        <w:lastRenderedPageBreak/>
        <w:t>20</w:t>
      </w:r>
      <w:r w:rsidR="00F5435F" w:rsidRPr="00762674">
        <w:rPr>
          <w:rFonts w:ascii="楷体_GB2312" w:eastAsia="楷体_GB2312" w:hint="eastAsia"/>
          <w:sz w:val="32"/>
          <w:szCs w:val="32"/>
        </w:rPr>
        <w:t>20</w:t>
      </w:r>
      <w:r w:rsidRPr="00762674">
        <w:rPr>
          <w:rFonts w:ascii="楷体_GB2312" w:eastAsia="楷体_GB2312" w:hint="eastAsia"/>
          <w:sz w:val="32"/>
          <w:szCs w:val="32"/>
        </w:rPr>
        <w:t>年1季度全市职工</w:t>
      </w:r>
      <w:r w:rsidR="00F5435F" w:rsidRPr="00762674">
        <w:rPr>
          <w:rFonts w:ascii="楷体_GB2312" w:eastAsia="楷体_GB2312" w:hint="eastAsia"/>
          <w:sz w:val="32"/>
          <w:szCs w:val="32"/>
        </w:rPr>
        <w:t>基本</w:t>
      </w:r>
      <w:r w:rsidRPr="00762674">
        <w:rPr>
          <w:rFonts w:ascii="楷体_GB2312" w:eastAsia="楷体_GB2312" w:hint="eastAsia"/>
          <w:sz w:val="32"/>
          <w:szCs w:val="32"/>
        </w:rPr>
        <w:t>医保、城乡居民基金支出同比</w:t>
      </w:r>
      <w:r w:rsidR="00F5292C">
        <w:rPr>
          <w:rFonts w:ascii="楷体_GB2312" w:eastAsia="楷体_GB2312" w:hint="eastAsia"/>
          <w:sz w:val="32"/>
          <w:szCs w:val="32"/>
        </w:rPr>
        <w:t>减少率</w:t>
      </w:r>
      <w:r w:rsidRPr="00762674">
        <w:rPr>
          <w:rFonts w:ascii="楷体_GB2312" w:eastAsia="楷体_GB2312" w:hint="eastAsia"/>
          <w:sz w:val="32"/>
          <w:szCs w:val="32"/>
        </w:rPr>
        <w:t>分别为</w:t>
      </w:r>
      <w:r w:rsidR="00F5292C">
        <w:rPr>
          <w:rFonts w:ascii="楷体_GB2312" w:eastAsia="楷体_GB2312" w:hAnsi="宋体" w:hint="eastAsia"/>
          <w:sz w:val="32"/>
          <w:szCs w:val="32"/>
        </w:rPr>
        <w:t>7.4</w:t>
      </w:r>
      <w:r w:rsidR="002B269A" w:rsidRPr="00762674">
        <w:rPr>
          <w:rFonts w:ascii="楷体_GB2312" w:eastAsia="楷体_GB2312" w:hAnsi="宋体" w:hint="eastAsia"/>
          <w:sz w:val="32"/>
          <w:szCs w:val="32"/>
        </w:rPr>
        <w:t>%、</w:t>
      </w:r>
      <w:r w:rsidR="00F5292C">
        <w:rPr>
          <w:rFonts w:ascii="楷体_GB2312" w:eastAsia="楷体_GB2312" w:hAnsi="宋体" w:hint="eastAsia"/>
          <w:sz w:val="32"/>
          <w:szCs w:val="32"/>
        </w:rPr>
        <w:t>13.7</w:t>
      </w:r>
      <w:r w:rsidR="002B269A" w:rsidRPr="00762674">
        <w:rPr>
          <w:rFonts w:ascii="楷体_GB2312" w:eastAsia="楷体_GB2312" w:hAnsi="宋体" w:hint="eastAsia"/>
          <w:sz w:val="32"/>
          <w:szCs w:val="32"/>
        </w:rPr>
        <w:t>%</w:t>
      </w:r>
      <w:r w:rsidRPr="00762674">
        <w:rPr>
          <w:rFonts w:ascii="楷体_GB2312" w:eastAsia="楷体_GB2312" w:hAnsi="宋体" w:hint="eastAsia"/>
          <w:sz w:val="32"/>
          <w:szCs w:val="32"/>
        </w:rPr>
        <w:t>。</w:t>
      </w:r>
      <w:r w:rsidRPr="00762674">
        <w:rPr>
          <w:rFonts w:ascii="楷体_GB2312" w:eastAsia="楷体_GB2312" w:hint="eastAsia"/>
          <w:sz w:val="32"/>
          <w:szCs w:val="32"/>
        </w:rPr>
        <w:t>影响基金支出</w:t>
      </w:r>
      <w:r w:rsidR="00F5292C">
        <w:rPr>
          <w:rFonts w:ascii="楷体_GB2312" w:eastAsia="楷体_GB2312" w:hint="eastAsia"/>
          <w:sz w:val="32"/>
          <w:szCs w:val="32"/>
        </w:rPr>
        <w:t>减少</w:t>
      </w:r>
      <w:r w:rsidRPr="00762674">
        <w:rPr>
          <w:rFonts w:ascii="楷体_GB2312" w:eastAsia="楷体_GB2312" w:hint="eastAsia"/>
          <w:sz w:val="32"/>
          <w:szCs w:val="32"/>
        </w:rPr>
        <w:t>的</w:t>
      </w:r>
      <w:r w:rsidR="00F5292C">
        <w:rPr>
          <w:rFonts w:ascii="楷体_GB2312" w:eastAsia="楷体_GB2312" w:hint="eastAsia"/>
          <w:sz w:val="32"/>
          <w:szCs w:val="32"/>
        </w:rPr>
        <w:t>主要</w:t>
      </w:r>
      <w:r w:rsidRPr="00762674">
        <w:rPr>
          <w:rFonts w:ascii="楷体_GB2312" w:eastAsia="楷体_GB2312" w:hint="eastAsia"/>
          <w:sz w:val="32"/>
          <w:szCs w:val="32"/>
        </w:rPr>
        <w:t>因素：</w:t>
      </w:r>
      <w:r w:rsidR="00F5292C">
        <w:rPr>
          <w:rFonts w:ascii="楷体_GB2312" w:eastAsia="楷体_GB2312" w:hint="eastAsia"/>
          <w:sz w:val="32"/>
          <w:szCs w:val="32"/>
        </w:rPr>
        <w:t>2020年由于</w:t>
      </w:r>
      <w:r w:rsidR="002B269A" w:rsidRPr="00762674">
        <w:rPr>
          <w:rFonts w:ascii="楷体_GB2312" w:eastAsia="楷体_GB2312" w:hAnsi="宋体" w:hint="eastAsia"/>
          <w:sz w:val="32"/>
          <w:szCs w:val="32"/>
        </w:rPr>
        <w:t>新冠肺炎疫情防控加速各项基金支付力度</w:t>
      </w:r>
      <w:r w:rsidR="00630722" w:rsidRPr="00762674">
        <w:rPr>
          <w:rFonts w:ascii="楷体_GB2312" w:eastAsia="楷体_GB2312" w:hAnsi="宋体" w:hint="eastAsia"/>
          <w:sz w:val="32"/>
          <w:szCs w:val="32"/>
        </w:rPr>
        <w:t>，</w:t>
      </w:r>
      <w:r w:rsidR="00F5292C">
        <w:rPr>
          <w:rFonts w:ascii="楷体_GB2312" w:eastAsia="楷体_GB2312" w:hAnsi="宋体" w:hint="eastAsia"/>
          <w:sz w:val="32"/>
          <w:szCs w:val="32"/>
        </w:rPr>
        <w:t>2021年</w:t>
      </w:r>
      <w:r w:rsidR="00630722" w:rsidRPr="00762674">
        <w:rPr>
          <w:rFonts w:ascii="楷体_GB2312" w:eastAsia="楷体_GB2312" w:hAnsi="宋体" w:hint="eastAsia"/>
          <w:sz w:val="32"/>
          <w:szCs w:val="32"/>
        </w:rPr>
        <w:t>1季度</w:t>
      </w:r>
      <w:r w:rsidR="00F5292C">
        <w:rPr>
          <w:rFonts w:ascii="楷体_GB2312" w:eastAsia="楷体_GB2312" w:hAnsi="宋体" w:hint="eastAsia"/>
          <w:sz w:val="32"/>
          <w:szCs w:val="32"/>
        </w:rPr>
        <w:t>按照往年正常拨付进度</w:t>
      </w:r>
      <w:r w:rsidR="00C47317" w:rsidRPr="00762674">
        <w:rPr>
          <w:rFonts w:ascii="楷体_GB2312" w:eastAsia="楷体_GB2312" w:hint="eastAsia"/>
          <w:sz w:val="32"/>
          <w:szCs w:val="32"/>
        </w:rPr>
        <w:t>，</w:t>
      </w:r>
      <w:r w:rsidR="00F5292C">
        <w:rPr>
          <w:rFonts w:ascii="楷体_GB2312" w:eastAsia="楷体_GB2312" w:hint="eastAsia"/>
          <w:sz w:val="32"/>
          <w:szCs w:val="32"/>
        </w:rPr>
        <w:t>因此</w:t>
      </w:r>
      <w:r w:rsidR="00B51628" w:rsidRPr="00762674">
        <w:rPr>
          <w:rFonts w:ascii="楷体_GB2312" w:eastAsia="楷体_GB2312" w:hint="eastAsia"/>
          <w:sz w:val="32"/>
          <w:szCs w:val="32"/>
        </w:rPr>
        <w:t>较同期</w:t>
      </w:r>
      <w:r w:rsidR="00F5292C">
        <w:rPr>
          <w:rFonts w:ascii="楷体_GB2312" w:eastAsia="楷体_GB2312" w:hint="eastAsia"/>
          <w:sz w:val="32"/>
          <w:szCs w:val="32"/>
        </w:rPr>
        <w:t>有所减缓</w:t>
      </w:r>
      <w:r w:rsidR="00B51628" w:rsidRPr="00762674">
        <w:rPr>
          <w:rFonts w:ascii="楷体_GB2312" w:eastAsia="楷体_GB2312" w:hint="eastAsia"/>
          <w:sz w:val="32"/>
          <w:szCs w:val="32"/>
        </w:rPr>
        <w:t>。</w:t>
      </w:r>
    </w:p>
    <w:p w:rsidR="00D6425F" w:rsidRPr="00762674" w:rsidRDefault="00254008" w:rsidP="00762674">
      <w:pPr>
        <w:ind w:leftChars="36" w:left="76" w:firstLineChars="200" w:firstLine="643"/>
        <w:jc w:val="left"/>
        <w:rPr>
          <w:rFonts w:ascii="楷体_GB2312" w:eastAsia="楷体_GB2312"/>
          <w:b/>
          <w:sz w:val="32"/>
          <w:szCs w:val="32"/>
        </w:rPr>
      </w:pPr>
      <w:r w:rsidRPr="00762674">
        <w:rPr>
          <w:rFonts w:ascii="楷体_GB2312" w:eastAsia="楷体_GB2312" w:hint="eastAsia"/>
          <w:b/>
          <w:sz w:val="32"/>
          <w:szCs w:val="32"/>
        </w:rPr>
        <w:fldChar w:fldCharType="begin"/>
      </w:r>
      <w:r w:rsidR="00D6425F" w:rsidRPr="00762674">
        <w:rPr>
          <w:rFonts w:ascii="楷体_GB2312" w:eastAsia="楷体_GB2312" w:hint="eastAsia"/>
          <w:b/>
          <w:sz w:val="32"/>
          <w:szCs w:val="32"/>
        </w:rPr>
        <w:instrText xml:space="preserve"> = 3 \* GB3 </w:instrText>
      </w:r>
      <w:r w:rsidRPr="00762674">
        <w:rPr>
          <w:rFonts w:ascii="楷体_GB2312" w:eastAsia="楷体_GB2312" w:hint="eastAsia"/>
          <w:b/>
          <w:sz w:val="32"/>
          <w:szCs w:val="32"/>
        </w:rPr>
        <w:fldChar w:fldCharType="separate"/>
      </w:r>
      <w:r w:rsidR="00D6425F" w:rsidRPr="00762674">
        <w:rPr>
          <w:rFonts w:ascii="楷体_GB2312" w:eastAsia="楷体_GB2312" w:hint="eastAsia"/>
          <w:b/>
          <w:noProof/>
          <w:sz w:val="32"/>
          <w:szCs w:val="32"/>
        </w:rPr>
        <w:t>③</w:t>
      </w:r>
      <w:r w:rsidRPr="00762674">
        <w:rPr>
          <w:rFonts w:ascii="楷体_GB2312" w:eastAsia="楷体_GB2312" w:hint="eastAsia"/>
          <w:b/>
          <w:sz w:val="32"/>
          <w:szCs w:val="32"/>
        </w:rPr>
        <w:fldChar w:fldCharType="end"/>
      </w:r>
      <w:r w:rsidR="00D6425F" w:rsidRPr="00762674">
        <w:rPr>
          <w:rFonts w:ascii="楷体_GB2312" w:eastAsia="楷体_GB2312" w:hint="eastAsia"/>
          <w:b/>
          <w:sz w:val="32"/>
          <w:szCs w:val="32"/>
        </w:rPr>
        <w:t>支出预算执行情况分析</w:t>
      </w:r>
    </w:p>
    <w:p w:rsidR="00380B1A" w:rsidRPr="00345D00" w:rsidRDefault="00D6425F" w:rsidP="00E3556D">
      <w:pPr>
        <w:ind w:leftChars="36" w:left="76" w:firstLineChars="200" w:firstLine="640"/>
        <w:jc w:val="left"/>
        <w:rPr>
          <w:rFonts w:ascii="Calibri" w:eastAsia="楷体_GB2312" w:hAnsi="Calibri"/>
          <w:sz w:val="32"/>
          <w:szCs w:val="32"/>
        </w:rPr>
      </w:pPr>
      <w:r w:rsidRPr="00762674">
        <w:rPr>
          <w:rFonts w:ascii="楷体_GB2312" w:eastAsia="楷体_GB2312" w:hint="eastAsia"/>
          <w:sz w:val="32"/>
          <w:szCs w:val="32"/>
        </w:rPr>
        <w:t>20</w:t>
      </w:r>
      <w:r w:rsidR="00450370" w:rsidRPr="00762674">
        <w:rPr>
          <w:rFonts w:ascii="楷体_GB2312" w:eastAsia="楷体_GB2312" w:hint="eastAsia"/>
          <w:sz w:val="32"/>
          <w:szCs w:val="32"/>
        </w:rPr>
        <w:t>20</w:t>
      </w:r>
      <w:r w:rsidRPr="00762674">
        <w:rPr>
          <w:rFonts w:ascii="楷体_GB2312" w:eastAsia="楷体_GB2312" w:hint="eastAsia"/>
          <w:sz w:val="32"/>
          <w:szCs w:val="32"/>
        </w:rPr>
        <w:t>年</w:t>
      </w:r>
      <w:r w:rsidR="00112B28" w:rsidRPr="00762674">
        <w:rPr>
          <w:rFonts w:ascii="楷体_GB2312" w:eastAsia="楷体_GB2312" w:hint="eastAsia"/>
          <w:sz w:val="32"/>
          <w:szCs w:val="32"/>
        </w:rPr>
        <w:t>1季度</w:t>
      </w:r>
      <w:r w:rsidRPr="00762674">
        <w:rPr>
          <w:rFonts w:ascii="楷体_GB2312" w:eastAsia="楷体_GB2312" w:hint="eastAsia"/>
          <w:sz w:val="32"/>
          <w:szCs w:val="32"/>
        </w:rPr>
        <w:t>全市</w:t>
      </w:r>
      <w:r w:rsidRPr="00762674">
        <w:rPr>
          <w:rFonts w:ascii="楷体_GB2312" w:eastAsia="楷体_GB2312" w:hAnsi="宋体" w:hint="eastAsia"/>
          <w:sz w:val="32"/>
          <w:szCs w:val="32"/>
        </w:rPr>
        <w:t>职工</w:t>
      </w:r>
      <w:r w:rsidR="00450370" w:rsidRPr="00762674">
        <w:rPr>
          <w:rFonts w:ascii="楷体_GB2312" w:eastAsia="楷体_GB2312" w:hAnsi="宋体" w:hint="eastAsia"/>
          <w:sz w:val="32"/>
          <w:szCs w:val="32"/>
        </w:rPr>
        <w:t>基本</w:t>
      </w:r>
      <w:r w:rsidRPr="00762674">
        <w:rPr>
          <w:rFonts w:ascii="楷体_GB2312" w:eastAsia="楷体_GB2312" w:hAnsi="宋体" w:hint="eastAsia"/>
          <w:sz w:val="32"/>
          <w:szCs w:val="32"/>
        </w:rPr>
        <w:t>医保、居民医保</w:t>
      </w:r>
      <w:r w:rsidRPr="00762674">
        <w:rPr>
          <w:rFonts w:ascii="楷体_GB2312" w:eastAsia="楷体_GB2312" w:hint="eastAsia"/>
          <w:sz w:val="32"/>
          <w:szCs w:val="32"/>
        </w:rPr>
        <w:t>基金预算支出执行率分别为</w:t>
      </w:r>
      <w:r w:rsidR="003010CC" w:rsidRPr="00762674">
        <w:rPr>
          <w:rFonts w:ascii="楷体_GB2312" w:eastAsia="楷体_GB2312" w:hint="eastAsia"/>
          <w:sz w:val="32"/>
          <w:szCs w:val="32"/>
        </w:rPr>
        <w:t>26.9</w:t>
      </w:r>
      <w:r w:rsidRPr="00762674">
        <w:rPr>
          <w:rFonts w:ascii="楷体_GB2312" w:eastAsia="楷体_GB2312" w:hint="eastAsia"/>
          <w:sz w:val="32"/>
          <w:szCs w:val="32"/>
        </w:rPr>
        <w:t>%、</w:t>
      </w:r>
      <w:r w:rsidR="003010CC" w:rsidRPr="00762674">
        <w:rPr>
          <w:rFonts w:ascii="楷体_GB2312" w:eastAsia="楷体_GB2312" w:hint="eastAsia"/>
          <w:sz w:val="32"/>
          <w:szCs w:val="32"/>
        </w:rPr>
        <w:t>24.8</w:t>
      </w:r>
      <w:r w:rsidRPr="00762674">
        <w:rPr>
          <w:rFonts w:ascii="楷体_GB2312" w:eastAsia="楷体_GB2312" w:hint="eastAsia"/>
          <w:sz w:val="32"/>
          <w:szCs w:val="32"/>
        </w:rPr>
        <w:t>%，保险待遇预算支出执行率分别为</w:t>
      </w:r>
      <w:r w:rsidR="003010CC" w:rsidRPr="00762674">
        <w:rPr>
          <w:rFonts w:ascii="楷体_GB2312" w:eastAsia="楷体_GB2312" w:hint="eastAsia"/>
          <w:sz w:val="32"/>
          <w:szCs w:val="32"/>
        </w:rPr>
        <w:t>28.5</w:t>
      </w:r>
      <w:r w:rsidRPr="00762674">
        <w:rPr>
          <w:rFonts w:ascii="楷体_GB2312" w:eastAsia="楷体_GB2312" w:hint="eastAsia"/>
          <w:sz w:val="32"/>
          <w:szCs w:val="32"/>
        </w:rPr>
        <w:t>%、</w:t>
      </w:r>
      <w:r w:rsidR="003010CC" w:rsidRPr="00762674">
        <w:rPr>
          <w:rFonts w:ascii="楷体_GB2312" w:eastAsia="楷体_GB2312" w:hint="eastAsia"/>
          <w:sz w:val="32"/>
          <w:szCs w:val="32"/>
        </w:rPr>
        <w:t>22.8</w:t>
      </w:r>
      <w:r w:rsidRPr="00762674">
        <w:rPr>
          <w:rFonts w:ascii="楷体_GB2312" w:eastAsia="楷体_GB2312" w:hint="eastAsia"/>
          <w:sz w:val="32"/>
          <w:szCs w:val="32"/>
        </w:rPr>
        <w:t>%。基金预算支出执行比率</w:t>
      </w:r>
      <w:r w:rsidR="00AB0B98" w:rsidRPr="00762674">
        <w:rPr>
          <w:rFonts w:ascii="楷体_GB2312" w:eastAsia="楷体_GB2312" w:hint="eastAsia"/>
          <w:sz w:val="32"/>
          <w:szCs w:val="32"/>
        </w:rPr>
        <w:t>比基金预算收入执行比率合理准确</w:t>
      </w:r>
      <w:r w:rsidR="00342CB5" w:rsidRPr="00762674">
        <w:rPr>
          <w:rFonts w:ascii="楷体_GB2312" w:eastAsia="楷体_GB2312" w:hint="eastAsia"/>
          <w:sz w:val="32"/>
          <w:szCs w:val="32"/>
        </w:rPr>
        <w:t>。</w:t>
      </w:r>
    </w:p>
    <w:p w:rsidR="00D6425F" w:rsidRPr="00762674" w:rsidRDefault="00D6425F" w:rsidP="00762674">
      <w:pPr>
        <w:ind w:leftChars="36" w:left="76" w:firstLineChars="20" w:firstLine="64"/>
        <w:jc w:val="right"/>
        <w:rPr>
          <w:rFonts w:ascii="楷体_GB2312" w:eastAsia="楷体_GB2312"/>
          <w:sz w:val="32"/>
          <w:szCs w:val="32"/>
        </w:rPr>
      </w:pPr>
      <w:r w:rsidRPr="00762674">
        <w:rPr>
          <w:rFonts w:ascii="楷体_GB2312" w:eastAsia="楷体_GB2312" w:hint="eastAsia"/>
          <w:b/>
          <w:sz w:val="32"/>
          <w:szCs w:val="32"/>
        </w:rPr>
        <w:t>20</w:t>
      </w:r>
      <w:r w:rsidR="00450370" w:rsidRPr="00762674">
        <w:rPr>
          <w:rFonts w:ascii="楷体_GB2312" w:eastAsia="楷体_GB2312" w:hint="eastAsia"/>
          <w:b/>
          <w:sz w:val="32"/>
          <w:szCs w:val="32"/>
        </w:rPr>
        <w:t>20</w:t>
      </w:r>
      <w:r w:rsidRPr="00762674">
        <w:rPr>
          <w:rFonts w:ascii="楷体_GB2312" w:eastAsia="楷体_GB2312" w:hint="eastAsia"/>
          <w:b/>
          <w:sz w:val="32"/>
          <w:szCs w:val="32"/>
        </w:rPr>
        <w:t>年</w:t>
      </w:r>
      <w:r w:rsidR="00112B28" w:rsidRPr="00762674">
        <w:rPr>
          <w:rFonts w:ascii="楷体_GB2312" w:eastAsia="楷体_GB2312" w:hint="eastAsia"/>
          <w:b/>
          <w:sz w:val="32"/>
          <w:szCs w:val="32"/>
        </w:rPr>
        <w:t>1季度</w:t>
      </w:r>
      <w:r w:rsidRPr="00762674">
        <w:rPr>
          <w:rFonts w:ascii="楷体_GB2312" w:eastAsia="楷体_GB2312" w:hint="eastAsia"/>
          <w:b/>
          <w:sz w:val="32"/>
          <w:szCs w:val="32"/>
        </w:rPr>
        <w:t>全市医疗生育保险基金预算支出执行情况表</w:t>
      </w:r>
      <w:r w:rsidRPr="00380B1A">
        <w:rPr>
          <w:rFonts w:ascii="楷体_GB2312" w:eastAsia="楷体_GB2312" w:hint="eastAsia"/>
          <w:sz w:val="24"/>
          <w:szCs w:val="24"/>
        </w:rPr>
        <w:t>（单位:</w:t>
      </w:r>
      <w:r w:rsidR="00112B28" w:rsidRPr="00380B1A">
        <w:rPr>
          <w:rFonts w:ascii="楷体_GB2312" w:eastAsia="楷体_GB2312" w:hint="eastAsia"/>
          <w:sz w:val="24"/>
          <w:szCs w:val="24"/>
        </w:rPr>
        <w:t>万</w:t>
      </w:r>
      <w:r w:rsidRPr="00380B1A">
        <w:rPr>
          <w:rFonts w:ascii="楷体_GB2312" w:eastAsia="楷体_GB2312" w:hint="eastAsia"/>
          <w:sz w:val="24"/>
          <w:szCs w:val="24"/>
        </w:rPr>
        <w:t>元）</w:t>
      </w:r>
    </w:p>
    <w:tbl>
      <w:tblPr>
        <w:tblW w:w="5000" w:type="pct"/>
        <w:tblLook w:val="0000" w:firstRow="0" w:lastRow="0" w:firstColumn="0" w:lastColumn="0" w:noHBand="0" w:noVBand="0"/>
      </w:tblPr>
      <w:tblGrid>
        <w:gridCol w:w="1496"/>
        <w:gridCol w:w="1211"/>
        <w:gridCol w:w="1211"/>
        <w:gridCol w:w="1090"/>
        <w:gridCol w:w="1211"/>
        <w:gridCol w:w="1211"/>
        <w:gridCol w:w="1092"/>
      </w:tblGrid>
      <w:tr w:rsidR="00D6425F" w:rsidRPr="00762674" w:rsidTr="000F152F">
        <w:trPr>
          <w:trHeight w:val="525"/>
        </w:trPr>
        <w:tc>
          <w:tcPr>
            <w:tcW w:w="7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425F" w:rsidRPr="00762674" w:rsidRDefault="00D6425F"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险 种</w:t>
            </w:r>
          </w:p>
        </w:tc>
        <w:tc>
          <w:tcPr>
            <w:tcW w:w="2134" w:type="pct"/>
            <w:gridSpan w:val="3"/>
            <w:tcBorders>
              <w:top w:val="single" w:sz="4" w:space="0" w:color="auto"/>
              <w:left w:val="nil"/>
              <w:bottom w:val="single" w:sz="4" w:space="0" w:color="auto"/>
              <w:right w:val="single" w:sz="4" w:space="0" w:color="auto"/>
            </w:tcBorders>
            <w:shd w:val="clear" w:color="auto" w:fill="auto"/>
            <w:vAlign w:val="center"/>
          </w:tcPr>
          <w:p w:rsidR="00D6425F" w:rsidRPr="00762674" w:rsidRDefault="00D6425F"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本年支出</w:t>
            </w:r>
          </w:p>
        </w:tc>
        <w:tc>
          <w:tcPr>
            <w:tcW w:w="2135" w:type="pct"/>
            <w:gridSpan w:val="3"/>
            <w:tcBorders>
              <w:top w:val="single" w:sz="4" w:space="0" w:color="auto"/>
              <w:left w:val="nil"/>
              <w:bottom w:val="single" w:sz="4" w:space="0" w:color="auto"/>
              <w:right w:val="single" w:sz="4" w:space="0" w:color="auto"/>
            </w:tcBorders>
            <w:shd w:val="clear" w:color="auto" w:fill="auto"/>
            <w:vAlign w:val="center"/>
          </w:tcPr>
          <w:p w:rsidR="00D6425F" w:rsidRPr="00762674" w:rsidRDefault="00D6425F" w:rsidP="004D18AD">
            <w:pPr>
              <w:widowControl/>
              <w:jc w:val="center"/>
              <w:rPr>
                <w:rFonts w:ascii="楷体_GB2312" w:eastAsia="楷体_GB2312" w:hAnsi="宋体" w:cs="宋体"/>
                <w:color w:val="000000"/>
                <w:kern w:val="0"/>
                <w:sz w:val="32"/>
                <w:szCs w:val="32"/>
              </w:rPr>
            </w:pPr>
            <w:r w:rsidRPr="00762674">
              <w:rPr>
                <w:rFonts w:ascii="楷体_GB2312" w:eastAsia="楷体_GB2312" w:hAnsi="宋体" w:cs="宋体" w:hint="eastAsia"/>
                <w:color w:val="000000"/>
                <w:kern w:val="0"/>
                <w:sz w:val="32"/>
                <w:szCs w:val="32"/>
              </w:rPr>
              <w:t>其中：保险待遇支出</w:t>
            </w:r>
          </w:p>
        </w:tc>
      </w:tr>
      <w:tr w:rsidR="00D6425F" w:rsidRPr="00762674" w:rsidTr="000F152F">
        <w:trPr>
          <w:trHeight w:val="525"/>
        </w:trPr>
        <w:tc>
          <w:tcPr>
            <w:tcW w:w="730" w:type="pct"/>
            <w:vMerge/>
            <w:tcBorders>
              <w:top w:val="single" w:sz="4" w:space="0" w:color="auto"/>
              <w:left w:val="single" w:sz="4" w:space="0" w:color="auto"/>
              <w:bottom w:val="single" w:sz="4" w:space="0" w:color="auto"/>
              <w:right w:val="single" w:sz="4" w:space="0" w:color="auto"/>
            </w:tcBorders>
            <w:vAlign w:val="center"/>
          </w:tcPr>
          <w:p w:rsidR="00D6425F" w:rsidRPr="00762674" w:rsidRDefault="00D6425F" w:rsidP="004D18AD">
            <w:pPr>
              <w:widowControl/>
              <w:jc w:val="left"/>
              <w:rPr>
                <w:rFonts w:ascii="楷体_GB2312" w:eastAsia="楷体_GB2312" w:hAnsi="宋体" w:cs="宋体"/>
                <w:color w:val="000000"/>
                <w:kern w:val="0"/>
                <w:sz w:val="32"/>
                <w:szCs w:val="32"/>
              </w:rPr>
            </w:pPr>
          </w:p>
        </w:tc>
        <w:tc>
          <w:tcPr>
            <w:tcW w:w="735" w:type="pct"/>
            <w:tcBorders>
              <w:top w:val="nil"/>
              <w:left w:val="nil"/>
              <w:bottom w:val="single" w:sz="4" w:space="0" w:color="auto"/>
              <w:right w:val="single" w:sz="4" w:space="0" w:color="auto"/>
            </w:tcBorders>
            <w:shd w:val="clear" w:color="auto" w:fill="auto"/>
            <w:vAlign w:val="center"/>
          </w:tcPr>
          <w:p w:rsidR="00D6425F" w:rsidRPr="000F5A74" w:rsidRDefault="00D6425F" w:rsidP="004D18AD">
            <w:pPr>
              <w:widowControl/>
              <w:jc w:val="center"/>
              <w:rPr>
                <w:rFonts w:ascii="仿宋_GB2312" w:eastAsia="仿宋_GB2312" w:hAnsi="宋体" w:cs="宋体"/>
                <w:color w:val="000000"/>
                <w:kern w:val="0"/>
                <w:sz w:val="28"/>
                <w:szCs w:val="28"/>
              </w:rPr>
            </w:pPr>
            <w:r w:rsidRPr="000F5A74">
              <w:rPr>
                <w:rFonts w:ascii="仿宋_GB2312" w:eastAsia="仿宋_GB2312" w:hAnsi="宋体" w:cs="宋体" w:hint="eastAsia"/>
                <w:color w:val="000000"/>
                <w:kern w:val="0"/>
                <w:sz w:val="28"/>
                <w:szCs w:val="28"/>
              </w:rPr>
              <w:t>预算数</w:t>
            </w:r>
          </w:p>
        </w:tc>
        <w:tc>
          <w:tcPr>
            <w:tcW w:w="735" w:type="pct"/>
            <w:tcBorders>
              <w:top w:val="nil"/>
              <w:left w:val="nil"/>
              <w:bottom w:val="single" w:sz="4" w:space="0" w:color="auto"/>
              <w:right w:val="single" w:sz="4" w:space="0" w:color="auto"/>
            </w:tcBorders>
            <w:shd w:val="clear" w:color="auto" w:fill="auto"/>
            <w:vAlign w:val="center"/>
          </w:tcPr>
          <w:p w:rsidR="00D6425F" w:rsidRPr="000F5A74" w:rsidRDefault="00D6425F" w:rsidP="004D18AD">
            <w:pPr>
              <w:widowControl/>
              <w:jc w:val="center"/>
              <w:rPr>
                <w:rFonts w:ascii="仿宋_GB2312" w:eastAsia="仿宋_GB2312" w:hAnsi="宋体" w:cs="宋体"/>
                <w:color w:val="000000"/>
                <w:kern w:val="0"/>
                <w:sz w:val="28"/>
                <w:szCs w:val="28"/>
              </w:rPr>
            </w:pPr>
            <w:r w:rsidRPr="000F5A74">
              <w:rPr>
                <w:rFonts w:ascii="仿宋_GB2312" w:eastAsia="仿宋_GB2312" w:hAnsi="宋体" w:cs="宋体" w:hint="eastAsia"/>
                <w:color w:val="000000"/>
                <w:kern w:val="0"/>
                <w:sz w:val="28"/>
                <w:szCs w:val="28"/>
              </w:rPr>
              <w:t>执行数</w:t>
            </w:r>
          </w:p>
        </w:tc>
        <w:tc>
          <w:tcPr>
            <w:tcW w:w="664" w:type="pct"/>
            <w:tcBorders>
              <w:top w:val="nil"/>
              <w:left w:val="nil"/>
              <w:bottom w:val="single" w:sz="4" w:space="0" w:color="auto"/>
              <w:right w:val="single" w:sz="4" w:space="0" w:color="auto"/>
            </w:tcBorders>
            <w:shd w:val="clear" w:color="auto" w:fill="auto"/>
            <w:vAlign w:val="center"/>
          </w:tcPr>
          <w:p w:rsidR="00D6425F" w:rsidRPr="000F5A74" w:rsidRDefault="00D6425F" w:rsidP="004D18AD">
            <w:pPr>
              <w:widowControl/>
              <w:jc w:val="center"/>
              <w:rPr>
                <w:rFonts w:ascii="仿宋_GB2312" w:eastAsia="仿宋_GB2312" w:hAnsi="宋体" w:cs="宋体"/>
                <w:color w:val="000000"/>
                <w:kern w:val="0"/>
                <w:sz w:val="28"/>
                <w:szCs w:val="28"/>
              </w:rPr>
            </w:pPr>
            <w:r w:rsidRPr="000F5A74">
              <w:rPr>
                <w:rFonts w:ascii="仿宋_GB2312" w:eastAsia="仿宋_GB2312" w:hAnsi="宋体" w:cs="宋体" w:hint="eastAsia"/>
                <w:color w:val="000000"/>
                <w:kern w:val="0"/>
                <w:sz w:val="28"/>
                <w:szCs w:val="28"/>
              </w:rPr>
              <w:t>执行率</w:t>
            </w:r>
          </w:p>
        </w:tc>
        <w:tc>
          <w:tcPr>
            <w:tcW w:w="735" w:type="pct"/>
            <w:tcBorders>
              <w:top w:val="nil"/>
              <w:left w:val="nil"/>
              <w:bottom w:val="single" w:sz="4" w:space="0" w:color="auto"/>
              <w:right w:val="single" w:sz="4" w:space="0" w:color="auto"/>
            </w:tcBorders>
            <w:shd w:val="clear" w:color="auto" w:fill="auto"/>
            <w:vAlign w:val="center"/>
          </w:tcPr>
          <w:p w:rsidR="00D6425F" w:rsidRPr="000F5A74" w:rsidRDefault="00D6425F" w:rsidP="004D18AD">
            <w:pPr>
              <w:widowControl/>
              <w:jc w:val="center"/>
              <w:rPr>
                <w:rFonts w:ascii="仿宋_GB2312" w:eastAsia="仿宋_GB2312" w:hAnsi="宋体" w:cs="宋体"/>
                <w:color w:val="000000"/>
                <w:kern w:val="0"/>
                <w:sz w:val="28"/>
                <w:szCs w:val="28"/>
              </w:rPr>
            </w:pPr>
            <w:r w:rsidRPr="000F5A74">
              <w:rPr>
                <w:rFonts w:ascii="仿宋_GB2312" w:eastAsia="仿宋_GB2312" w:hAnsi="宋体" w:cs="宋体" w:hint="eastAsia"/>
                <w:color w:val="000000"/>
                <w:kern w:val="0"/>
                <w:sz w:val="28"/>
                <w:szCs w:val="28"/>
              </w:rPr>
              <w:t>预算数</w:t>
            </w:r>
          </w:p>
        </w:tc>
        <w:tc>
          <w:tcPr>
            <w:tcW w:w="735" w:type="pct"/>
            <w:tcBorders>
              <w:top w:val="nil"/>
              <w:left w:val="nil"/>
              <w:bottom w:val="single" w:sz="4" w:space="0" w:color="auto"/>
              <w:right w:val="single" w:sz="4" w:space="0" w:color="auto"/>
            </w:tcBorders>
            <w:shd w:val="clear" w:color="auto" w:fill="auto"/>
            <w:vAlign w:val="center"/>
          </w:tcPr>
          <w:p w:rsidR="00D6425F" w:rsidRPr="000F5A74" w:rsidRDefault="00D6425F" w:rsidP="004D18AD">
            <w:pPr>
              <w:widowControl/>
              <w:jc w:val="center"/>
              <w:rPr>
                <w:rFonts w:ascii="仿宋_GB2312" w:eastAsia="仿宋_GB2312" w:hAnsi="宋体" w:cs="宋体"/>
                <w:color w:val="000000"/>
                <w:kern w:val="0"/>
                <w:sz w:val="28"/>
                <w:szCs w:val="28"/>
              </w:rPr>
            </w:pPr>
            <w:r w:rsidRPr="000F5A74">
              <w:rPr>
                <w:rFonts w:ascii="仿宋_GB2312" w:eastAsia="仿宋_GB2312" w:hAnsi="宋体" w:cs="宋体" w:hint="eastAsia"/>
                <w:color w:val="000000"/>
                <w:kern w:val="0"/>
                <w:sz w:val="28"/>
                <w:szCs w:val="28"/>
              </w:rPr>
              <w:t>执行数</w:t>
            </w:r>
          </w:p>
        </w:tc>
        <w:tc>
          <w:tcPr>
            <w:tcW w:w="665" w:type="pct"/>
            <w:tcBorders>
              <w:top w:val="nil"/>
              <w:left w:val="nil"/>
              <w:bottom w:val="single" w:sz="4" w:space="0" w:color="auto"/>
              <w:right w:val="single" w:sz="4" w:space="0" w:color="auto"/>
            </w:tcBorders>
            <w:shd w:val="clear" w:color="auto" w:fill="auto"/>
            <w:vAlign w:val="center"/>
          </w:tcPr>
          <w:p w:rsidR="00D6425F" w:rsidRPr="000F5A74" w:rsidRDefault="00D6425F" w:rsidP="004D18AD">
            <w:pPr>
              <w:widowControl/>
              <w:jc w:val="center"/>
              <w:rPr>
                <w:rFonts w:ascii="仿宋_GB2312" w:eastAsia="仿宋_GB2312" w:hAnsi="宋体" w:cs="宋体"/>
                <w:color w:val="000000"/>
                <w:kern w:val="0"/>
                <w:sz w:val="28"/>
                <w:szCs w:val="28"/>
              </w:rPr>
            </w:pPr>
            <w:r w:rsidRPr="000F5A74">
              <w:rPr>
                <w:rFonts w:ascii="仿宋_GB2312" w:eastAsia="仿宋_GB2312" w:hAnsi="宋体" w:cs="宋体" w:hint="eastAsia"/>
                <w:color w:val="000000"/>
                <w:kern w:val="0"/>
                <w:sz w:val="28"/>
                <w:szCs w:val="28"/>
              </w:rPr>
              <w:t>执行率</w:t>
            </w:r>
          </w:p>
        </w:tc>
      </w:tr>
      <w:tr w:rsidR="000F152F" w:rsidRPr="00762674" w:rsidTr="00450370">
        <w:trPr>
          <w:trHeight w:val="525"/>
        </w:trPr>
        <w:tc>
          <w:tcPr>
            <w:tcW w:w="730" w:type="pct"/>
            <w:tcBorders>
              <w:top w:val="nil"/>
              <w:left w:val="single" w:sz="4" w:space="0" w:color="auto"/>
              <w:bottom w:val="single" w:sz="4" w:space="0" w:color="auto"/>
              <w:right w:val="single" w:sz="4" w:space="0" w:color="auto"/>
            </w:tcBorders>
            <w:shd w:val="clear" w:color="auto" w:fill="auto"/>
            <w:noWrap/>
            <w:vAlign w:val="center"/>
          </w:tcPr>
          <w:p w:rsidR="000F152F" w:rsidRPr="00762674" w:rsidRDefault="000F152F"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职工医保</w:t>
            </w:r>
          </w:p>
        </w:tc>
        <w:tc>
          <w:tcPr>
            <w:tcW w:w="735" w:type="pct"/>
            <w:tcBorders>
              <w:top w:val="nil"/>
              <w:left w:val="nil"/>
              <w:bottom w:val="single" w:sz="4" w:space="0" w:color="auto"/>
              <w:right w:val="single" w:sz="4" w:space="0" w:color="auto"/>
            </w:tcBorders>
            <w:shd w:val="clear" w:color="auto" w:fill="auto"/>
            <w:noWrap/>
            <w:vAlign w:val="center"/>
          </w:tcPr>
          <w:p w:rsidR="000F152F" w:rsidRPr="00380B1A" w:rsidRDefault="00380B1A" w:rsidP="00380B1A">
            <w:pPr>
              <w:ind w:firstLineChars="50" w:firstLine="140"/>
              <w:rPr>
                <w:rFonts w:ascii="楷体_GB2312" w:eastAsia="楷体_GB2312" w:hAnsi="仿宋"/>
                <w:sz w:val="28"/>
                <w:szCs w:val="28"/>
              </w:rPr>
            </w:pPr>
            <w:r>
              <w:rPr>
                <w:rFonts w:ascii="楷体_GB2312" w:eastAsia="楷体_GB2312" w:hAnsi="仿宋" w:hint="eastAsia"/>
                <w:sz w:val="28"/>
                <w:szCs w:val="28"/>
              </w:rPr>
              <w:t>268324</w:t>
            </w:r>
          </w:p>
        </w:tc>
        <w:tc>
          <w:tcPr>
            <w:tcW w:w="735" w:type="pct"/>
            <w:tcBorders>
              <w:top w:val="nil"/>
              <w:left w:val="nil"/>
              <w:bottom w:val="single" w:sz="4" w:space="0" w:color="auto"/>
              <w:right w:val="single" w:sz="4" w:space="0" w:color="auto"/>
            </w:tcBorders>
            <w:shd w:val="clear" w:color="auto" w:fill="auto"/>
            <w:noWrap/>
            <w:vAlign w:val="center"/>
          </w:tcPr>
          <w:p w:rsidR="000F152F" w:rsidRPr="00380B1A" w:rsidRDefault="00380B1A" w:rsidP="004D18AD">
            <w:pPr>
              <w:jc w:val="center"/>
              <w:rPr>
                <w:rFonts w:ascii="楷体_GB2312" w:eastAsia="楷体_GB2312" w:hAnsi="仿宋"/>
                <w:sz w:val="28"/>
                <w:szCs w:val="28"/>
              </w:rPr>
            </w:pPr>
            <w:r w:rsidRPr="00380B1A">
              <w:rPr>
                <w:rFonts w:ascii="楷体_GB2312" w:eastAsia="楷体_GB2312" w:hAnsi="仿宋" w:hint="eastAsia"/>
                <w:sz w:val="28"/>
                <w:szCs w:val="28"/>
              </w:rPr>
              <w:t>58787</w:t>
            </w:r>
          </w:p>
        </w:tc>
        <w:tc>
          <w:tcPr>
            <w:tcW w:w="664" w:type="pct"/>
            <w:tcBorders>
              <w:top w:val="nil"/>
              <w:left w:val="nil"/>
              <w:bottom w:val="single" w:sz="4" w:space="0" w:color="auto"/>
              <w:right w:val="single" w:sz="4" w:space="0" w:color="auto"/>
            </w:tcBorders>
            <w:shd w:val="clear" w:color="auto" w:fill="auto"/>
            <w:noWrap/>
            <w:vAlign w:val="center"/>
          </w:tcPr>
          <w:p w:rsidR="000F152F" w:rsidRPr="00380B1A" w:rsidRDefault="00380B1A" w:rsidP="004D18AD">
            <w:pPr>
              <w:jc w:val="center"/>
              <w:rPr>
                <w:rFonts w:ascii="楷体_GB2312" w:eastAsia="楷体_GB2312" w:hAnsi="仿宋"/>
                <w:sz w:val="28"/>
                <w:szCs w:val="28"/>
              </w:rPr>
            </w:pPr>
            <w:r>
              <w:rPr>
                <w:rFonts w:ascii="楷体_GB2312" w:eastAsia="楷体_GB2312" w:hAnsi="仿宋" w:hint="eastAsia"/>
                <w:sz w:val="28"/>
                <w:szCs w:val="28"/>
              </w:rPr>
              <w:t>21.9%</w:t>
            </w:r>
          </w:p>
        </w:tc>
        <w:tc>
          <w:tcPr>
            <w:tcW w:w="735" w:type="pct"/>
            <w:tcBorders>
              <w:top w:val="nil"/>
              <w:left w:val="nil"/>
              <w:bottom w:val="single" w:sz="4" w:space="0" w:color="auto"/>
              <w:right w:val="single" w:sz="4" w:space="0" w:color="auto"/>
            </w:tcBorders>
            <w:shd w:val="clear" w:color="auto" w:fill="auto"/>
            <w:noWrap/>
            <w:vAlign w:val="center"/>
          </w:tcPr>
          <w:p w:rsidR="000F152F" w:rsidRPr="00380B1A" w:rsidRDefault="00380B1A" w:rsidP="007F055A">
            <w:pPr>
              <w:ind w:firstLineChars="50" w:firstLine="140"/>
              <w:rPr>
                <w:rFonts w:ascii="楷体_GB2312" w:eastAsia="楷体_GB2312" w:hAnsi="仿宋"/>
                <w:sz w:val="28"/>
                <w:szCs w:val="28"/>
              </w:rPr>
            </w:pPr>
            <w:r>
              <w:rPr>
                <w:rFonts w:ascii="楷体_GB2312" w:eastAsia="楷体_GB2312" w:hAnsi="仿宋" w:hint="eastAsia"/>
                <w:sz w:val="28"/>
                <w:szCs w:val="28"/>
              </w:rPr>
              <w:t>268324</w:t>
            </w:r>
          </w:p>
        </w:tc>
        <w:tc>
          <w:tcPr>
            <w:tcW w:w="735" w:type="pct"/>
            <w:tcBorders>
              <w:top w:val="nil"/>
              <w:left w:val="nil"/>
              <w:bottom w:val="single" w:sz="4" w:space="0" w:color="auto"/>
              <w:right w:val="single" w:sz="4" w:space="0" w:color="auto"/>
            </w:tcBorders>
            <w:shd w:val="clear" w:color="auto" w:fill="auto"/>
            <w:noWrap/>
            <w:vAlign w:val="center"/>
          </w:tcPr>
          <w:p w:rsidR="000F152F" w:rsidRPr="00380B1A" w:rsidRDefault="00380B1A" w:rsidP="007F055A">
            <w:pPr>
              <w:ind w:firstLineChars="50" w:firstLine="140"/>
              <w:rPr>
                <w:rFonts w:ascii="楷体_GB2312" w:eastAsia="楷体_GB2312" w:hAnsi="仿宋"/>
                <w:sz w:val="28"/>
                <w:szCs w:val="28"/>
              </w:rPr>
            </w:pPr>
            <w:r w:rsidRPr="00380B1A">
              <w:rPr>
                <w:rFonts w:ascii="楷体_GB2312" w:eastAsia="楷体_GB2312" w:hAnsi="仿宋" w:hint="eastAsia"/>
                <w:sz w:val="28"/>
                <w:szCs w:val="28"/>
              </w:rPr>
              <w:t>58787</w:t>
            </w:r>
          </w:p>
        </w:tc>
        <w:tc>
          <w:tcPr>
            <w:tcW w:w="665" w:type="pct"/>
            <w:tcBorders>
              <w:top w:val="nil"/>
              <w:left w:val="nil"/>
              <w:bottom w:val="single" w:sz="4" w:space="0" w:color="auto"/>
              <w:right w:val="single" w:sz="4" w:space="0" w:color="auto"/>
            </w:tcBorders>
            <w:shd w:val="clear" w:color="auto" w:fill="auto"/>
            <w:noWrap/>
            <w:vAlign w:val="center"/>
          </w:tcPr>
          <w:p w:rsidR="000F152F" w:rsidRPr="007F055A" w:rsidRDefault="00380B1A" w:rsidP="007F055A">
            <w:pPr>
              <w:ind w:firstLineChars="50" w:firstLine="140"/>
              <w:rPr>
                <w:rFonts w:ascii="楷体_GB2312" w:eastAsia="楷体_GB2312" w:hAnsi="仿宋"/>
                <w:sz w:val="28"/>
                <w:szCs w:val="28"/>
              </w:rPr>
            </w:pPr>
            <w:r w:rsidRPr="007F055A">
              <w:rPr>
                <w:rFonts w:ascii="楷体_GB2312" w:eastAsia="楷体_GB2312" w:hAnsi="仿宋" w:hint="eastAsia"/>
                <w:sz w:val="28"/>
                <w:szCs w:val="28"/>
              </w:rPr>
              <w:t>21.9%</w:t>
            </w:r>
          </w:p>
        </w:tc>
      </w:tr>
      <w:tr w:rsidR="00450370" w:rsidRPr="00762674" w:rsidTr="00450370">
        <w:trPr>
          <w:trHeight w:val="618"/>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0370" w:rsidRPr="00762674" w:rsidRDefault="00450370"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居民医保</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450370" w:rsidRPr="00380B1A" w:rsidRDefault="00380B1A" w:rsidP="00380B1A">
            <w:pPr>
              <w:ind w:firstLineChars="50" w:firstLine="140"/>
              <w:rPr>
                <w:rFonts w:ascii="楷体_GB2312" w:eastAsia="楷体_GB2312" w:hAnsi="仿宋"/>
                <w:sz w:val="28"/>
                <w:szCs w:val="28"/>
              </w:rPr>
            </w:pPr>
            <w:r w:rsidRPr="00380B1A">
              <w:rPr>
                <w:rFonts w:ascii="楷体_GB2312" w:eastAsia="楷体_GB2312" w:hAnsi="仿宋" w:hint="eastAsia"/>
                <w:sz w:val="28"/>
                <w:szCs w:val="28"/>
              </w:rPr>
              <w:t>233382</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450370" w:rsidRPr="00380B1A" w:rsidRDefault="00380B1A" w:rsidP="00380B1A">
            <w:pPr>
              <w:ind w:firstLineChars="50" w:firstLine="140"/>
              <w:rPr>
                <w:rFonts w:ascii="楷体_GB2312" w:eastAsia="楷体_GB2312" w:hAnsi="仿宋"/>
                <w:sz w:val="28"/>
                <w:szCs w:val="28"/>
              </w:rPr>
            </w:pPr>
            <w:r w:rsidRPr="00380B1A">
              <w:rPr>
                <w:rFonts w:ascii="楷体_GB2312" w:eastAsia="楷体_GB2312" w:hAnsi="仿宋" w:hint="eastAsia"/>
                <w:sz w:val="28"/>
                <w:szCs w:val="28"/>
              </w:rPr>
              <w:t>52772</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450370" w:rsidRPr="00380B1A" w:rsidRDefault="00380B1A" w:rsidP="00380B1A">
            <w:pPr>
              <w:ind w:firstLineChars="50" w:firstLine="140"/>
              <w:rPr>
                <w:rFonts w:ascii="楷体_GB2312" w:eastAsia="楷体_GB2312" w:hAnsi="仿宋"/>
                <w:sz w:val="28"/>
                <w:szCs w:val="28"/>
              </w:rPr>
            </w:pPr>
            <w:r>
              <w:rPr>
                <w:rFonts w:ascii="楷体_GB2312" w:eastAsia="楷体_GB2312" w:hAnsi="仿宋" w:hint="eastAsia"/>
                <w:sz w:val="28"/>
                <w:szCs w:val="28"/>
              </w:rPr>
              <w:t>22.6%</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450370" w:rsidRPr="00380B1A" w:rsidRDefault="00380B1A" w:rsidP="00380B1A">
            <w:pPr>
              <w:ind w:firstLineChars="50" w:firstLine="140"/>
              <w:rPr>
                <w:rFonts w:ascii="楷体_GB2312" w:eastAsia="楷体_GB2312" w:hAnsi="仿宋"/>
                <w:sz w:val="28"/>
                <w:szCs w:val="28"/>
              </w:rPr>
            </w:pPr>
            <w:r w:rsidRPr="00380B1A">
              <w:rPr>
                <w:rFonts w:ascii="楷体_GB2312" w:eastAsia="楷体_GB2312" w:hAnsi="仿宋" w:hint="eastAsia"/>
                <w:sz w:val="28"/>
                <w:szCs w:val="28"/>
              </w:rPr>
              <w:t>233382</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450370" w:rsidRPr="00380B1A" w:rsidRDefault="00380B1A" w:rsidP="00380B1A">
            <w:pPr>
              <w:ind w:firstLineChars="50" w:firstLine="140"/>
              <w:rPr>
                <w:rFonts w:ascii="楷体_GB2312" w:eastAsia="楷体_GB2312" w:hAnsi="仿宋"/>
                <w:sz w:val="28"/>
                <w:szCs w:val="28"/>
              </w:rPr>
            </w:pPr>
            <w:r w:rsidRPr="00380B1A">
              <w:rPr>
                <w:rFonts w:ascii="楷体_GB2312" w:eastAsia="楷体_GB2312" w:hAnsi="仿宋" w:hint="eastAsia"/>
                <w:sz w:val="28"/>
                <w:szCs w:val="28"/>
              </w:rPr>
              <w:t>52772</w:t>
            </w:r>
          </w:p>
        </w:tc>
        <w:tc>
          <w:tcPr>
            <w:tcW w:w="665" w:type="pct"/>
            <w:tcBorders>
              <w:top w:val="single" w:sz="4" w:space="0" w:color="auto"/>
              <w:left w:val="nil"/>
              <w:bottom w:val="single" w:sz="4" w:space="0" w:color="auto"/>
              <w:right w:val="single" w:sz="4" w:space="0" w:color="auto"/>
            </w:tcBorders>
            <w:shd w:val="clear" w:color="auto" w:fill="auto"/>
            <w:noWrap/>
            <w:vAlign w:val="center"/>
          </w:tcPr>
          <w:p w:rsidR="00450370" w:rsidRPr="007F055A" w:rsidRDefault="00380B1A" w:rsidP="004D18AD">
            <w:pPr>
              <w:jc w:val="center"/>
              <w:rPr>
                <w:rFonts w:ascii="楷体_GB2312" w:eastAsia="楷体_GB2312" w:hAnsi="仿宋"/>
                <w:sz w:val="28"/>
                <w:szCs w:val="28"/>
              </w:rPr>
            </w:pPr>
            <w:r w:rsidRPr="007F055A">
              <w:rPr>
                <w:rFonts w:ascii="楷体_GB2312" w:eastAsia="楷体_GB2312" w:hAnsi="仿宋" w:hint="eastAsia"/>
                <w:sz w:val="28"/>
                <w:szCs w:val="28"/>
              </w:rPr>
              <w:t>22.6%</w:t>
            </w:r>
          </w:p>
        </w:tc>
      </w:tr>
    </w:tbl>
    <w:p w:rsidR="00D6425F" w:rsidRPr="00762674" w:rsidRDefault="001B1751" w:rsidP="00762674">
      <w:pPr>
        <w:ind w:firstLineChars="196" w:firstLine="630"/>
        <w:jc w:val="left"/>
        <w:rPr>
          <w:rFonts w:ascii="仿宋_GB2312" w:eastAsia="仿宋_GB2312" w:hAnsi="宋体"/>
          <w:b/>
          <w:sz w:val="32"/>
          <w:szCs w:val="32"/>
        </w:rPr>
      </w:pPr>
      <w:r w:rsidRPr="00762674">
        <w:rPr>
          <w:rFonts w:ascii="仿宋_GB2312" w:eastAsia="仿宋_GB2312" w:hAnsi="宋体" w:hint="eastAsia"/>
          <w:b/>
          <w:sz w:val="32"/>
          <w:szCs w:val="32"/>
        </w:rPr>
        <w:t>3、</w:t>
      </w:r>
      <w:r w:rsidR="00D6425F" w:rsidRPr="00762674">
        <w:rPr>
          <w:rFonts w:ascii="仿宋_GB2312" w:eastAsia="仿宋_GB2312" w:hAnsi="宋体" w:hint="eastAsia"/>
          <w:b/>
          <w:sz w:val="32"/>
          <w:szCs w:val="32"/>
        </w:rPr>
        <w:t>基金结余情况</w:t>
      </w:r>
    </w:p>
    <w:p w:rsidR="00AB5DD3" w:rsidRDefault="00D6425F" w:rsidP="00762674">
      <w:pPr>
        <w:ind w:firstLineChars="200" w:firstLine="640"/>
        <w:rPr>
          <w:rFonts w:ascii="楷体_GB2312" w:eastAsia="楷体_GB2312" w:hAnsi="宋体"/>
          <w:sz w:val="32"/>
          <w:szCs w:val="32"/>
        </w:rPr>
      </w:pPr>
      <w:r w:rsidRPr="00762674">
        <w:rPr>
          <w:rFonts w:ascii="楷体_GB2312" w:eastAsia="楷体_GB2312" w:hAnsi="宋体" w:hint="eastAsia"/>
          <w:sz w:val="32"/>
          <w:szCs w:val="32"/>
        </w:rPr>
        <w:t>20</w:t>
      </w:r>
      <w:r w:rsidR="00AB0B98" w:rsidRPr="00762674">
        <w:rPr>
          <w:rFonts w:ascii="楷体_GB2312" w:eastAsia="楷体_GB2312" w:hAnsi="宋体" w:hint="eastAsia"/>
          <w:sz w:val="32"/>
          <w:szCs w:val="32"/>
        </w:rPr>
        <w:t>2</w:t>
      </w:r>
      <w:r w:rsidR="00380B1A">
        <w:rPr>
          <w:rFonts w:ascii="楷体_GB2312" w:eastAsia="楷体_GB2312" w:hAnsi="宋体" w:hint="eastAsia"/>
          <w:sz w:val="32"/>
          <w:szCs w:val="32"/>
        </w:rPr>
        <w:t>1</w:t>
      </w:r>
      <w:r w:rsidRPr="00762674">
        <w:rPr>
          <w:rFonts w:ascii="楷体_GB2312" w:eastAsia="楷体_GB2312" w:hAnsi="宋体" w:hint="eastAsia"/>
          <w:sz w:val="32"/>
          <w:szCs w:val="32"/>
        </w:rPr>
        <w:t>年</w:t>
      </w:r>
      <w:r w:rsidR="00E2541C" w:rsidRPr="00762674">
        <w:rPr>
          <w:rFonts w:ascii="楷体_GB2312" w:eastAsia="楷体_GB2312" w:hAnsi="宋体" w:hint="eastAsia"/>
          <w:sz w:val="32"/>
          <w:szCs w:val="32"/>
        </w:rPr>
        <w:t>1</w:t>
      </w:r>
      <w:r w:rsidR="00342CB5" w:rsidRPr="00762674">
        <w:rPr>
          <w:rFonts w:ascii="楷体_GB2312" w:eastAsia="楷体_GB2312" w:hAnsi="宋体" w:hint="eastAsia"/>
          <w:sz w:val="32"/>
          <w:szCs w:val="32"/>
        </w:rPr>
        <w:t>季度</w:t>
      </w:r>
      <w:r w:rsidRPr="00762674">
        <w:rPr>
          <w:rFonts w:ascii="楷体_GB2312" w:eastAsia="楷体_GB2312" w:hint="eastAsia"/>
          <w:sz w:val="32"/>
          <w:szCs w:val="32"/>
        </w:rPr>
        <w:t>全市</w:t>
      </w:r>
      <w:r w:rsidRPr="00762674">
        <w:rPr>
          <w:rFonts w:ascii="楷体_GB2312" w:eastAsia="楷体_GB2312" w:hAnsi="宋体" w:hint="eastAsia"/>
          <w:sz w:val="32"/>
          <w:szCs w:val="32"/>
        </w:rPr>
        <w:t>职工</w:t>
      </w:r>
      <w:r w:rsidR="00AB0B98" w:rsidRPr="00762674">
        <w:rPr>
          <w:rFonts w:ascii="楷体_GB2312" w:eastAsia="楷体_GB2312" w:hAnsi="宋体" w:hint="eastAsia"/>
          <w:sz w:val="32"/>
          <w:szCs w:val="32"/>
        </w:rPr>
        <w:t>基本</w:t>
      </w:r>
      <w:r w:rsidRPr="00762674">
        <w:rPr>
          <w:rFonts w:ascii="楷体_GB2312" w:eastAsia="楷体_GB2312" w:hAnsi="宋体" w:hint="eastAsia"/>
          <w:sz w:val="32"/>
          <w:szCs w:val="32"/>
        </w:rPr>
        <w:t>医保、居民医保当年结余合计</w:t>
      </w:r>
      <w:r w:rsidR="00D83010">
        <w:rPr>
          <w:rFonts w:ascii="楷体_GB2312" w:eastAsia="楷体_GB2312" w:hAnsi="宋体" w:hint="eastAsia"/>
          <w:sz w:val="32"/>
          <w:szCs w:val="32"/>
        </w:rPr>
        <w:t>675082</w:t>
      </w:r>
      <w:r w:rsidR="007D3911" w:rsidRPr="00762674">
        <w:rPr>
          <w:rFonts w:ascii="楷体_GB2312" w:eastAsia="楷体_GB2312" w:hAnsi="宋体" w:hint="eastAsia"/>
          <w:sz w:val="32"/>
          <w:szCs w:val="32"/>
        </w:rPr>
        <w:t>万</w:t>
      </w:r>
      <w:r w:rsidRPr="00762674">
        <w:rPr>
          <w:rFonts w:ascii="楷体_GB2312" w:eastAsia="楷体_GB2312" w:hAnsi="宋体" w:hint="eastAsia"/>
          <w:sz w:val="32"/>
          <w:szCs w:val="32"/>
        </w:rPr>
        <w:t>元，其中职工医保</w:t>
      </w:r>
      <w:r w:rsidR="00380B1A">
        <w:rPr>
          <w:rFonts w:ascii="楷体_GB2312" w:eastAsia="楷体_GB2312" w:hAnsi="宋体" w:hint="eastAsia"/>
          <w:sz w:val="32"/>
          <w:szCs w:val="32"/>
        </w:rPr>
        <w:t>443173</w:t>
      </w:r>
      <w:r w:rsidR="007D3911" w:rsidRPr="00762674">
        <w:rPr>
          <w:rFonts w:ascii="楷体_GB2312" w:eastAsia="楷体_GB2312" w:hAnsi="宋体" w:hint="eastAsia"/>
          <w:sz w:val="32"/>
          <w:szCs w:val="32"/>
        </w:rPr>
        <w:t>万</w:t>
      </w:r>
      <w:r w:rsidRPr="00762674">
        <w:rPr>
          <w:rFonts w:ascii="楷体_GB2312" w:eastAsia="楷体_GB2312" w:hAnsi="宋体" w:hint="eastAsia"/>
          <w:sz w:val="32"/>
          <w:szCs w:val="32"/>
        </w:rPr>
        <w:t>元（统筹基金</w:t>
      </w:r>
      <w:r w:rsidR="00380B1A">
        <w:rPr>
          <w:rFonts w:ascii="楷体_GB2312" w:eastAsia="楷体_GB2312" w:hAnsi="宋体" w:hint="eastAsia"/>
          <w:sz w:val="32"/>
          <w:szCs w:val="32"/>
        </w:rPr>
        <w:t>209535</w:t>
      </w:r>
      <w:r w:rsidR="007D3911" w:rsidRPr="00762674">
        <w:rPr>
          <w:rFonts w:ascii="楷体_GB2312" w:eastAsia="楷体_GB2312" w:hAnsi="宋体" w:hint="eastAsia"/>
          <w:sz w:val="32"/>
          <w:szCs w:val="32"/>
        </w:rPr>
        <w:t>万</w:t>
      </w:r>
      <w:r w:rsidRPr="00762674">
        <w:rPr>
          <w:rFonts w:ascii="楷体_GB2312" w:eastAsia="楷体_GB2312" w:hAnsi="宋体" w:hint="eastAsia"/>
          <w:sz w:val="32"/>
          <w:szCs w:val="32"/>
        </w:rPr>
        <w:t>元、个人账户</w:t>
      </w:r>
      <w:r w:rsidR="00380B1A">
        <w:rPr>
          <w:rFonts w:ascii="楷体_GB2312" w:eastAsia="楷体_GB2312" w:hAnsi="宋体" w:hint="eastAsia"/>
          <w:sz w:val="32"/>
          <w:szCs w:val="32"/>
        </w:rPr>
        <w:t>233637</w:t>
      </w:r>
      <w:r w:rsidR="007D3911" w:rsidRPr="00762674">
        <w:rPr>
          <w:rFonts w:ascii="楷体_GB2312" w:eastAsia="楷体_GB2312" w:hAnsi="宋体" w:hint="eastAsia"/>
          <w:sz w:val="32"/>
          <w:szCs w:val="32"/>
        </w:rPr>
        <w:t>万</w:t>
      </w:r>
      <w:r w:rsidRPr="00762674">
        <w:rPr>
          <w:rFonts w:ascii="楷体_GB2312" w:eastAsia="楷体_GB2312" w:hAnsi="宋体" w:hint="eastAsia"/>
          <w:sz w:val="32"/>
          <w:szCs w:val="32"/>
        </w:rPr>
        <w:t>元）、居民医保</w:t>
      </w:r>
      <w:r w:rsidR="00380B1A">
        <w:rPr>
          <w:rFonts w:ascii="楷体_GB2312" w:eastAsia="楷体_GB2312" w:hAnsi="宋体" w:hint="eastAsia"/>
          <w:sz w:val="32"/>
          <w:szCs w:val="32"/>
        </w:rPr>
        <w:t>231909</w:t>
      </w:r>
      <w:r w:rsidR="00342CB5" w:rsidRPr="00762674">
        <w:rPr>
          <w:rFonts w:ascii="楷体_GB2312" w:eastAsia="楷体_GB2312" w:hAnsi="宋体" w:hint="eastAsia"/>
          <w:sz w:val="32"/>
          <w:szCs w:val="32"/>
        </w:rPr>
        <w:t>万</w:t>
      </w:r>
      <w:r w:rsidRPr="00762674">
        <w:rPr>
          <w:rFonts w:ascii="楷体_GB2312" w:eastAsia="楷体_GB2312" w:hAnsi="宋体" w:hint="eastAsia"/>
          <w:sz w:val="32"/>
          <w:szCs w:val="32"/>
        </w:rPr>
        <w:t>元。</w:t>
      </w:r>
    </w:p>
    <w:p w:rsidR="000F5A74" w:rsidRDefault="000F5A74" w:rsidP="00762674">
      <w:pPr>
        <w:ind w:firstLineChars="200" w:firstLine="640"/>
        <w:rPr>
          <w:rFonts w:ascii="楷体_GB2312" w:eastAsia="楷体_GB2312" w:hAnsi="宋体"/>
          <w:sz w:val="32"/>
          <w:szCs w:val="32"/>
        </w:rPr>
      </w:pPr>
    </w:p>
    <w:p w:rsidR="000F5A74" w:rsidRPr="00345D00" w:rsidRDefault="000F5A74" w:rsidP="00762674">
      <w:pPr>
        <w:ind w:firstLineChars="200" w:firstLine="640"/>
        <w:rPr>
          <w:rFonts w:ascii="Calibri" w:eastAsia="楷体_GB2312" w:hAnsi="Calibri"/>
          <w:sz w:val="32"/>
          <w:szCs w:val="32"/>
        </w:rPr>
      </w:pPr>
    </w:p>
    <w:tbl>
      <w:tblPr>
        <w:tblW w:w="10632" w:type="dxa"/>
        <w:tblInd w:w="-743" w:type="dxa"/>
        <w:tblLayout w:type="fixed"/>
        <w:tblLook w:val="04A0" w:firstRow="1" w:lastRow="0" w:firstColumn="1" w:lastColumn="0" w:noHBand="0" w:noVBand="1"/>
      </w:tblPr>
      <w:tblGrid>
        <w:gridCol w:w="1135"/>
        <w:gridCol w:w="1270"/>
        <w:gridCol w:w="850"/>
        <w:gridCol w:w="851"/>
        <w:gridCol w:w="856"/>
        <w:gridCol w:w="601"/>
        <w:gridCol w:w="250"/>
        <w:gridCol w:w="702"/>
        <w:gridCol w:w="851"/>
        <w:gridCol w:w="1140"/>
        <w:gridCol w:w="1276"/>
        <w:gridCol w:w="850"/>
      </w:tblGrid>
      <w:tr w:rsidR="00AB5DD3" w:rsidRPr="00AB5DD3" w:rsidTr="00AB5DD3">
        <w:trPr>
          <w:trHeight w:val="499"/>
        </w:trPr>
        <w:tc>
          <w:tcPr>
            <w:tcW w:w="10632" w:type="dxa"/>
            <w:gridSpan w:val="12"/>
            <w:tcBorders>
              <w:top w:val="nil"/>
              <w:left w:val="nil"/>
              <w:bottom w:val="nil"/>
              <w:right w:val="nil"/>
            </w:tcBorders>
            <w:shd w:val="clear" w:color="auto" w:fill="auto"/>
            <w:vAlign w:val="center"/>
            <w:hideMark/>
          </w:tcPr>
          <w:p w:rsidR="00AB5DD3" w:rsidRPr="00AB5DD3" w:rsidRDefault="004D18AD" w:rsidP="00AB5DD3">
            <w:pPr>
              <w:widowControl/>
              <w:jc w:val="center"/>
              <w:rPr>
                <w:rFonts w:ascii="宋体" w:hAnsi="宋体" w:cs="宋体"/>
                <w:b/>
                <w:bCs/>
                <w:kern w:val="0"/>
                <w:sz w:val="32"/>
                <w:szCs w:val="32"/>
              </w:rPr>
            </w:pPr>
            <w:r>
              <w:rPr>
                <w:rFonts w:ascii="宋体" w:hAnsi="宋体" w:cs="宋体" w:hint="eastAsia"/>
                <w:b/>
                <w:bCs/>
                <w:kern w:val="0"/>
                <w:sz w:val="32"/>
                <w:szCs w:val="32"/>
              </w:rPr>
              <w:lastRenderedPageBreak/>
              <w:t>职工</w:t>
            </w:r>
            <w:r w:rsidR="00AB5DD3" w:rsidRPr="00AB5DD3">
              <w:rPr>
                <w:rFonts w:ascii="宋体" w:hAnsi="宋体" w:cs="宋体" w:hint="eastAsia"/>
                <w:b/>
                <w:bCs/>
                <w:kern w:val="0"/>
                <w:sz w:val="32"/>
                <w:szCs w:val="32"/>
              </w:rPr>
              <w:t>基本医疗累计结余分析表</w:t>
            </w:r>
          </w:p>
        </w:tc>
      </w:tr>
      <w:tr w:rsidR="00AB5DD3" w:rsidRPr="00AB5DD3" w:rsidTr="004D18AD">
        <w:trPr>
          <w:trHeight w:val="499"/>
        </w:trPr>
        <w:tc>
          <w:tcPr>
            <w:tcW w:w="5563" w:type="dxa"/>
            <w:gridSpan w:val="6"/>
            <w:tcBorders>
              <w:top w:val="nil"/>
              <w:left w:val="nil"/>
              <w:bottom w:val="single" w:sz="4" w:space="0" w:color="auto"/>
              <w:right w:val="nil"/>
            </w:tcBorders>
            <w:shd w:val="clear" w:color="auto" w:fill="auto"/>
            <w:vAlign w:val="center"/>
            <w:hideMark/>
          </w:tcPr>
          <w:p w:rsidR="00AB5DD3" w:rsidRPr="00AB5DD3" w:rsidRDefault="00AB5DD3" w:rsidP="00AB5DD3">
            <w:pPr>
              <w:widowControl/>
              <w:jc w:val="left"/>
              <w:rPr>
                <w:rFonts w:ascii="宋体" w:hAnsi="宋体" w:cs="宋体"/>
                <w:kern w:val="0"/>
                <w:sz w:val="20"/>
                <w:szCs w:val="20"/>
              </w:rPr>
            </w:pPr>
            <w:r w:rsidRPr="00AB5DD3">
              <w:rPr>
                <w:rFonts w:ascii="宋体" w:hAnsi="宋体" w:cs="宋体" w:hint="eastAsia"/>
                <w:kern w:val="0"/>
                <w:sz w:val="20"/>
                <w:szCs w:val="20"/>
              </w:rPr>
              <w:t>统筹区名称：株洲市</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2021</w:t>
            </w:r>
            <w:r>
              <w:rPr>
                <w:rFonts w:ascii="宋体" w:hAnsi="宋体" w:cs="宋体" w:hint="eastAsia"/>
                <w:kern w:val="0"/>
                <w:sz w:val="20"/>
                <w:szCs w:val="20"/>
              </w:rPr>
              <w:t xml:space="preserve">年1季度                                              </w:t>
            </w:r>
          </w:p>
        </w:tc>
        <w:tc>
          <w:tcPr>
            <w:tcW w:w="952" w:type="dxa"/>
            <w:gridSpan w:val="2"/>
            <w:tcBorders>
              <w:top w:val="nil"/>
              <w:left w:val="nil"/>
              <w:bottom w:val="single" w:sz="4" w:space="0" w:color="auto"/>
              <w:right w:val="nil"/>
            </w:tcBorders>
            <w:shd w:val="clear" w:color="auto" w:fill="auto"/>
            <w:vAlign w:val="center"/>
            <w:hideMark/>
          </w:tcPr>
          <w:p w:rsidR="00AB5DD3" w:rsidRPr="00AB5DD3" w:rsidRDefault="00AB5DD3" w:rsidP="00AB5DD3">
            <w:pPr>
              <w:widowControl/>
              <w:rPr>
                <w:rFonts w:ascii="宋体" w:hAnsi="宋体" w:cs="宋体"/>
                <w:kern w:val="0"/>
                <w:sz w:val="20"/>
                <w:szCs w:val="20"/>
              </w:rPr>
            </w:pPr>
          </w:p>
        </w:tc>
        <w:tc>
          <w:tcPr>
            <w:tcW w:w="851" w:type="dxa"/>
            <w:tcBorders>
              <w:top w:val="nil"/>
              <w:left w:val="nil"/>
              <w:bottom w:val="nil"/>
              <w:right w:val="nil"/>
            </w:tcBorders>
            <w:shd w:val="clear" w:color="auto" w:fill="auto"/>
            <w:vAlign w:val="center"/>
            <w:hideMark/>
          </w:tcPr>
          <w:p w:rsidR="00AB5DD3" w:rsidRPr="00AB5DD3" w:rsidRDefault="00AB5DD3" w:rsidP="00AB5DD3">
            <w:pPr>
              <w:widowControl/>
              <w:jc w:val="center"/>
              <w:rPr>
                <w:rFonts w:ascii="宋体" w:hAnsi="宋体" w:cs="宋体"/>
                <w:kern w:val="0"/>
                <w:sz w:val="24"/>
                <w:szCs w:val="24"/>
              </w:rPr>
            </w:pPr>
          </w:p>
        </w:tc>
        <w:tc>
          <w:tcPr>
            <w:tcW w:w="1140" w:type="dxa"/>
            <w:tcBorders>
              <w:top w:val="nil"/>
              <w:left w:val="nil"/>
              <w:bottom w:val="nil"/>
              <w:right w:val="nil"/>
            </w:tcBorders>
            <w:shd w:val="clear" w:color="auto" w:fill="auto"/>
            <w:vAlign w:val="center"/>
            <w:hideMark/>
          </w:tcPr>
          <w:p w:rsidR="00AB5DD3" w:rsidRPr="00AB5DD3" w:rsidRDefault="00AB5DD3" w:rsidP="00AB5DD3">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276" w:type="dxa"/>
            <w:tcBorders>
              <w:top w:val="nil"/>
              <w:left w:val="nil"/>
              <w:bottom w:val="single" w:sz="4" w:space="0" w:color="auto"/>
              <w:right w:val="nil"/>
            </w:tcBorders>
            <w:shd w:val="clear" w:color="auto" w:fill="auto"/>
            <w:vAlign w:val="center"/>
            <w:hideMark/>
          </w:tcPr>
          <w:p w:rsidR="00AB5DD3" w:rsidRPr="00AB5DD3" w:rsidRDefault="00AB5DD3" w:rsidP="00AB5DD3">
            <w:pPr>
              <w:widowControl/>
              <w:jc w:val="left"/>
              <w:rPr>
                <w:rFonts w:ascii="宋体" w:hAnsi="宋体" w:cs="宋体"/>
                <w:kern w:val="0"/>
                <w:sz w:val="24"/>
                <w:szCs w:val="24"/>
              </w:rPr>
            </w:pPr>
            <w:r w:rsidRPr="00AB5DD3">
              <w:rPr>
                <w:rFonts w:ascii="宋体" w:hAnsi="宋体" w:cs="宋体" w:hint="eastAsia"/>
                <w:kern w:val="0"/>
                <w:sz w:val="20"/>
                <w:szCs w:val="20"/>
              </w:rPr>
              <w:t>单位：元</w:t>
            </w:r>
          </w:p>
        </w:tc>
        <w:tc>
          <w:tcPr>
            <w:tcW w:w="850" w:type="dxa"/>
            <w:tcBorders>
              <w:top w:val="nil"/>
              <w:left w:val="nil"/>
              <w:bottom w:val="single" w:sz="4" w:space="0" w:color="auto"/>
              <w:right w:val="nil"/>
            </w:tcBorders>
            <w:shd w:val="clear" w:color="auto" w:fill="auto"/>
            <w:vAlign w:val="center"/>
            <w:hideMark/>
          </w:tcPr>
          <w:p w:rsidR="00AB5DD3" w:rsidRPr="00AB5DD3" w:rsidRDefault="00AB5DD3" w:rsidP="00AB5DD3">
            <w:pPr>
              <w:widowControl/>
              <w:jc w:val="left"/>
              <w:rPr>
                <w:rFonts w:ascii="宋体" w:hAnsi="宋体" w:cs="宋体"/>
                <w:kern w:val="0"/>
                <w:sz w:val="24"/>
                <w:szCs w:val="24"/>
              </w:rPr>
            </w:pPr>
            <w:r w:rsidRPr="00AB5DD3">
              <w:rPr>
                <w:rFonts w:ascii="宋体" w:hAnsi="宋体" w:cs="宋体" w:hint="eastAsia"/>
                <w:kern w:val="0"/>
                <w:sz w:val="24"/>
                <w:szCs w:val="24"/>
              </w:rPr>
              <w:t xml:space="preserve">　</w:t>
            </w:r>
          </w:p>
        </w:tc>
      </w:tr>
      <w:tr w:rsidR="00AB5DD3" w:rsidRPr="00AB5DD3" w:rsidTr="004D18AD">
        <w:trPr>
          <w:trHeight w:val="300"/>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单位名称</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期末累</w:t>
            </w:r>
            <w:r w:rsidRPr="00AB5DD3">
              <w:rPr>
                <w:rFonts w:ascii="宋体" w:hAnsi="宋体" w:cs="宋体" w:hint="eastAsia"/>
                <w:kern w:val="0"/>
                <w:sz w:val="20"/>
                <w:szCs w:val="20"/>
              </w:rPr>
              <w:br/>
              <w:t>计结余</w:t>
            </w:r>
          </w:p>
        </w:tc>
        <w:tc>
          <w:tcPr>
            <w:tcW w:w="4110" w:type="dxa"/>
            <w:gridSpan w:val="6"/>
            <w:tcBorders>
              <w:top w:val="single" w:sz="4" w:space="0" w:color="auto"/>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应付未付款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一次性</w:t>
            </w:r>
            <w:r w:rsidRPr="00AB5DD3">
              <w:rPr>
                <w:rFonts w:ascii="宋体" w:hAnsi="宋体" w:cs="宋体" w:hint="eastAsia"/>
                <w:kern w:val="0"/>
                <w:sz w:val="16"/>
                <w:szCs w:val="16"/>
              </w:rPr>
              <w:br/>
              <w:t>预缴款</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月平均</w:t>
            </w:r>
            <w:r w:rsidRPr="00AB5DD3">
              <w:rPr>
                <w:rFonts w:ascii="宋体" w:hAnsi="宋体" w:cs="宋体" w:hint="eastAsia"/>
                <w:kern w:val="0"/>
                <w:sz w:val="16"/>
                <w:szCs w:val="16"/>
              </w:rPr>
              <w:br/>
              <w:t>基金支出</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实际结余</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实际结余可支付月数</w:t>
            </w:r>
          </w:p>
        </w:tc>
      </w:tr>
      <w:tr w:rsidR="004D18AD" w:rsidRPr="00AB5DD3" w:rsidTr="004D18AD">
        <w:trPr>
          <w:trHeight w:val="825"/>
        </w:trPr>
        <w:tc>
          <w:tcPr>
            <w:tcW w:w="1135" w:type="dxa"/>
            <w:vMerge/>
            <w:tcBorders>
              <w:top w:val="nil"/>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0"/>
                <w:szCs w:val="20"/>
              </w:rPr>
            </w:pPr>
          </w:p>
        </w:tc>
        <w:tc>
          <w:tcPr>
            <w:tcW w:w="1270" w:type="dxa"/>
            <w:vMerge/>
            <w:tcBorders>
              <w:top w:val="nil"/>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小计</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业务已结算</w:t>
            </w:r>
            <w:r w:rsidRPr="00AB5DD3">
              <w:rPr>
                <w:rFonts w:ascii="宋体" w:hAnsi="宋体" w:cs="宋体" w:hint="eastAsia"/>
                <w:kern w:val="0"/>
                <w:sz w:val="16"/>
                <w:szCs w:val="16"/>
              </w:rPr>
              <w:br/>
              <w:t>财务未支付</w:t>
            </w: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业务未结算</w:t>
            </w: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暂扣医疗机构的预留金</w:t>
            </w: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16"/>
                <w:szCs w:val="16"/>
              </w:rPr>
            </w:pPr>
            <w:r w:rsidRPr="00AB5DD3">
              <w:rPr>
                <w:rFonts w:ascii="宋体" w:hAnsi="宋体" w:cs="宋体" w:hint="eastAsia"/>
                <w:kern w:val="0"/>
                <w:sz w:val="16"/>
                <w:szCs w:val="16"/>
              </w:rPr>
              <w:t>其他未付款</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4"/>
                <w:szCs w:val="24"/>
              </w:rPr>
            </w:pPr>
          </w:p>
        </w:tc>
      </w:tr>
      <w:tr w:rsidR="004D18AD" w:rsidRPr="00AB5DD3" w:rsidTr="004D18AD">
        <w:trPr>
          <w:trHeight w:val="375"/>
        </w:trPr>
        <w:tc>
          <w:tcPr>
            <w:tcW w:w="1135" w:type="dxa"/>
            <w:vMerge/>
            <w:tcBorders>
              <w:top w:val="nil"/>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0"/>
                <w:szCs w:val="20"/>
              </w:rPr>
            </w:pP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万元/月</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万元</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月</w:t>
            </w:r>
          </w:p>
        </w:tc>
      </w:tr>
      <w:tr w:rsidR="004D18AD" w:rsidRPr="00AB5DD3" w:rsidTr="004D18AD">
        <w:trPr>
          <w:trHeight w:val="300"/>
        </w:trPr>
        <w:tc>
          <w:tcPr>
            <w:tcW w:w="1135" w:type="dxa"/>
            <w:vMerge/>
            <w:tcBorders>
              <w:top w:val="nil"/>
              <w:left w:val="single" w:sz="4" w:space="0" w:color="auto"/>
              <w:bottom w:val="single" w:sz="4" w:space="0" w:color="auto"/>
              <w:right w:val="single" w:sz="4" w:space="0" w:color="auto"/>
            </w:tcBorders>
            <w:vAlign w:val="center"/>
            <w:hideMark/>
          </w:tcPr>
          <w:p w:rsidR="00AB5DD3" w:rsidRPr="00AB5DD3" w:rsidRDefault="00AB5DD3" w:rsidP="00AB5DD3">
            <w:pPr>
              <w:widowControl/>
              <w:jc w:val="left"/>
              <w:rPr>
                <w:rFonts w:ascii="宋体" w:hAnsi="宋体" w:cs="宋体"/>
                <w:kern w:val="0"/>
                <w:sz w:val="20"/>
                <w:szCs w:val="20"/>
              </w:rPr>
            </w:pP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3</w:t>
            </w: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4</w:t>
            </w: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5</w:t>
            </w: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7</w:t>
            </w: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9</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宋体" w:hAnsi="宋体" w:cs="宋体"/>
                <w:kern w:val="0"/>
                <w:sz w:val="20"/>
                <w:szCs w:val="20"/>
              </w:rPr>
            </w:pPr>
            <w:r w:rsidRPr="00AB5DD3">
              <w:rPr>
                <w:rFonts w:ascii="宋体" w:hAnsi="宋体" w:cs="宋体" w:hint="eastAsia"/>
                <w:kern w:val="0"/>
                <w:sz w:val="20"/>
                <w:szCs w:val="20"/>
              </w:rPr>
              <w:t>10</w:t>
            </w:r>
          </w:p>
        </w:tc>
      </w:tr>
      <w:tr w:rsidR="004D18AD" w:rsidRPr="00AB5DD3" w:rsidTr="00E3556D">
        <w:trPr>
          <w:trHeight w:val="549"/>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宋体" w:cs="宋体"/>
                <w:kern w:val="0"/>
                <w:sz w:val="20"/>
                <w:szCs w:val="20"/>
              </w:rPr>
            </w:pPr>
            <w:r w:rsidRPr="00AB5DD3">
              <w:rPr>
                <w:rFonts w:ascii="仿宋_GB2312" w:eastAsia="仿宋_GB2312" w:hAnsi="宋体" w:cs="宋体" w:hint="eastAsia"/>
                <w:kern w:val="0"/>
                <w:sz w:val="20"/>
                <w:szCs w:val="20"/>
              </w:rPr>
              <w:t>攸  县</w:t>
            </w: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1,466.00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w:t>
            </w: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2"/>
                <w:szCs w:val="22"/>
              </w:rPr>
            </w:pPr>
            <w:r w:rsidRPr="00AB5DD3">
              <w:rPr>
                <w:rFonts w:ascii="仿宋_GB2312" w:eastAsia="仿宋_GB2312" w:hAnsi="Arial" w:cs="Arial" w:hint="eastAsia"/>
                <w:kern w:val="0"/>
                <w:sz w:val="22"/>
                <w:szCs w:val="22"/>
              </w:rPr>
              <w:t>-</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2"/>
                <w:szCs w:val="22"/>
              </w:rPr>
            </w:pPr>
            <w:r w:rsidRPr="00AB5DD3">
              <w:rPr>
                <w:rFonts w:ascii="仿宋_GB2312" w:eastAsia="仿宋_GB2312" w:hAnsi="Arial" w:cs="Arial" w:hint="eastAsia"/>
                <w:kern w:val="0"/>
                <w:sz w:val="22"/>
                <w:szCs w:val="22"/>
              </w:rPr>
              <w:t>-</w:t>
            </w: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900.00</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1,466.00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 xml:space="preserve">                 2 </w:t>
            </w:r>
          </w:p>
        </w:tc>
      </w:tr>
      <w:tr w:rsidR="004D18AD" w:rsidRPr="00AB5DD3" w:rsidTr="00E3556D">
        <w:trPr>
          <w:trHeight w:val="472"/>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宋体" w:cs="宋体"/>
                <w:kern w:val="0"/>
                <w:sz w:val="20"/>
                <w:szCs w:val="20"/>
              </w:rPr>
            </w:pPr>
            <w:r w:rsidRPr="00AB5DD3">
              <w:rPr>
                <w:rFonts w:ascii="仿宋_GB2312" w:eastAsia="仿宋_GB2312" w:hAnsi="宋体" w:cs="宋体" w:hint="eastAsia"/>
                <w:kern w:val="0"/>
                <w:sz w:val="20"/>
                <w:szCs w:val="20"/>
              </w:rPr>
              <w:t>醴陵市</w:t>
            </w: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3,307.13</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2"/>
                <w:szCs w:val="22"/>
              </w:rPr>
            </w:pP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1,483.00</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3,307.13</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 xml:space="preserve">                 2 </w:t>
            </w:r>
          </w:p>
        </w:tc>
      </w:tr>
      <w:tr w:rsidR="004D18AD" w:rsidRPr="00AB5DD3" w:rsidTr="00E3556D">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宋体" w:cs="宋体"/>
                <w:kern w:val="0"/>
                <w:sz w:val="20"/>
                <w:szCs w:val="20"/>
              </w:rPr>
            </w:pPr>
            <w:r w:rsidRPr="00AB5DD3">
              <w:rPr>
                <w:rFonts w:ascii="仿宋_GB2312" w:eastAsia="仿宋_GB2312" w:hAnsi="宋体" w:cs="宋体" w:hint="eastAsia"/>
                <w:kern w:val="0"/>
                <w:sz w:val="20"/>
                <w:szCs w:val="20"/>
              </w:rPr>
              <w:t>茶  陵</w:t>
            </w: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3,772.00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320.00</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320.00</w:t>
            </w: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2"/>
                <w:szCs w:val="22"/>
              </w:rPr>
            </w:pP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480.00</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3,452.00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 xml:space="preserve">                 7 </w:t>
            </w:r>
          </w:p>
        </w:tc>
      </w:tr>
      <w:tr w:rsidR="004D18AD" w:rsidRPr="00AB5DD3" w:rsidTr="00E3556D">
        <w:trPr>
          <w:trHeight w:val="49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渌口区</w:t>
            </w: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8,837.00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350.00</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8,837.00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 xml:space="preserve">               25 </w:t>
            </w:r>
          </w:p>
        </w:tc>
      </w:tr>
      <w:tr w:rsidR="004D18AD" w:rsidRPr="00AB5DD3" w:rsidTr="00E3556D">
        <w:trPr>
          <w:trHeight w:val="57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市本级</w:t>
            </w: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183,647.54</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7,328.00</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183,647.54</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 xml:space="preserve">               25 </w:t>
            </w:r>
          </w:p>
        </w:tc>
      </w:tr>
      <w:tr w:rsidR="004D18AD" w:rsidRPr="00AB5DD3" w:rsidTr="00E3556D">
        <w:trPr>
          <w:trHeight w:val="49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炎陵县</w:t>
            </w: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8,506.00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344.00</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232.00</w:t>
            </w: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112.00</w:t>
            </w: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197.00</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8,162.00</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 xml:space="preserve">               41 </w:t>
            </w:r>
          </w:p>
        </w:tc>
      </w:tr>
      <w:tr w:rsidR="004D18AD" w:rsidRPr="00AB5DD3" w:rsidTr="00E3556D">
        <w:trPr>
          <w:trHeight w:val="7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B5DD3" w:rsidRPr="00AB5DD3" w:rsidRDefault="00AB5DD3" w:rsidP="00AB5DD3">
            <w:pPr>
              <w:widowControl/>
              <w:jc w:val="center"/>
              <w:rPr>
                <w:rFonts w:ascii="仿宋_GB2312" w:eastAsia="仿宋_GB2312" w:hAnsi="Arial" w:cs="Arial"/>
                <w:kern w:val="0"/>
                <w:sz w:val="20"/>
                <w:szCs w:val="20"/>
              </w:rPr>
            </w:pPr>
            <w:r w:rsidRPr="00AB5DD3">
              <w:rPr>
                <w:rFonts w:ascii="仿宋_GB2312" w:eastAsia="仿宋_GB2312" w:hAnsi="Arial" w:cs="Arial" w:hint="eastAsia"/>
                <w:kern w:val="0"/>
                <w:sz w:val="20"/>
                <w:szCs w:val="20"/>
              </w:rPr>
              <w:t>合  计</w:t>
            </w:r>
          </w:p>
        </w:tc>
        <w:tc>
          <w:tcPr>
            <w:tcW w:w="127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209,535.67</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664.00</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320.00</w:t>
            </w:r>
          </w:p>
        </w:tc>
        <w:tc>
          <w:tcPr>
            <w:tcW w:w="85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232.00</w:t>
            </w:r>
          </w:p>
        </w:tc>
        <w:tc>
          <w:tcPr>
            <w:tcW w:w="851" w:type="dxa"/>
            <w:gridSpan w:val="2"/>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112.00</w:t>
            </w:r>
          </w:p>
        </w:tc>
        <w:tc>
          <w:tcPr>
            <w:tcW w:w="702"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w:t>
            </w:r>
          </w:p>
        </w:tc>
        <w:tc>
          <w:tcPr>
            <w:tcW w:w="1140"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10,738.00</w:t>
            </w:r>
          </w:p>
        </w:tc>
        <w:tc>
          <w:tcPr>
            <w:tcW w:w="1276" w:type="dxa"/>
            <w:tcBorders>
              <w:top w:val="nil"/>
              <w:left w:val="nil"/>
              <w:bottom w:val="single" w:sz="4" w:space="0" w:color="auto"/>
              <w:right w:val="single" w:sz="4" w:space="0" w:color="auto"/>
            </w:tcBorders>
            <w:shd w:val="clear" w:color="auto" w:fill="auto"/>
            <w:vAlign w:val="center"/>
            <w:hideMark/>
          </w:tcPr>
          <w:p w:rsidR="00AB5DD3" w:rsidRPr="00AB5DD3" w:rsidRDefault="00AB5DD3" w:rsidP="00E3556D">
            <w:pPr>
              <w:widowControl/>
              <w:jc w:val="center"/>
              <w:rPr>
                <w:rFonts w:ascii="仿宋_GB2312" w:eastAsia="仿宋_GB2312" w:hAnsi="Arial" w:cs="Arial"/>
                <w:kern w:val="0"/>
                <w:sz w:val="20"/>
                <w:szCs w:val="20"/>
              </w:rPr>
            </w:pPr>
            <w:r w:rsidRPr="00AB5DD3">
              <w:rPr>
                <w:rFonts w:ascii="仿宋_GB2312" w:eastAsia="仿宋_GB2312" w:hAnsi="Arial" w:cs="Arial"/>
                <w:kern w:val="0"/>
                <w:sz w:val="20"/>
                <w:szCs w:val="20"/>
              </w:rPr>
              <w:t>208,871.67</w:t>
            </w:r>
          </w:p>
        </w:tc>
        <w:tc>
          <w:tcPr>
            <w:tcW w:w="850" w:type="dxa"/>
            <w:tcBorders>
              <w:top w:val="nil"/>
              <w:left w:val="nil"/>
              <w:bottom w:val="single" w:sz="4" w:space="0" w:color="auto"/>
              <w:right w:val="single" w:sz="4" w:space="0" w:color="auto"/>
            </w:tcBorders>
            <w:shd w:val="clear" w:color="auto" w:fill="auto"/>
            <w:vAlign w:val="center"/>
            <w:hideMark/>
          </w:tcPr>
          <w:p w:rsidR="00AB5DD3" w:rsidRPr="00AB5DD3" w:rsidRDefault="00E3556D" w:rsidP="00E3556D">
            <w:pPr>
              <w:widowControl/>
              <w:jc w:val="center"/>
              <w:rPr>
                <w:rFonts w:ascii="仿宋_GB2312" w:eastAsia="仿宋_GB2312" w:hAnsi="Arial" w:cs="Arial"/>
                <w:kern w:val="0"/>
                <w:sz w:val="20"/>
                <w:szCs w:val="20"/>
              </w:rPr>
            </w:pPr>
            <w:r>
              <w:rPr>
                <w:rFonts w:ascii="仿宋_GB2312" w:eastAsia="仿宋_GB2312" w:hAnsi="Arial" w:cs="Arial"/>
                <w:kern w:val="0"/>
                <w:sz w:val="20"/>
                <w:szCs w:val="20"/>
              </w:rPr>
              <w:t>19</w:t>
            </w:r>
            <w:r w:rsidR="00AB5DD3" w:rsidRPr="00AB5DD3">
              <w:rPr>
                <w:rFonts w:ascii="仿宋_GB2312" w:eastAsia="仿宋_GB2312" w:hAnsi="Arial" w:cs="Arial"/>
                <w:kern w:val="0"/>
                <w:sz w:val="20"/>
                <w:szCs w:val="20"/>
              </w:rPr>
              <w:t xml:space="preserve">             </w:t>
            </w:r>
          </w:p>
        </w:tc>
      </w:tr>
    </w:tbl>
    <w:p w:rsidR="004D18AD" w:rsidRPr="00345D00" w:rsidRDefault="004D18AD" w:rsidP="004D18AD">
      <w:pPr>
        <w:ind w:firstLineChars="200" w:firstLine="640"/>
        <w:rPr>
          <w:rFonts w:ascii="Calibri" w:eastAsia="仿宋_GB2312" w:hAnsi="Calibri" w:cs="仿宋_GB2312"/>
          <w:sz w:val="32"/>
          <w:szCs w:val="32"/>
        </w:rPr>
      </w:pPr>
      <w:r w:rsidRPr="00D30A35">
        <w:rPr>
          <w:rFonts w:ascii="仿宋_GB2312" w:eastAsia="仿宋_GB2312" w:hAnsi="仿宋" w:cs="仿宋_GB2312" w:hint="eastAsia"/>
          <w:sz w:val="32"/>
          <w:szCs w:val="32"/>
        </w:rPr>
        <w:t>累计统筹基金结余</w:t>
      </w:r>
      <w:r>
        <w:rPr>
          <w:rFonts w:ascii="仿宋_GB2312" w:eastAsia="仿宋_GB2312" w:hAnsi="仿宋" w:cs="仿宋_GB2312" w:hint="eastAsia"/>
          <w:sz w:val="32"/>
          <w:szCs w:val="32"/>
        </w:rPr>
        <w:t>209535.67</w:t>
      </w:r>
      <w:r w:rsidRPr="00D30A35">
        <w:rPr>
          <w:rFonts w:ascii="仿宋_GB2312" w:eastAsia="仿宋_GB2312" w:hAnsi="仿宋" w:cs="仿宋_GB2312" w:hint="eastAsia"/>
          <w:sz w:val="32"/>
          <w:szCs w:val="32"/>
        </w:rPr>
        <w:t>万元，按202</w:t>
      </w:r>
      <w:r>
        <w:rPr>
          <w:rFonts w:ascii="仿宋_GB2312" w:eastAsia="仿宋_GB2312" w:hAnsi="仿宋" w:cs="仿宋_GB2312" w:hint="eastAsia"/>
          <w:sz w:val="32"/>
          <w:szCs w:val="32"/>
        </w:rPr>
        <w:t>1</w:t>
      </w:r>
      <w:r w:rsidRPr="00D30A35">
        <w:rPr>
          <w:rFonts w:ascii="仿宋_GB2312" w:eastAsia="仿宋_GB2312" w:hAnsi="仿宋" w:cs="仿宋_GB2312" w:hint="eastAsia"/>
          <w:sz w:val="32"/>
          <w:szCs w:val="32"/>
        </w:rPr>
        <w:t>年</w:t>
      </w:r>
      <w:r>
        <w:rPr>
          <w:rFonts w:ascii="仿宋_GB2312" w:eastAsia="仿宋_GB2312" w:hAnsi="仿宋" w:cs="仿宋_GB2312" w:hint="eastAsia"/>
          <w:sz w:val="32"/>
          <w:szCs w:val="32"/>
        </w:rPr>
        <w:t>季度</w:t>
      </w:r>
      <w:r w:rsidRPr="00D30A35">
        <w:rPr>
          <w:rFonts w:ascii="仿宋_GB2312" w:eastAsia="仿宋_GB2312" w:hAnsi="仿宋" w:cs="仿宋_GB2312" w:hint="eastAsia"/>
          <w:sz w:val="32"/>
          <w:szCs w:val="32"/>
        </w:rPr>
        <w:t>支付标准，剔除一次性预缴或补贴</w:t>
      </w:r>
      <w:r>
        <w:rPr>
          <w:rFonts w:ascii="仿宋_GB2312" w:eastAsia="仿宋_GB2312" w:hAnsi="仿宋" w:cs="仿宋_GB2312" w:hint="eastAsia"/>
          <w:sz w:val="32"/>
          <w:szCs w:val="32"/>
        </w:rPr>
        <w:t>0</w:t>
      </w:r>
      <w:r w:rsidRPr="00D30A35">
        <w:rPr>
          <w:rFonts w:ascii="仿宋_GB2312" w:eastAsia="仿宋_GB2312" w:hAnsi="仿宋" w:cs="仿宋_GB2312" w:hint="eastAsia"/>
          <w:sz w:val="32"/>
          <w:szCs w:val="32"/>
        </w:rPr>
        <w:t>万元及应付未付</w:t>
      </w:r>
      <w:r>
        <w:rPr>
          <w:rFonts w:ascii="仿宋_GB2312" w:eastAsia="仿宋_GB2312" w:hAnsi="仿宋" w:cs="仿宋_GB2312" w:hint="eastAsia"/>
          <w:sz w:val="32"/>
          <w:szCs w:val="32"/>
        </w:rPr>
        <w:t>664</w:t>
      </w:r>
      <w:r w:rsidRPr="00D30A35">
        <w:rPr>
          <w:rFonts w:ascii="仿宋_GB2312" w:eastAsia="仿宋_GB2312" w:hAnsi="仿宋" w:cs="仿宋_GB2312" w:hint="eastAsia"/>
          <w:sz w:val="32"/>
          <w:szCs w:val="32"/>
        </w:rPr>
        <w:t>万元，可支撑</w:t>
      </w:r>
      <w:r w:rsidR="00AF08EE">
        <w:rPr>
          <w:rFonts w:ascii="仿宋_GB2312" w:eastAsia="仿宋_GB2312" w:hAnsi="仿宋" w:cs="仿宋_GB2312"/>
          <w:sz w:val="32"/>
          <w:szCs w:val="32"/>
        </w:rPr>
        <w:t>19</w:t>
      </w:r>
      <w:r w:rsidRPr="00D30A35">
        <w:rPr>
          <w:rFonts w:ascii="仿宋_GB2312" w:eastAsia="仿宋_GB2312" w:hAnsi="仿宋" w:cs="仿宋_GB2312" w:hint="eastAsia"/>
          <w:sz w:val="32"/>
          <w:szCs w:val="32"/>
        </w:rPr>
        <w:t>个月。可支撑</w:t>
      </w:r>
      <w:r>
        <w:rPr>
          <w:rFonts w:ascii="仿宋_GB2312" w:eastAsia="仿宋_GB2312" w:hAnsi="仿宋" w:cs="仿宋_GB2312" w:hint="eastAsia"/>
          <w:sz w:val="32"/>
          <w:szCs w:val="32"/>
        </w:rPr>
        <w:t>月数低于3个月的有攸县、醴陵两个地区，</w:t>
      </w:r>
      <w:r w:rsidRPr="00D30A35">
        <w:rPr>
          <w:rFonts w:ascii="仿宋_GB2312" w:eastAsia="仿宋_GB2312" w:hAnsi="仿宋" w:cs="仿宋_GB2312" w:hint="eastAsia"/>
          <w:sz w:val="32"/>
          <w:szCs w:val="32"/>
        </w:rPr>
        <w:t>可支撑</w:t>
      </w:r>
      <w:r>
        <w:rPr>
          <w:rFonts w:ascii="仿宋_GB2312" w:eastAsia="仿宋_GB2312" w:hAnsi="仿宋" w:cs="仿宋_GB2312" w:hint="eastAsia"/>
          <w:sz w:val="32"/>
          <w:szCs w:val="32"/>
        </w:rPr>
        <w:t>月数3-9个月有茶陵县，主要是攸县、醴陵及茶陵县税务征缴收入未到位。</w:t>
      </w:r>
    </w:p>
    <w:p w:rsidR="00E3556D" w:rsidRPr="00345D00" w:rsidRDefault="00E3556D" w:rsidP="004D18AD">
      <w:pPr>
        <w:ind w:firstLineChars="200" w:firstLine="640"/>
        <w:rPr>
          <w:rFonts w:ascii="Calibri" w:eastAsia="仿宋_GB2312" w:hAnsi="Calibri" w:cs="仿宋_GB2312"/>
          <w:sz w:val="32"/>
          <w:szCs w:val="32"/>
        </w:rPr>
      </w:pPr>
    </w:p>
    <w:p w:rsidR="00E3556D" w:rsidRPr="00345D00" w:rsidRDefault="00E3556D" w:rsidP="004D18AD">
      <w:pPr>
        <w:ind w:firstLineChars="200" w:firstLine="640"/>
        <w:rPr>
          <w:rFonts w:ascii="Calibri" w:eastAsia="仿宋_GB2312" w:hAnsi="Calibri" w:cs="仿宋_GB2312"/>
          <w:sz w:val="32"/>
          <w:szCs w:val="32"/>
        </w:rPr>
      </w:pPr>
    </w:p>
    <w:p w:rsidR="00E3556D" w:rsidRPr="00345D00" w:rsidRDefault="00E3556D" w:rsidP="004D18AD">
      <w:pPr>
        <w:ind w:firstLineChars="200" w:firstLine="640"/>
        <w:rPr>
          <w:rFonts w:ascii="Calibri" w:eastAsia="仿宋_GB2312" w:hAnsi="Calibri" w:cs="仿宋_GB2312"/>
          <w:sz w:val="32"/>
          <w:szCs w:val="32"/>
        </w:rPr>
      </w:pPr>
    </w:p>
    <w:p w:rsidR="00E3556D" w:rsidRPr="00345D00" w:rsidRDefault="00E3556D" w:rsidP="004D18AD">
      <w:pPr>
        <w:ind w:firstLineChars="200" w:firstLine="640"/>
        <w:rPr>
          <w:rFonts w:ascii="Calibri" w:eastAsia="仿宋_GB2312" w:hAnsi="Calibri" w:cs="仿宋_GB2312"/>
          <w:sz w:val="32"/>
          <w:szCs w:val="32"/>
        </w:rPr>
      </w:pPr>
    </w:p>
    <w:tbl>
      <w:tblPr>
        <w:tblpPr w:leftFromText="180" w:rightFromText="180" w:vertAnchor="text" w:horzAnchor="margin" w:tblpXSpec="center" w:tblpY="192"/>
        <w:tblW w:w="10956" w:type="dxa"/>
        <w:tblLook w:val="04A0" w:firstRow="1" w:lastRow="0" w:firstColumn="1" w:lastColumn="0" w:noHBand="0" w:noVBand="1"/>
      </w:tblPr>
      <w:tblGrid>
        <w:gridCol w:w="1152"/>
        <w:gridCol w:w="1017"/>
        <w:gridCol w:w="1062"/>
        <w:gridCol w:w="908"/>
        <w:gridCol w:w="908"/>
        <w:gridCol w:w="1000"/>
        <w:gridCol w:w="973"/>
        <w:gridCol w:w="885"/>
        <w:gridCol w:w="1134"/>
        <w:gridCol w:w="1149"/>
        <w:gridCol w:w="768"/>
      </w:tblGrid>
      <w:tr w:rsidR="004D18AD" w:rsidRPr="004D18AD" w:rsidTr="004D18AD">
        <w:trPr>
          <w:trHeight w:val="735"/>
        </w:trPr>
        <w:tc>
          <w:tcPr>
            <w:tcW w:w="10956" w:type="dxa"/>
            <w:gridSpan w:val="11"/>
            <w:tcBorders>
              <w:top w:val="nil"/>
              <w:left w:val="nil"/>
              <w:bottom w:val="nil"/>
              <w:right w:val="nil"/>
            </w:tcBorders>
            <w:shd w:val="clear" w:color="auto" w:fill="auto"/>
            <w:vAlign w:val="center"/>
            <w:hideMark/>
          </w:tcPr>
          <w:p w:rsidR="004D18AD" w:rsidRPr="004D18AD" w:rsidRDefault="004D18AD" w:rsidP="004D18AD">
            <w:pPr>
              <w:widowControl/>
              <w:jc w:val="center"/>
              <w:rPr>
                <w:rFonts w:ascii="宋体" w:hAnsi="宋体" w:cs="宋体"/>
                <w:b/>
                <w:bCs/>
                <w:kern w:val="0"/>
                <w:sz w:val="32"/>
                <w:szCs w:val="32"/>
              </w:rPr>
            </w:pPr>
            <w:r w:rsidRPr="004D18AD">
              <w:rPr>
                <w:rFonts w:ascii="宋体" w:hAnsi="宋体" w:cs="宋体" w:hint="eastAsia"/>
                <w:b/>
                <w:bCs/>
                <w:kern w:val="0"/>
                <w:sz w:val="32"/>
                <w:szCs w:val="32"/>
              </w:rPr>
              <w:lastRenderedPageBreak/>
              <w:t>城乡居民累计结余分析表</w:t>
            </w:r>
          </w:p>
        </w:tc>
      </w:tr>
      <w:tr w:rsidR="004D18AD" w:rsidRPr="004D18AD" w:rsidTr="000F5A74">
        <w:trPr>
          <w:trHeight w:val="630"/>
        </w:trPr>
        <w:tc>
          <w:tcPr>
            <w:tcW w:w="4139" w:type="dxa"/>
            <w:gridSpan w:val="4"/>
            <w:tcBorders>
              <w:top w:val="nil"/>
              <w:left w:val="nil"/>
              <w:bottom w:val="single" w:sz="4" w:space="0" w:color="auto"/>
              <w:right w:val="nil"/>
            </w:tcBorders>
            <w:shd w:val="clear" w:color="auto" w:fill="auto"/>
            <w:vAlign w:val="center"/>
            <w:hideMark/>
          </w:tcPr>
          <w:p w:rsidR="004D18AD" w:rsidRPr="004D18AD" w:rsidRDefault="004D18AD" w:rsidP="004D18AD">
            <w:pPr>
              <w:widowControl/>
              <w:jc w:val="left"/>
              <w:rPr>
                <w:rFonts w:ascii="宋体" w:hAnsi="宋体" w:cs="宋体"/>
                <w:kern w:val="0"/>
                <w:sz w:val="16"/>
                <w:szCs w:val="16"/>
              </w:rPr>
            </w:pPr>
            <w:r w:rsidRPr="004D18AD">
              <w:rPr>
                <w:rFonts w:ascii="宋体" w:hAnsi="宋体" w:cs="宋体" w:hint="eastAsia"/>
                <w:kern w:val="0"/>
                <w:sz w:val="16"/>
                <w:szCs w:val="16"/>
              </w:rPr>
              <w:t>统筹区名称：株洲市</w:t>
            </w:r>
          </w:p>
        </w:tc>
        <w:tc>
          <w:tcPr>
            <w:tcW w:w="2881" w:type="dxa"/>
            <w:gridSpan w:val="3"/>
            <w:tcBorders>
              <w:top w:val="nil"/>
              <w:left w:val="nil"/>
              <w:bottom w:val="single" w:sz="4" w:space="0" w:color="auto"/>
              <w:right w:val="nil"/>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日期:2021.04.13</w:t>
            </w:r>
          </w:p>
        </w:tc>
        <w:tc>
          <w:tcPr>
            <w:tcW w:w="885" w:type="dxa"/>
            <w:tcBorders>
              <w:top w:val="nil"/>
              <w:left w:val="nil"/>
              <w:bottom w:val="nil"/>
              <w:right w:val="nil"/>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p>
        </w:tc>
        <w:tc>
          <w:tcPr>
            <w:tcW w:w="1134" w:type="dxa"/>
            <w:tcBorders>
              <w:top w:val="nil"/>
              <w:left w:val="nil"/>
              <w:bottom w:val="nil"/>
              <w:right w:val="nil"/>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p>
        </w:tc>
        <w:tc>
          <w:tcPr>
            <w:tcW w:w="1149" w:type="dxa"/>
            <w:tcBorders>
              <w:top w:val="nil"/>
              <w:left w:val="nil"/>
              <w:bottom w:val="single" w:sz="4" w:space="0" w:color="auto"/>
              <w:right w:val="nil"/>
            </w:tcBorders>
            <w:shd w:val="clear" w:color="auto" w:fill="auto"/>
            <w:vAlign w:val="center"/>
            <w:hideMark/>
          </w:tcPr>
          <w:p w:rsidR="004D18AD" w:rsidRPr="004D18AD" w:rsidRDefault="004D18AD" w:rsidP="004D18AD">
            <w:pPr>
              <w:widowControl/>
              <w:jc w:val="left"/>
              <w:rPr>
                <w:rFonts w:ascii="宋体" w:hAnsi="宋体" w:cs="宋体"/>
                <w:kern w:val="0"/>
                <w:sz w:val="16"/>
                <w:szCs w:val="16"/>
              </w:rPr>
            </w:pPr>
            <w:r w:rsidRPr="004D18AD">
              <w:rPr>
                <w:rFonts w:ascii="宋体" w:hAnsi="宋体" w:cs="宋体" w:hint="eastAsia"/>
                <w:kern w:val="0"/>
                <w:sz w:val="16"/>
                <w:szCs w:val="16"/>
              </w:rPr>
              <w:t xml:space="preserve">　</w:t>
            </w:r>
          </w:p>
        </w:tc>
        <w:tc>
          <w:tcPr>
            <w:tcW w:w="768" w:type="dxa"/>
            <w:tcBorders>
              <w:top w:val="nil"/>
              <w:left w:val="nil"/>
              <w:bottom w:val="single" w:sz="4" w:space="0" w:color="auto"/>
              <w:right w:val="nil"/>
            </w:tcBorders>
            <w:shd w:val="clear" w:color="auto" w:fill="auto"/>
            <w:vAlign w:val="center"/>
            <w:hideMark/>
          </w:tcPr>
          <w:p w:rsidR="004D18AD" w:rsidRPr="004D18AD" w:rsidRDefault="004D18AD" w:rsidP="004D18AD">
            <w:pPr>
              <w:widowControl/>
              <w:jc w:val="left"/>
              <w:rPr>
                <w:rFonts w:ascii="宋体" w:hAnsi="宋体" w:cs="宋体"/>
                <w:kern w:val="0"/>
                <w:sz w:val="16"/>
                <w:szCs w:val="16"/>
              </w:rPr>
            </w:pPr>
            <w:r w:rsidRPr="004D18AD">
              <w:rPr>
                <w:rFonts w:ascii="宋体" w:hAnsi="宋体" w:cs="宋体" w:hint="eastAsia"/>
                <w:kern w:val="0"/>
                <w:sz w:val="16"/>
                <w:szCs w:val="16"/>
              </w:rPr>
              <w:t xml:space="preserve">　</w:t>
            </w:r>
          </w:p>
        </w:tc>
      </w:tr>
      <w:tr w:rsidR="004D18AD" w:rsidRPr="004D18AD" w:rsidTr="000F5A74">
        <w:trPr>
          <w:trHeight w:val="585"/>
        </w:trPr>
        <w:tc>
          <w:tcPr>
            <w:tcW w:w="1152" w:type="dxa"/>
            <w:vMerge w:val="restart"/>
            <w:tcBorders>
              <w:top w:val="nil"/>
              <w:left w:val="single" w:sz="4" w:space="0" w:color="auto"/>
              <w:bottom w:val="single" w:sz="4" w:space="0" w:color="000000"/>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单位名称</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期末累</w:t>
            </w:r>
            <w:r w:rsidRPr="004D18AD">
              <w:rPr>
                <w:rFonts w:ascii="宋体" w:hAnsi="宋体" w:cs="宋体" w:hint="eastAsia"/>
                <w:kern w:val="0"/>
                <w:sz w:val="16"/>
                <w:szCs w:val="16"/>
              </w:rPr>
              <w:br/>
              <w:t>计结余</w:t>
            </w:r>
          </w:p>
        </w:tc>
        <w:tc>
          <w:tcPr>
            <w:tcW w:w="4851" w:type="dxa"/>
            <w:gridSpan w:val="5"/>
            <w:tcBorders>
              <w:top w:val="single" w:sz="4" w:space="0" w:color="auto"/>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应付未付款</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一次性</w:t>
            </w:r>
            <w:r w:rsidRPr="004D18AD">
              <w:rPr>
                <w:rFonts w:ascii="宋体" w:hAnsi="宋体" w:cs="宋体" w:hint="eastAsia"/>
                <w:kern w:val="0"/>
                <w:sz w:val="16"/>
                <w:szCs w:val="16"/>
              </w:rPr>
              <w:br/>
              <w:t>预缴款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月平均</w:t>
            </w:r>
            <w:r w:rsidRPr="004D18AD">
              <w:rPr>
                <w:rFonts w:ascii="宋体" w:hAnsi="宋体" w:cs="宋体" w:hint="eastAsia"/>
                <w:kern w:val="0"/>
                <w:sz w:val="16"/>
                <w:szCs w:val="16"/>
              </w:rPr>
              <w:br/>
              <w:t>基金支出</w:t>
            </w:r>
          </w:p>
        </w:tc>
        <w:tc>
          <w:tcPr>
            <w:tcW w:w="1149" w:type="dxa"/>
            <w:vMerge w:val="restart"/>
            <w:tcBorders>
              <w:top w:val="nil"/>
              <w:left w:val="single" w:sz="4" w:space="0" w:color="auto"/>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实际结余</w:t>
            </w:r>
          </w:p>
        </w:tc>
        <w:tc>
          <w:tcPr>
            <w:tcW w:w="768" w:type="dxa"/>
            <w:vMerge w:val="restart"/>
            <w:tcBorders>
              <w:top w:val="nil"/>
              <w:left w:val="single" w:sz="4" w:space="0" w:color="auto"/>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实际结余可支付月数</w:t>
            </w:r>
          </w:p>
        </w:tc>
      </w:tr>
      <w:tr w:rsidR="004D18AD" w:rsidRPr="004D18AD" w:rsidTr="000F5A74">
        <w:trPr>
          <w:trHeight w:val="795"/>
        </w:trPr>
        <w:tc>
          <w:tcPr>
            <w:tcW w:w="1152" w:type="dxa"/>
            <w:vMerge/>
            <w:tcBorders>
              <w:top w:val="nil"/>
              <w:left w:val="single" w:sz="4" w:space="0" w:color="auto"/>
              <w:bottom w:val="single" w:sz="4" w:space="0" w:color="000000"/>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c>
          <w:tcPr>
            <w:tcW w:w="1017" w:type="dxa"/>
            <w:vMerge/>
            <w:tcBorders>
              <w:top w:val="nil"/>
              <w:left w:val="single" w:sz="4" w:space="0" w:color="auto"/>
              <w:bottom w:val="single" w:sz="4" w:space="0" w:color="auto"/>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小计</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业务已结算</w:t>
            </w:r>
            <w:r w:rsidRPr="004D18AD">
              <w:rPr>
                <w:rFonts w:ascii="宋体" w:hAnsi="宋体" w:cs="宋体" w:hint="eastAsia"/>
                <w:kern w:val="0"/>
                <w:sz w:val="16"/>
                <w:szCs w:val="16"/>
              </w:rPr>
              <w:br/>
              <w:t>财务未支付</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业务未结算</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暂扣医疗机构的预留金</w:t>
            </w: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其他未付款</w:t>
            </w: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c>
          <w:tcPr>
            <w:tcW w:w="1149" w:type="dxa"/>
            <w:vMerge/>
            <w:tcBorders>
              <w:top w:val="nil"/>
              <w:left w:val="single" w:sz="4" w:space="0" w:color="auto"/>
              <w:bottom w:val="single" w:sz="4" w:space="0" w:color="auto"/>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c>
          <w:tcPr>
            <w:tcW w:w="768" w:type="dxa"/>
            <w:vMerge/>
            <w:tcBorders>
              <w:top w:val="nil"/>
              <w:left w:val="single" w:sz="4" w:space="0" w:color="auto"/>
              <w:bottom w:val="single" w:sz="4" w:space="0" w:color="auto"/>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r>
      <w:tr w:rsidR="004D18AD" w:rsidRPr="004D18AD" w:rsidTr="000F5A74">
        <w:trPr>
          <w:trHeight w:val="360"/>
        </w:trPr>
        <w:tc>
          <w:tcPr>
            <w:tcW w:w="1152" w:type="dxa"/>
            <w:vMerge/>
            <w:tcBorders>
              <w:top w:val="nil"/>
              <w:left w:val="single" w:sz="4" w:space="0" w:color="auto"/>
              <w:bottom w:val="single" w:sz="4" w:space="0" w:color="000000"/>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万元/月</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万元</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月</w:t>
            </w:r>
          </w:p>
        </w:tc>
      </w:tr>
      <w:tr w:rsidR="004D18AD" w:rsidRPr="004D18AD" w:rsidTr="000F5A74">
        <w:trPr>
          <w:trHeight w:val="360"/>
        </w:trPr>
        <w:tc>
          <w:tcPr>
            <w:tcW w:w="1152" w:type="dxa"/>
            <w:vMerge/>
            <w:tcBorders>
              <w:top w:val="nil"/>
              <w:left w:val="single" w:sz="4" w:space="0" w:color="auto"/>
              <w:bottom w:val="single" w:sz="4" w:space="0" w:color="000000"/>
              <w:right w:val="single" w:sz="4" w:space="0" w:color="auto"/>
            </w:tcBorders>
            <w:vAlign w:val="center"/>
            <w:hideMark/>
          </w:tcPr>
          <w:p w:rsidR="004D18AD" w:rsidRPr="004D18AD" w:rsidRDefault="004D18AD" w:rsidP="004D18AD">
            <w:pPr>
              <w:widowControl/>
              <w:jc w:val="left"/>
              <w:rPr>
                <w:rFonts w:ascii="宋体" w:hAnsi="宋体" w:cs="宋体"/>
                <w:kern w:val="0"/>
                <w:sz w:val="16"/>
                <w:szCs w:val="16"/>
              </w:rPr>
            </w:pP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1</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2</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3</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4</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5</w:t>
            </w: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6</w:t>
            </w: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8</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9</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4D18AD">
            <w:pPr>
              <w:widowControl/>
              <w:jc w:val="center"/>
              <w:rPr>
                <w:rFonts w:ascii="宋体" w:hAnsi="宋体" w:cs="宋体"/>
                <w:kern w:val="0"/>
                <w:sz w:val="16"/>
                <w:szCs w:val="16"/>
              </w:rPr>
            </w:pPr>
            <w:r w:rsidRPr="004D18AD">
              <w:rPr>
                <w:rFonts w:ascii="宋体" w:hAnsi="宋体" w:cs="宋体" w:hint="eastAsia"/>
                <w:kern w:val="0"/>
                <w:sz w:val="16"/>
                <w:szCs w:val="16"/>
              </w:rPr>
              <w:t>10</w:t>
            </w:r>
          </w:p>
        </w:tc>
      </w:tr>
      <w:tr w:rsidR="004D18AD" w:rsidRPr="004D18AD" w:rsidTr="000F5A74">
        <w:trPr>
          <w:trHeight w:val="43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攸县</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12,634.00</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5,899.03</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5,899.03</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5,890.95</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6,734.97</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w:t>
            </w:r>
          </w:p>
        </w:tc>
      </w:tr>
      <w:tr w:rsidR="004D18AD" w:rsidRPr="004D18AD" w:rsidTr="000F5A74">
        <w:trPr>
          <w:trHeight w:val="421"/>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渌口区</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13,836.29</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5,903.00</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4,000.00</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1,903.00</w:t>
            </w: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1,800.00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7,933.29</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w:t>
            </w:r>
          </w:p>
        </w:tc>
      </w:tr>
      <w:tr w:rsidR="004D18AD" w:rsidRPr="004D18AD" w:rsidTr="000F5A74">
        <w:trPr>
          <w:trHeight w:val="399"/>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醴陵市</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26,351.33</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5,500.00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26,351.33</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w:t>
            </w:r>
          </w:p>
        </w:tc>
      </w:tr>
      <w:tr w:rsidR="004D18AD" w:rsidRPr="004D18AD" w:rsidTr="000F5A74">
        <w:trPr>
          <w:trHeight w:val="42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茶陵县</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25,919.74</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8,565.79</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4,135.00</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4,430.79</w:t>
            </w: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3,000.00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17,353.95</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6</w:t>
            </w:r>
          </w:p>
        </w:tc>
      </w:tr>
      <w:tr w:rsidR="004D18AD" w:rsidRPr="004D18AD" w:rsidTr="000F5A74">
        <w:trPr>
          <w:trHeight w:val="412"/>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荷塘区</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4,556.90</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766.00</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766.00</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318.00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2,110.00</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7</w:t>
            </w:r>
          </w:p>
        </w:tc>
      </w:tr>
      <w:tr w:rsidR="004D18AD" w:rsidRPr="004D18AD" w:rsidTr="000F5A74">
        <w:trPr>
          <w:trHeight w:val="417"/>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芦淞区</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4,949.50</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1,200.00</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1,200.00</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400.00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3,749.50</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9</w:t>
            </w:r>
          </w:p>
        </w:tc>
      </w:tr>
      <w:tr w:rsidR="004D18AD" w:rsidRPr="004D18AD" w:rsidTr="000F5A74">
        <w:trPr>
          <w:trHeight w:val="423"/>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石峰区</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1,839.70</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205.00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1,839.70</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9</w:t>
            </w:r>
          </w:p>
        </w:tc>
      </w:tr>
      <w:tr w:rsidR="004D18AD" w:rsidRPr="004D18AD" w:rsidTr="000F5A74">
        <w:trPr>
          <w:trHeight w:val="415"/>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云龙区</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3,600.99</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957.09</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957.09</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248.00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2,643.90</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11</w:t>
            </w:r>
          </w:p>
        </w:tc>
      </w:tr>
      <w:tr w:rsidR="004D18AD" w:rsidRPr="004D18AD" w:rsidTr="000F5A74">
        <w:trPr>
          <w:trHeight w:val="422"/>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炎陵县</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15,452.00</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1,088.00</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52.00</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528.00</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508.00</w:t>
            </w: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985.00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14,364.00</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15</w:t>
            </w:r>
          </w:p>
        </w:tc>
      </w:tr>
      <w:tr w:rsidR="004D18AD" w:rsidRPr="004D18AD" w:rsidTr="000F5A74">
        <w:trPr>
          <w:trHeight w:val="413"/>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天元区</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10,631.88</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1,568.02</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367.15</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1,200.87</w:t>
            </w: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550.00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9,063.86</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16</w:t>
            </w:r>
          </w:p>
        </w:tc>
      </w:tr>
      <w:tr w:rsidR="004D18AD" w:rsidRPr="004D18AD" w:rsidTr="000F5A74">
        <w:trPr>
          <w:trHeight w:val="419"/>
        </w:trPr>
        <w:tc>
          <w:tcPr>
            <w:tcW w:w="1152" w:type="dxa"/>
            <w:tcBorders>
              <w:top w:val="nil"/>
              <w:left w:val="single" w:sz="4" w:space="0" w:color="auto"/>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宋体" w:hAnsi="宋体" w:cs="宋体"/>
                <w:kern w:val="0"/>
                <w:sz w:val="16"/>
                <w:szCs w:val="16"/>
              </w:rPr>
            </w:pPr>
            <w:r w:rsidRPr="004D18AD">
              <w:rPr>
                <w:rFonts w:ascii="宋体" w:hAnsi="宋体" w:cs="宋体" w:hint="eastAsia"/>
                <w:kern w:val="0"/>
                <w:sz w:val="16"/>
                <w:szCs w:val="16"/>
              </w:rPr>
              <w:t>市本级</w:t>
            </w:r>
          </w:p>
        </w:tc>
        <w:tc>
          <w:tcPr>
            <w:tcW w:w="1017"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59,364.60</w:t>
            </w:r>
          </w:p>
        </w:tc>
        <w:tc>
          <w:tcPr>
            <w:tcW w:w="1062"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0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000"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973"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885"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2,712.00</w:t>
            </w:r>
          </w:p>
        </w:tc>
        <w:tc>
          <w:tcPr>
            <w:tcW w:w="1149"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59,364.60</w:t>
            </w:r>
          </w:p>
        </w:tc>
        <w:tc>
          <w:tcPr>
            <w:tcW w:w="768" w:type="dxa"/>
            <w:tcBorders>
              <w:top w:val="nil"/>
              <w:left w:val="nil"/>
              <w:bottom w:val="single" w:sz="4" w:space="0" w:color="auto"/>
              <w:right w:val="single" w:sz="4" w:space="0" w:color="auto"/>
            </w:tcBorders>
            <w:shd w:val="clear" w:color="auto" w:fill="auto"/>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22</w:t>
            </w:r>
          </w:p>
        </w:tc>
      </w:tr>
      <w:tr w:rsidR="004D18AD" w:rsidRPr="004D18AD" w:rsidTr="000F5A74">
        <w:trPr>
          <w:trHeight w:val="6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宋体" w:hAnsi="宋体" w:cs="宋体"/>
                <w:color w:val="000000"/>
                <w:kern w:val="0"/>
                <w:sz w:val="16"/>
                <w:szCs w:val="16"/>
              </w:rPr>
            </w:pPr>
            <w:r w:rsidRPr="004D18AD">
              <w:rPr>
                <w:rFonts w:ascii="宋体" w:hAnsi="宋体" w:cs="宋体" w:hint="eastAsia"/>
                <w:color w:val="000000"/>
                <w:kern w:val="0"/>
                <w:sz w:val="16"/>
                <w:szCs w:val="16"/>
              </w:rPr>
              <w:t>合  计</w:t>
            </w:r>
          </w:p>
        </w:tc>
        <w:tc>
          <w:tcPr>
            <w:tcW w:w="1017"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107,138.33</w:t>
            </w:r>
          </w:p>
        </w:tc>
        <w:tc>
          <w:tcPr>
            <w:tcW w:w="1062"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14,144.90</w:t>
            </w:r>
          </w:p>
        </w:tc>
        <w:tc>
          <w:tcPr>
            <w:tcW w:w="908"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1,376.24</w:t>
            </w:r>
          </w:p>
        </w:tc>
        <w:tc>
          <w:tcPr>
            <w:tcW w:w="908"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7,829.87</w:t>
            </w:r>
          </w:p>
        </w:tc>
        <w:tc>
          <w:tcPr>
            <w:tcW w:w="1000"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508.00</w:t>
            </w:r>
          </w:p>
        </w:tc>
        <w:tc>
          <w:tcPr>
            <w:tcW w:w="973"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4,430.79</w:t>
            </w:r>
          </w:p>
        </w:tc>
        <w:tc>
          <w:tcPr>
            <w:tcW w:w="885"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13,006.00</w:t>
            </w:r>
          </w:p>
        </w:tc>
        <w:tc>
          <w:tcPr>
            <w:tcW w:w="1149" w:type="dxa"/>
            <w:tcBorders>
              <w:top w:val="nil"/>
              <w:left w:val="nil"/>
              <w:bottom w:val="single" w:sz="4" w:space="0" w:color="auto"/>
              <w:right w:val="single" w:sz="4" w:space="0" w:color="auto"/>
            </w:tcBorders>
            <w:shd w:val="clear" w:color="auto" w:fill="auto"/>
            <w:noWrap/>
            <w:vAlign w:val="center"/>
            <w:hideMark/>
          </w:tcPr>
          <w:p w:rsidR="004D18AD" w:rsidRPr="004D18AD" w:rsidRDefault="004D18AD" w:rsidP="00E3556D">
            <w:pPr>
              <w:widowControl/>
              <w:jc w:val="center"/>
              <w:rPr>
                <w:rFonts w:ascii="Arial" w:hAnsi="Arial" w:cs="Arial"/>
                <w:kern w:val="0"/>
                <w:sz w:val="16"/>
                <w:szCs w:val="16"/>
              </w:rPr>
            </w:pPr>
            <w:r w:rsidRPr="004D18AD">
              <w:rPr>
                <w:rFonts w:ascii="Arial" w:hAnsi="Arial" w:cs="Arial"/>
                <w:kern w:val="0"/>
                <w:sz w:val="16"/>
                <w:szCs w:val="16"/>
              </w:rPr>
              <w:t>77,476.24</w:t>
            </w:r>
          </w:p>
        </w:tc>
        <w:tc>
          <w:tcPr>
            <w:tcW w:w="768" w:type="dxa"/>
            <w:tcBorders>
              <w:top w:val="nil"/>
              <w:left w:val="nil"/>
              <w:bottom w:val="single" w:sz="4" w:space="0" w:color="auto"/>
              <w:right w:val="single" w:sz="4" w:space="0" w:color="auto"/>
            </w:tcBorders>
            <w:shd w:val="clear" w:color="auto" w:fill="auto"/>
            <w:noWrap/>
            <w:vAlign w:val="center"/>
            <w:hideMark/>
          </w:tcPr>
          <w:p w:rsidR="004D18AD" w:rsidRPr="004D18AD" w:rsidRDefault="00E3556D" w:rsidP="00E3556D">
            <w:pPr>
              <w:widowControl/>
              <w:jc w:val="center"/>
              <w:rPr>
                <w:rFonts w:ascii="Arial" w:hAnsi="Arial" w:cs="Arial"/>
                <w:kern w:val="0"/>
                <w:sz w:val="16"/>
                <w:szCs w:val="16"/>
              </w:rPr>
            </w:pPr>
            <w:r>
              <w:rPr>
                <w:rFonts w:ascii="Arial" w:hAnsi="Arial" w:cs="Arial"/>
                <w:kern w:val="0"/>
                <w:sz w:val="16"/>
                <w:szCs w:val="16"/>
              </w:rPr>
              <w:t>6</w:t>
            </w:r>
          </w:p>
        </w:tc>
      </w:tr>
    </w:tbl>
    <w:p w:rsidR="004D18AD" w:rsidRPr="004D18AD" w:rsidRDefault="004D18AD" w:rsidP="00FC1C0D">
      <w:pPr>
        <w:ind w:firstLineChars="200" w:firstLine="640"/>
        <w:rPr>
          <w:rFonts w:ascii="仿宋_GB2312" w:eastAsia="仿宋_GB2312" w:hAnsi="仿宋" w:cs="仿宋_GB2312"/>
          <w:sz w:val="32"/>
          <w:szCs w:val="32"/>
        </w:rPr>
      </w:pPr>
      <w:r w:rsidRPr="00D30A35">
        <w:rPr>
          <w:rFonts w:ascii="仿宋_GB2312" w:eastAsia="仿宋_GB2312" w:hAnsi="仿宋" w:cs="仿宋_GB2312" w:hint="eastAsia"/>
          <w:sz w:val="32"/>
          <w:szCs w:val="32"/>
        </w:rPr>
        <w:t>累计统筹基金结余</w:t>
      </w:r>
      <w:r>
        <w:rPr>
          <w:rFonts w:ascii="仿宋_GB2312" w:eastAsia="仿宋_GB2312" w:hAnsi="仿宋" w:cs="仿宋_GB2312" w:hint="eastAsia"/>
          <w:sz w:val="32"/>
          <w:szCs w:val="32"/>
        </w:rPr>
        <w:t>107138.33</w:t>
      </w:r>
      <w:r w:rsidRPr="00D30A35">
        <w:rPr>
          <w:rFonts w:ascii="仿宋_GB2312" w:eastAsia="仿宋_GB2312" w:hAnsi="仿宋" w:cs="仿宋_GB2312" w:hint="eastAsia"/>
          <w:sz w:val="32"/>
          <w:szCs w:val="32"/>
        </w:rPr>
        <w:t>万元，按202</w:t>
      </w:r>
      <w:r>
        <w:rPr>
          <w:rFonts w:ascii="仿宋_GB2312" w:eastAsia="仿宋_GB2312" w:hAnsi="仿宋" w:cs="仿宋_GB2312" w:hint="eastAsia"/>
          <w:sz w:val="32"/>
          <w:szCs w:val="32"/>
        </w:rPr>
        <w:t>1</w:t>
      </w:r>
      <w:r w:rsidRPr="00D30A35">
        <w:rPr>
          <w:rFonts w:ascii="仿宋_GB2312" w:eastAsia="仿宋_GB2312" w:hAnsi="仿宋" w:cs="仿宋_GB2312" w:hint="eastAsia"/>
          <w:sz w:val="32"/>
          <w:szCs w:val="32"/>
        </w:rPr>
        <w:t>年</w:t>
      </w:r>
      <w:r>
        <w:rPr>
          <w:rFonts w:ascii="仿宋_GB2312" w:eastAsia="仿宋_GB2312" w:hAnsi="仿宋" w:cs="仿宋_GB2312" w:hint="eastAsia"/>
          <w:sz w:val="32"/>
          <w:szCs w:val="32"/>
        </w:rPr>
        <w:t>季度</w:t>
      </w:r>
      <w:r w:rsidRPr="00D30A35">
        <w:rPr>
          <w:rFonts w:ascii="仿宋_GB2312" w:eastAsia="仿宋_GB2312" w:hAnsi="仿宋" w:cs="仿宋_GB2312" w:hint="eastAsia"/>
          <w:sz w:val="32"/>
          <w:szCs w:val="32"/>
        </w:rPr>
        <w:t>支付标准，剔除一次性预缴或补贴</w:t>
      </w:r>
      <w:r>
        <w:rPr>
          <w:rFonts w:ascii="仿宋_GB2312" w:eastAsia="仿宋_GB2312" w:hAnsi="仿宋" w:cs="仿宋_GB2312" w:hint="eastAsia"/>
          <w:sz w:val="32"/>
          <w:szCs w:val="32"/>
        </w:rPr>
        <w:t>0</w:t>
      </w:r>
      <w:r w:rsidRPr="00D30A35">
        <w:rPr>
          <w:rFonts w:ascii="仿宋_GB2312" w:eastAsia="仿宋_GB2312" w:hAnsi="仿宋" w:cs="仿宋_GB2312" w:hint="eastAsia"/>
          <w:sz w:val="32"/>
          <w:szCs w:val="32"/>
        </w:rPr>
        <w:t>万元及应付未付</w:t>
      </w:r>
      <w:r>
        <w:rPr>
          <w:rFonts w:ascii="仿宋_GB2312" w:eastAsia="仿宋_GB2312" w:hAnsi="仿宋" w:cs="仿宋_GB2312" w:hint="eastAsia"/>
          <w:sz w:val="32"/>
          <w:szCs w:val="32"/>
        </w:rPr>
        <w:t>14144.9</w:t>
      </w:r>
      <w:r w:rsidRPr="00D30A35">
        <w:rPr>
          <w:rFonts w:ascii="仿宋_GB2312" w:eastAsia="仿宋_GB2312" w:hAnsi="仿宋" w:cs="仿宋_GB2312" w:hint="eastAsia"/>
          <w:sz w:val="32"/>
          <w:szCs w:val="32"/>
        </w:rPr>
        <w:t>万元，可支撑</w:t>
      </w:r>
      <w:r w:rsidR="006700D0">
        <w:rPr>
          <w:rFonts w:ascii="仿宋_GB2312" w:eastAsia="仿宋_GB2312" w:hAnsi="仿宋" w:cs="仿宋_GB2312"/>
          <w:sz w:val="32"/>
          <w:szCs w:val="32"/>
        </w:rPr>
        <w:t>6</w:t>
      </w:r>
      <w:r w:rsidRPr="00D30A35">
        <w:rPr>
          <w:rFonts w:ascii="仿宋_GB2312" w:eastAsia="仿宋_GB2312" w:hAnsi="仿宋" w:cs="仿宋_GB2312" w:hint="eastAsia"/>
          <w:sz w:val="32"/>
          <w:szCs w:val="32"/>
        </w:rPr>
        <w:t>个月。可支撑</w:t>
      </w:r>
      <w:r>
        <w:rPr>
          <w:rFonts w:ascii="仿宋_GB2312" w:eastAsia="仿宋_GB2312" w:hAnsi="仿宋" w:cs="仿宋_GB2312" w:hint="eastAsia"/>
          <w:sz w:val="32"/>
          <w:szCs w:val="32"/>
        </w:rPr>
        <w:t>月数低于3</w:t>
      </w:r>
      <w:r w:rsidR="00FC1C0D">
        <w:rPr>
          <w:rFonts w:ascii="仿宋_GB2312" w:eastAsia="仿宋_GB2312" w:hAnsi="仿宋" w:cs="仿宋_GB2312" w:hint="eastAsia"/>
          <w:sz w:val="32"/>
          <w:szCs w:val="32"/>
        </w:rPr>
        <w:t>个月的有攸县</w:t>
      </w:r>
      <w:r>
        <w:rPr>
          <w:rFonts w:ascii="仿宋_GB2312" w:eastAsia="仿宋_GB2312" w:hAnsi="仿宋" w:cs="仿宋_GB2312" w:hint="eastAsia"/>
          <w:sz w:val="32"/>
          <w:szCs w:val="32"/>
        </w:rPr>
        <w:t>，</w:t>
      </w:r>
      <w:r w:rsidRPr="00D30A35">
        <w:rPr>
          <w:rFonts w:ascii="仿宋_GB2312" w:eastAsia="仿宋_GB2312" w:hAnsi="仿宋" w:cs="仿宋_GB2312" w:hint="eastAsia"/>
          <w:sz w:val="32"/>
          <w:szCs w:val="32"/>
        </w:rPr>
        <w:t>可支撑</w:t>
      </w:r>
      <w:r>
        <w:rPr>
          <w:rFonts w:ascii="仿宋_GB2312" w:eastAsia="仿宋_GB2312" w:hAnsi="仿宋" w:cs="仿宋_GB2312" w:hint="eastAsia"/>
          <w:sz w:val="32"/>
          <w:szCs w:val="32"/>
        </w:rPr>
        <w:t>月数3-9</w:t>
      </w:r>
      <w:r w:rsidR="00FC1C0D">
        <w:rPr>
          <w:rFonts w:ascii="仿宋_GB2312" w:eastAsia="仿宋_GB2312" w:hAnsi="仿宋" w:cs="仿宋_GB2312" w:hint="eastAsia"/>
          <w:sz w:val="32"/>
          <w:szCs w:val="32"/>
        </w:rPr>
        <w:t>个月没有</w:t>
      </w:r>
      <w:r>
        <w:rPr>
          <w:rFonts w:ascii="仿宋_GB2312" w:eastAsia="仿宋_GB2312" w:hAnsi="仿宋" w:cs="仿宋_GB2312" w:hint="eastAsia"/>
          <w:sz w:val="32"/>
          <w:szCs w:val="32"/>
        </w:rPr>
        <w:t>，主要是攸县税务征缴收入未到位。</w:t>
      </w:r>
    </w:p>
    <w:p w:rsidR="00642801" w:rsidRPr="00345D00" w:rsidRDefault="00642801" w:rsidP="00762674">
      <w:pPr>
        <w:ind w:firstLineChars="147" w:firstLine="472"/>
        <w:rPr>
          <w:rFonts w:ascii="Calibri" w:eastAsia="楷体_GB2312" w:hAnsi="Calibri"/>
          <w:b/>
          <w:sz w:val="32"/>
          <w:szCs w:val="32"/>
        </w:rPr>
      </w:pPr>
    </w:p>
    <w:p w:rsidR="00642801" w:rsidRPr="00345D00" w:rsidRDefault="00642801" w:rsidP="00762674">
      <w:pPr>
        <w:ind w:firstLineChars="147" w:firstLine="472"/>
        <w:rPr>
          <w:rFonts w:ascii="Calibri" w:eastAsia="楷体_GB2312" w:hAnsi="Calibri"/>
          <w:b/>
          <w:sz w:val="32"/>
          <w:szCs w:val="32"/>
        </w:rPr>
      </w:pPr>
    </w:p>
    <w:p w:rsidR="00642801" w:rsidRPr="00345D00" w:rsidRDefault="00642801" w:rsidP="00762674">
      <w:pPr>
        <w:ind w:firstLineChars="147" w:firstLine="472"/>
        <w:rPr>
          <w:rFonts w:ascii="Calibri" w:eastAsia="楷体_GB2312" w:hAnsi="Calibri"/>
          <w:b/>
          <w:sz w:val="32"/>
          <w:szCs w:val="32"/>
        </w:rPr>
      </w:pPr>
    </w:p>
    <w:p w:rsidR="001B1751" w:rsidRPr="00762674" w:rsidRDefault="004D5B51" w:rsidP="00762674">
      <w:pPr>
        <w:ind w:firstLineChars="147" w:firstLine="472"/>
        <w:rPr>
          <w:rFonts w:ascii="楷体_GB2312" w:eastAsia="楷体_GB2312"/>
          <w:b/>
          <w:sz w:val="32"/>
          <w:szCs w:val="32"/>
        </w:rPr>
      </w:pPr>
      <w:r w:rsidRPr="00762674">
        <w:rPr>
          <w:rFonts w:ascii="楷体_GB2312" w:eastAsia="楷体_GB2312" w:hint="eastAsia"/>
          <w:b/>
          <w:sz w:val="32"/>
          <w:szCs w:val="32"/>
        </w:rPr>
        <w:lastRenderedPageBreak/>
        <w:t>（</w:t>
      </w:r>
      <w:r w:rsidR="001B1751" w:rsidRPr="00762674">
        <w:rPr>
          <w:rFonts w:ascii="楷体_GB2312" w:eastAsia="楷体_GB2312" w:hint="eastAsia"/>
          <w:b/>
          <w:sz w:val="32"/>
          <w:szCs w:val="32"/>
        </w:rPr>
        <w:t>二</w:t>
      </w:r>
      <w:r w:rsidRPr="00762674">
        <w:rPr>
          <w:rFonts w:ascii="楷体_GB2312" w:eastAsia="楷体_GB2312" w:hint="eastAsia"/>
          <w:b/>
          <w:sz w:val="32"/>
          <w:szCs w:val="32"/>
        </w:rPr>
        <w:t>）</w:t>
      </w:r>
      <w:r w:rsidR="001B1751" w:rsidRPr="00762674">
        <w:rPr>
          <w:rFonts w:ascii="楷体_GB2312" w:eastAsia="楷体_GB2312" w:hint="eastAsia"/>
          <w:b/>
          <w:sz w:val="32"/>
          <w:szCs w:val="32"/>
        </w:rPr>
        <w:t>其他医疗基金情况</w:t>
      </w:r>
    </w:p>
    <w:p w:rsidR="001B1751" w:rsidRPr="00762674" w:rsidRDefault="001B1751" w:rsidP="00EF6E7E">
      <w:pPr>
        <w:ind w:firstLineChars="200" w:firstLine="640"/>
        <w:rPr>
          <w:rFonts w:ascii="楷体_GB2312" w:eastAsia="楷体_GB2312"/>
          <w:sz w:val="32"/>
          <w:szCs w:val="32"/>
        </w:rPr>
      </w:pPr>
      <w:r w:rsidRPr="00762674">
        <w:rPr>
          <w:rFonts w:ascii="楷体_GB2312" w:eastAsia="楷体_GB2312" w:hint="eastAsia"/>
          <w:sz w:val="32"/>
          <w:szCs w:val="32"/>
        </w:rPr>
        <w:t>20</w:t>
      </w:r>
      <w:r w:rsidR="00627CD8" w:rsidRPr="00762674">
        <w:rPr>
          <w:rFonts w:ascii="楷体_GB2312" w:eastAsia="楷体_GB2312" w:hint="eastAsia"/>
          <w:sz w:val="32"/>
          <w:szCs w:val="32"/>
        </w:rPr>
        <w:t>2</w:t>
      </w:r>
      <w:r w:rsidR="00EF6E7E">
        <w:rPr>
          <w:rFonts w:ascii="楷体_GB2312" w:eastAsia="楷体_GB2312" w:hint="eastAsia"/>
          <w:sz w:val="32"/>
          <w:szCs w:val="32"/>
        </w:rPr>
        <w:t>1</w:t>
      </w:r>
      <w:r w:rsidRPr="00762674">
        <w:rPr>
          <w:rFonts w:ascii="楷体_GB2312" w:eastAsia="楷体_GB2312" w:hint="eastAsia"/>
          <w:sz w:val="32"/>
          <w:szCs w:val="32"/>
        </w:rPr>
        <w:t>年1季度其他医疗基金收支余情况表</w:t>
      </w:r>
      <w:r w:rsidRPr="00EF6E7E">
        <w:rPr>
          <w:rFonts w:ascii="楷体_GB2312" w:eastAsia="楷体_GB2312" w:hint="eastAsia"/>
          <w:sz w:val="24"/>
          <w:szCs w:val="24"/>
        </w:rPr>
        <w:t>（单位：万元）</w:t>
      </w:r>
    </w:p>
    <w:tbl>
      <w:tblPr>
        <w:tblW w:w="5269" w:type="pct"/>
        <w:tblInd w:w="-459" w:type="dxa"/>
        <w:tblLayout w:type="fixed"/>
        <w:tblLook w:val="0000" w:firstRow="0" w:lastRow="0" w:firstColumn="0" w:lastColumn="0" w:noHBand="0" w:noVBand="0"/>
      </w:tblPr>
      <w:tblGrid>
        <w:gridCol w:w="1604"/>
        <w:gridCol w:w="1017"/>
        <w:gridCol w:w="1207"/>
        <w:gridCol w:w="986"/>
        <w:gridCol w:w="1176"/>
        <w:gridCol w:w="1496"/>
        <w:gridCol w:w="1494"/>
      </w:tblGrid>
      <w:tr w:rsidR="001B1751" w:rsidRPr="00762674" w:rsidTr="00826570">
        <w:trPr>
          <w:trHeight w:val="555"/>
        </w:trPr>
        <w:tc>
          <w:tcPr>
            <w:tcW w:w="8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险  种</w:t>
            </w:r>
          </w:p>
        </w:tc>
        <w:tc>
          <w:tcPr>
            <w:tcW w:w="1238" w:type="pct"/>
            <w:gridSpan w:val="2"/>
            <w:tcBorders>
              <w:top w:val="single" w:sz="4" w:space="0" w:color="auto"/>
              <w:left w:val="nil"/>
              <w:bottom w:val="single" w:sz="4" w:space="0" w:color="auto"/>
              <w:right w:val="single" w:sz="4" w:space="0" w:color="auto"/>
            </w:tcBorders>
            <w:shd w:val="clear" w:color="auto" w:fill="auto"/>
            <w:noWrap/>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总收入</w:t>
            </w:r>
          </w:p>
        </w:tc>
        <w:tc>
          <w:tcPr>
            <w:tcW w:w="1204" w:type="pct"/>
            <w:gridSpan w:val="2"/>
            <w:tcBorders>
              <w:top w:val="single" w:sz="4" w:space="0" w:color="auto"/>
              <w:left w:val="nil"/>
              <w:bottom w:val="single" w:sz="4" w:space="0" w:color="auto"/>
              <w:right w:val="single" w:sz="4" w:space="0" w:color="auto"/>
            </w:tcBorders>
            <w:shd w:val="clear" w:color="auto" w:fill="auto"/>
            <w:noWrap/>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总支出</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当期结余</w:t>
            </w:r>
          </w:p>
        </w:tc>
        <w:tc>
          <w:tcPr>
            <w:tcW w:w="8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累计结余</w:t>
            </w:r>
          </w:p>
        </w:tc>
      </w:tr>
      <w:tr w:rsidR="00093982" w:rsidRPr="00762674" w:rsidTr="00826570">
        <w:trPr>
          <w:trHeight w:val="555"/>
        </w:trPr>
        <w:tc>
          <w:tcPr>
            <w:tcW w:w="893" w:type="pct"/>
            <w:vMerge/>
            <w:tcBorders>
              <w:top w:val="single" w:sz="4" w:space="0" w:color="auto"/>
              <w:left w:val="single" w:sz="4" w:space="0" w:color="auto"/>
              <w:bottom w:val="single" w:sz="4" w:space="0" w:color="auto"/>
              <w:right w:val="single" w:sz="4" w:space="0" w:color="auto"/>
            </w:tcBorders>
            <w:vAlign w:val="center"/>
          </w:tcPr>
          <w:p w:rsidR="001B1751" w:rsidRPr="00762674" w:rsidRDefault="001B1751" w:rsidP="004D18AD">
            <w:pPr>
              <w:widowControl/>
              <w:jc w:val="left"/>
              <w:rPr>
                <w:rFonts w:ascii="楷体_GB2312" w:eastAsia="楷体_GB2312" w:hAnsi="宋体" w:cs="宋体"/>
                <w:kern w:val="0"/>
                <w:sz w:val="32"/>
                <w:szCs w:val="32"/>
              </w:rPr>
            </w:pPr>
          </w:p>
        </w:tc>
        <w:tc>
          <w:tcPr>
            <w:tcW w:w="566" w:type="pct"/>
            <w:tcBorders>
              <w:top w:val="nil"/>
              <w:left w:val="nil"/>
              <w:bottom w:val="single" w:sz="4" w:space="0" w:color="auto"/>
              <w:right w:val="single" w:sz="4" w:space="0" w:color="auto"/>
            </w:tcBorders>
            <w:shd w:val="clear" w:color="auto" w:fill="auto"/>
            <w:noWrap/>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合 计</w:t>
            </w:r>
          </w:p>
        </w:tc>
        <w:tc>
          <w:tcPr>
            <w:tcW w:w="672" w:type="pct"/>
            <w:tcBorders>
              <w:top w:val="nil"/>
              <w:left w:val="nil"/>
              <w:bottom w:val="single" w:sz="4" w:space="0" w:color="auto"/>
              <w:right w:val="single" w:sz="4" w:space="0" w:color="auto"/>
            </w:tcBorders>
            <w:shd w:val="clear" w:color="auto" w:fill="auto"/>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同比增幅</w:t>
            </w:r>
          </w:p>
        </w:tc>
        <w:tc>
          <w:tcPr>
            <w:tcW w:w="549" w:type="pct"/>
            <w:tcBorders>
              <w:top w:val="nil"/>
              <w:left w:val="nil"/>
              <w:bottom w:val="single" w:sz="4" w:space="0" w:color="auto"/>
              <w:right w:val="single" w:sz="4" w:space="0" w:color="auto"/>
            </w:tcBorders>
            <w:shd w:val="clear" w:color="auto" w:fill="auto"/>
            <w:noWrap/>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合 计</w:t>
            </w:r>
          </w:p>
        </w:tc>
        <w:tc>
          <w:tcPr>
            <w:tcW w:w="655" w:type="pct"/>
            <w:tcBorders>
              <w:top w:val="nil"/>
              <w:left w:val="nil"/>
              <w:bottom w:val="single" w:sz="4" w:space="0" w:color="auto"/>
              <w:right w:val="single" w:sz="4" w:space="0" w:color="auto"/>
            </w:tcBorders>
            <w:shd w:val="clear" w:color="auto" w:fill="auto"/>
            <w:vAlign w:val="center"/>
          </w:tcPr>
          <w:p w:rsidR="001B1751" w:rsidRPr="00762674" w:rsidRDefault="001B1751"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同比增幅</w:t>
            </w:r>
          </w:p>
        </w:tc>
        <w:tc>
          <w:tcPr>
            <w:tcW w:w="833" w:type="pct"/>
            <w:vMerge/>
            <w:tcBorders>
              <w:top w:val="single" w:sz="4" w:space="0" w:color="auto"/>
              <w:left w:val="single" w:sz="4" w:space="0" w:color="auto"/>
              <w:bottom w:val="single" w:sz="4" w:space="0" w:color="auto"/>
              <w:right w:val="single" w:sz="4" w:space="0" w:color="auto"/>
            </w:tcBorders>
            <w:vAlign w:val="center"/>
          </w:tcPr>
          <w:p w:rsidR="001B1751" w:rsidRPr="00762674" w:rsidRDefault="001B1751" w:rsidP="004D18AD">
            <w:pPr>
              <w:widowControl/>
              <w:jc w:val="left"/>
              <w:rPr>
                <w:rFonts w:ascii="楷体_GB2312" w:eastAsia="楷体_GB2312" w:hAnsi="宋体" w:cs="宋体"/>
                <w:kern w:val="0"/>
                <w:sz w:val="32"/>
                <w:szCs w:val="32"/>
              </w:rPr>
            </w:pPr>
          </w:p>
        </w:tc>
        <w:tc>
          <w:tcPr>
            <w:tcW w:w="832" w:type="pct"/>
            <w:vMerge/>
            <w:tcBorders>
              <w:top w:val="single" w:sz="4" w:space="0" w:color="auto"/>
              <w:left w:val="single" w:sz="4" w:space="0" w:color="auto"/>
              <w:bottom w:val="single" w:sz="4" w:space="0" w:color="auto"/>
              <w:right w:val="single" w:sz="4" w:space="0" w:color="auto"/>
            </w:tcBorders>
            <w:vAlign w:val="center"/>
          </w:tcPr>
          <w:p w:rsidR="001B1751" w:rsidRPr="00762674" w:rsidRDefault="001B1751" w:rsidP="004D18AD">
            <w:pPr>
              <w:widowControl/>
              <w:jc w:val="left"/>
              <w:rPr>
                <w:rFonts w:ascii="楷体_GB2312" w:eastAsia="楷体_GB2312" w:hAnsi="宋体" w:cs="宋体"/>
                <w:kern w:val="0"/>
                <w:sz w:val="32"/>
                <w:szCs w:val="32"/>
              </w:rPr>
            </w:pPr>
          </w:p>
        </w:tc>
      </w:tr>
      <w:tr w:rsidR="00093982" w:rsidRPr="00762674" w:rsidTr="00826570">
        <w:trPr>
          <w:trHeight w:val="555"/>
        </w:trPr>
        <w:tc>
          <w:tcPr>
            <w:tcW w:w="893" w:type="pct"/>
            <w:tcBorders>
              <w:top w:val="nil"/>
              <w:left w:val="single" w:sz="4" w:space="0" w:color="auto"/>
              <w:bottom w:val="single" w:sz="4" w:space="0" w:color="auto"/>
              <w:right w:val="single" w:sz="4" w:space="0" w:color="auto"/>
            </w:tcBorders>
            <w:shd w:val="clear" w:color="auto" w:fill="auto"/>
            <w:vAlign w:val="center"/>
          </w:tcPr>
          <w:p w:rsidR="00603BA2" w:rsidRPr="00762674" w:rsidRDefault="00603BA2"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补充医疗</w:t>
            </w:r>
          </w:p>
          <w:p w:rsidR="001B1751" w:rsidRPr="00762674" w:rsidRDefault="00603BA2"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保险</w:t>
            </w:r>
          </w:p>
        </w:tc>
        <w:tc>
          <w:tcPr>
            <w:tcW w:w="566" w:type="pct"/>
            <w:tcBorders>
              <w:top w:val="nil"/>
              <w:left w:val="nil"/>
              <w:bottom w:val="single" w:sz="4" w:space="0" w:color="auto"/>
              <w:right w:val="single" w:sz="4" w:space="0" w:color="auto"/>
            </w:tcBorders>
            <w:shd w:val="clear" w:color="auto" w:fill="auto"/>
            <w:noWrap/>
            <w:vAlign w:val="center"/>
          </w:tcPr>
          <w:p w:rsidR="001B1751" w:rsidRPr="00762674" w:rsidRDefault="00EF6E7E" w:rsidP="001B1751">
            <w:pPr>
              <w:jc w:val="center"/>
              <w:rPr>
                <w:rFonts w:ascii="楷体_GB2312" w:eastAsia="楷体_GB2312" w:hAnsi="仿宋"/>
                <w:sz w:val="32"/>
                <w:szCs w:val="32"/>
              </w:rPr>
            </w:pPr>
            <w:r>
              <w:rPr>
                <w:rFonts w:ascii="楷体_GB2312" w:eastAsia="楷体_GB2312" w:hAnsi="仿宋" w:hint="eastAsia"/>
                <w:sz w:val="32"/>
                <w:szCs w:val="32"/>
              </w:rPr>
              <w:t>5235</w:t>
            </w:r>
          </w:p>
        </w:tc>
        <w:tc>
          <w:tcPr>
            <w:tcW w:w="672" w:type="pct"/>
            <w:tcBorders>
              <w:top w:val="nil"/>
              <w:left w:val="nil"/>
              <w:bottom w:val="single" w:sz="4" w:space="0" w:color="auto"/>
              <w:right w:val="single" w:sz="4" w:space="0" w:color="auto"/>
            </w:tcBorders>
            <w:shd w:val="clear" w:color="auto" w:fill="auto"/>
            <w:noWrap/>
            <w:vAlign w:val="center"/>
          </w:tcPr>
          <w:p w:rsidR="001B1751" w:rsidRPr="00762674" w:rsidRDefault="00EF6E7E" w:rsidP="001B1751">
            <w:pPr>
              <w:jc w:val="center"/>
              <w:rPr>
                <w:rFonts w:ascii="楷体_GB2312" w:eastAsia="楷体_GB2312" w:hAnsi="仿宋"/>
                <w:sz w:val="32"/>
                <w:szCs w:val="32"/>
              </w:rPr>
            </w:pPr>
            <w:r>
              <w:rPr>
                <w:rFonts w:ascii="楷体_GB2312" w:eastAsia="楷体_GB2312" w:hAnsi="仿宋" w:hint="eastAsia"/>
                <w:sz w:val="32"/>
                <w:szCs w:val="32"/>
              </w:rPr>
              <w:t>0.08%</w:t>
            </w:r>
          </w:p>
        </w:tc>
        <w:tc>
          <w:tcPr>
            <w:tcW w:w="549" w:type="pct"/>
            <w:tcBorders>
              <w:top w:val="nil"/>
              <w:left w:val="nil"/>
              <w:bottom w:val="single" w:sz="4" w:space="0" w:color="auto"/>
              <w:right w:val="single" w:sz="4" w:space="0" w:color="auto"/>
            </w:tcBorders>
            <w:shd w:val="clear" w:color="auto" w:fill="auto"/>
            <w:noWrap/>
            <w:vAlign w:val="center"/>
          </w:tcPr>
          <w:p w:rsidR="001B1751" w:rsidRPr="00762674" w:rsidRDefault="007370D8" w:rsidP="001B1751">
            <w:pPr>
              <w:jc w:val="center"/>
              <w:rPr>
                <w:rFonts w:ascii="楷体_GB2312" w:eastAsia="楷体_GB2312" w:hAnsi="仿宋"/>
                <w:sz w:val="32"/>
                <w:szCs w:val="32"/>
              </w:rPr>
            </w:pPr>
            <w:r w:rsidRPr="00762674">
              <w:rPr>
                <w:rFonts w:ascii="楷体_GB2312" w:eastAsia="楷体_GB2312" w:hAnsi="仿宋" w:hint="eastAsia"/>
                <w:sz w:val="32"/>
                <w:szCs w:val="32"/>
              </w:rPr>
              <w:t>954</w:t>
            </w:r>
          </w:p>
        </w:tc>
        <w:tc>
          <w:tcPr>
            <w:tcW w:w="655" w:type="pct"/>
            <w:tcBorders>
              <w:top w:val="nil"/>
              <w:left w:val="nil"/>
              <w:bottom w:val="single" w:sz="4" w:space="0" w:color="auto"/>
              <w:right w:val="single" w:sz="4" w:space="0" w:color="auto"/>
            </w:tcBorders>
            <w:shd w:val="clear" w:color="auto" w:fill="auto"/>
            <w:noWrap/>
            <w:vAlign w:val="center"/>
          </w:tcPr>
          <w:p w:rsidR="001B1751" w:rsidRPr="00762674" w:rsidRDefault="00EF6E7E" w:rsidP="001B1751">
            <w:pPr>
              <w:jc w:val="center"/>
              <w:rPr>
                <w:rFonts w:ascii="楷体_GB2312" w:eastAsia="楷体_GB2312" w:hAnsi="仿宋"/>
                <w:sz w:val="32"/>
                <w:szCs w:val="32"/>
              </w:rPr>
            </w:pPr>
            <w:r>
              <w:rPr>
                <w:rFonts w:ascii="楷体_GB2312" w:eastAsia="楷体_GB2312" w:hAnsi="仿宋" w:hint="eastAsia"/>
                <w:sz w:val="32"/>
                <w:szCs w:val="32"/>
              </w:rPr>
              <w:t>-11.7%</w:t>
            </w:r>
          </w:p>
        </w:tc>
        <w:tc>
          <w:tcPr>
            <w:tcW w:w="833" w:type="pct"/>
            <w:tcBorders>
              <w:top w:val="nil"/>
              <w:left w:val="nil"/>
              <w:bottom w:val="single" w:sz="4" w:space="0" w:color="auto"/>
              <w:right w:val="single" w:sz="4" w:space="0" w:color="auto"/>
            </w:tcBorders>
            <w:shd w:val="clear" w:color="auto" w:fill="auto"/>
            <w:noWrap/>
            <w:vAlign w:val="center"/>
          </w:tcPr>
          <w:p w:rsidR="001B1751" w:rsidRPr="00762674" w:rsidRDefault="00EF6E7E" w:rsidP="001B1751">
            <w:pPr>
              <w:jc w:val="center"/>
              <w:rPr>
                <w:rFonts w:ascii="楷体_GB2312" w:eastAsia="楷体_GB2312" w:hAnsi="仿宋"/>
                <w:sz w:val="32"/>
                <w:szCs w:val="32"/>
              </w:rPr>
            </w:pPr>
            <w:r>
              <w:rPr>
                <w:rFonts w:ascii="楷体_GB2312" w:eastAsia="楷体_GB2312" w:hAnsi="仿宋" w:hint="eastAsia"/>
                <w:sz w:val="32"/>
                <w:szCs w:val="32"/>
              </w:rPr>
              <w:t>4392</w:t>
            </w:r>
          </w:p>
        </w:tc>
        <w:tc>
          <w:tcPr>
            <w:tcW w:w="832" w:type="pct"/>
            <w:tcBorders>
              <w:top w:val="nil"/>
              <w:left w:val="nil"/>
              <w:bottom w:val="single" w:sz="4" w:space="0" w:color="auto"/>
              <w:right w:val="single" w:sz="4" w:space="0" w:color="auto"/>
            </w:tcBorders>
            <w:shd w:val="clear" w:color="auto" w:fill="auto"/>
            <w:noWrap/>
            <w:vAlign w:val="center"/>
          </w:tcPr>
          <w:p w:rsidR="001B1751" w:rsidRPr="00762674" w:rsidRDefault="00EF6E7E" w:rsidP="001B1751">
            <w:pPr>
              <w:jc w:val="center"/>
              <w:rPr>
                <w:rFonts w:ascii="楷体_GB2312" w:eastAsia="楷体_GB2312" w:hAnsi="仿宋"/>
                <w:sz w:val="32"/>
                <w:szCs w:val="32"/>
              </w:rPr>
            </w:pPr>
            <w:r>
              <w:rPr>
                <w:rFonts w:ascii="楷体_GB2312" w:eastAsia="楷体_GB2312" w:hAnsi="仿宋" w:hint="eastAsia"/>
                <w:sz w:val="32"/>
                <w:szCs w:val="32"/>
              </w:rPr>
              <w:t>15352</w:t>
            </w:r>
          </w:p>
        </w:tc>
      </w:tr>
      <w:tr w:rsidR="00093982" w:rsidRPr="00762674" w:rsidTr="00826570">
        <w:trPr>
          <w:trHeight w:val="559"/>
        </w:trPr>
        <w:tc>
          <w:tcPr>
            <w:tcW w:w="893" w:type="pct"/>
            <w:tcBorders>
              <w:top w:val="nil"/>
              <w:left w:val="single" w:sz="4" w:space="0" w:color="auto"/>
              <w:bottom w:val="single" w:sz="4" w:space="0" w:color="auto"/>
              <w:right w:val="single" w:sz="4" w:space="0" w:color="auto"/>
            </w:tcBorders>
            <w:shd w:val="clear" w:color="auto" w:fill="auto"/>
            <w:vAlign w:val="center"/>
          </w:tcPr>
          <w:p w:rsidR="00093982" w:rsidRPr="00762674" w:rsidRDefault="00093982" w:rsidP="004D18AD">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公务员</w:t>
            </w:r>
          </w:p>
        </w:tc>
        <w:tc>
          <w:tcPr>
            <w:tcW w:w="566" w:type="pct"/>
            <w:tcBorders>
              <w:top w:val="nil"/>
              <w:left w:val="nil"/>
              <w:bottom w:val="single" w:sz="4" w:space="0" w:color="auto"/>
              <w:right w:val="single" w:sz="4" w:space="0" w:color="auto"/>
            </w:tcBorders>
            <w:shd w:val="clear" w:color="auto" w:fill="auto"/>
            <w:noWrap/>
            <w:vAlign w:val="center"/>
          </w:tcPr>
          <w:p w:rsidR="00093982" w:rsidRPr="00762674" w:rsidRDefault="00EF6E7E" w:rsidP="00093982">
            <w:pPr>
              <w:jc w:val="center"/>
              <w:rPr>
                <w:rFonts w:ascii="楷体_GB2312" w:eastAsia="楷体_GB2312" w:hAnsi="仿宋"/>
                <w:sz w:val="32"/>
                <w:szCs w:val="32"/>
              </w:rPr>
            </w:pPr>
            <w:r>
              <w:rPr>
                <w:rFonts w:ascii="楷体_GB2312" w:eastAsia="楷体_GB2312" w:hAnsi="仿宋" w:hint="eastAsia"/>
                <w:sz w:val="32"/>
                <w:szCs w:val="32"/>
              </w:rPr>
              <w:t>2851</w:t>
            </w:r>
          </w:p>
        </w:tc>
        <w:tc>
          <w:tcPr>
            <w:tcW w:w="672" w:type="pct"/>
            <w:tcBorders>
              <w:top w:val="nil"/>
              <w:left w:val="nil"/>
              <w:bottom w:val="single" w:sz="4" w:space="0" w:color="auto"/>
              <w:right w:val="single" w:sz="4" w:space="0" w:color="auto"/>
            </w:tcBorders>
            <w:shd w:val="clear" w:color="auto" w:fill="auto"/>
            <w:noWrap/>
            <w:vAlign w:val="center"/>
          </w:tcPr>
          <w:p w:rsidR="00093982" w:rsidRPr="00762674" w:rsidRDefault="00EF6E7E" w:rsidP="00093982">
            <w:pPr>
              <w:jc w:val="center"/>
              <w:rPr>
                <w:rFonts w:ascii="楷体_GB2312" w:eastAsia="楷体_GB2312" w:hAnsi="仿宋"/>
                <w:sz w:val="32"/>
                <w:szCs w:val="32"/>
              </w:rPr>
            </w:pPr>
            <w:r>
              <w:rPr>
                <w:rFonts w:ascii="楷体_GB2312" w:eastAsia="楷体_GB2312" w:hAnsi="仿宋" w:hint="eastAsia"/>
                <w:sz w:val="32"/>
                <w:szCs w:val="32"/>
              </w:rPr>
              <w:t>11%</w:t>
            </w:r>
          </w:p>
        </w:tc>
        <w:tc>
          <w:tcPr>
            <w:tcW w:w="549" w:type="pct"/>
            <w:tcBorders>
              <w:top w:val="nil"/>
              <w:left w:val="nil"/>
              <w:bottom w:val="single" w:sz="4" w:space="0" w:color="auto"/>
              <w:right w:val="single" w:sz="4" w:space="0" w:color="auto"/>
            </w:tcBorders>
            <w:shd w:val="clear" w:color="auto" w:fill="auto"/>
            <w:noWrap/>
            <w:vAlign w:val="center"/>
          </w:tcPr>
          <w:p w:rsidR="00093982" w:rsidRPr="00762674" w:rsidRDefault="00EF6E7E" w:rsidP="00093982">
            <w:pPr>
              <w:jc w:val="center"/>
              <w:rPr>
                <w:rFonts w:ascii="楷体_GB2312" w:eastAsia="楷体_GB2312" w:hAnsi="仿宋"/>
                <w:sz w:val="32"/>
                <w:szCs w:val="32"/>
              </w:rPr>
            </w:pPr>
            <w:r>
              <w:rPr>
                <w:rFonts w:ascii="楷体_GB2312" w:eastAsia="楷体_GB2312" w:hAnsi="仿宋" w:hint="eastAsia"/>
                <w:sz w:val="32"/>
                <w:szCs w:val="32"/>
              </w:rPr>
              <w:t>1670</w:t>
            </w:r>
          </w:p>
        </w:tc>
        <w:tc>
          <w:tcPr>
            <w:tcW w:w="655" w:type="pct"/>
            <w:tcBorders>
              <w:top w:val="nil"/>
              <w:left w:val="nil"/>
              <w:bottom w:val="single" w:sz="4" w:space="0" w:color="auto"/>
              <w:right w:val="single" w:sz="4" w:space="0" w:color="auto"/>
            </w:tcBorders>
            <w:shd w:val="clear" w:color="auto" w:fill="auto"/>
            <w:noWrap/>
            <w:vAlign w:val="center"/>
          </w:tcPr>
          <w:p w:rsidR="00093982" w:rsidRPr="00762674" w:rsidRDefault="00EF6E7E" w:rsidP="004D18AD">
            <w:pPr>
              <w:jc w:val="center"/>
              <w:rPr>
                <w:rFonts w:ascii="楷体_GB2312" w:eastAsia="楷体_GB2312" w:hAnsi="仿宋"/>
                <w:sz w:val="32"/>
                <w:szCs w:val="32"/>
              </w:rPr>
            </w:pPr>
            <w:r>
              <w:rPr>
                <w:rFonts w:ascii="楷体_GB2312" w:eastAsia="楷体_GB2312" w:hAnsi="仿宋" w:hint="eastAsia"/>
                <w:sz w:val="32"/>
                <w:szCs w:val="32"/>
              </w:rPr>
              <w:t>378%</w:t>
            </w:r>
          </w:p>
        </w:tc>
        <w:tc>
          <w:tcPr>
            <w:tcW w:w="833" w:type="pct"/>
            <w:tcBorders>
              <w:top w:val="nil"/>
              <w:left w:val="nil"/>
              <w:bottom w:val="single" w:sz="4" w:space="0" w:color="auto"/>
              <w:right w:val="single" w:sz="4" w:space="0" w:color="auto"/>
            </w:tcBorders>
            <w:shd w:val="clear" w:color="auto" w:fill="auto"/>
            <w:noWrap/>
            <w:vAlign w:val="center"/>
          </w:tcPr>
          <w:p w:rsidR="00093982" w:rsidRPr="00762674" w:rsidRDefault="00EF6E7E" w:rsidP="004D18AD">
            <w:pPr>
              <w:jc w:val="center"/>
              <w:rPr>
                <w:rFonts w:ascii="楷体_GB2312" w:eastAsia="楷体_GB2312" w:hAnsi="仿宋"/>
                <w:sz w:val="32"/>
                <w:szCs w:val="32"/>
              </w:rPr>
            </w:pPr>
            <w:r>
              <w:rPr>
                <w:rFonts w:ascii="楷体_GB2312" w:eastAsia="楷体_GB2312" w:hAnsi="仿宋" w:hint="eastAsia"/>
                <w:sz w:val="32"/>
                <w:szCs w:val="32"/>
              </w:rPr>
              <w:t>1181</w:t>
            </w:r>
          </w:p>
        </w:tc>
        <w:tc>
          <w:tcPr>
            <w:tcW w:w="832" w:type="pct"/>
            <w:tcBorders>
              <w:top w:val="nil"/>
              <w:left w:val="nil"/>
              <w:bottom w:val="single" w:sz="4" w:space="0" w:color="auto"/>
              <w:right w:val="single" w:sz="4" w:space="0" w:color="auto"/>
            </w:tcBorders>
            <w:shd w:val="clear" w:color="auto" w:fill="auto"/>
            <w:noWrap/>
            <w:vAlign w:val="center"/>
          </w:tcPr>
          <w:p w:rsidR="00093982" w:rsidRPr="00762674" w:rsidRDefault="00EF6E7E" w:rsidP="00093982">
            <w:pPr>
              <w:jc w:val="center"/>
              <w:rPr>
                <w:rFonts w:ascii="楷体_GB2312" w:eastAsia="楷体_GB2312" w:hAnsi="仿宋"/>
                <w:sz w:val="32"/>
                <w:szCs w:val="32"/>
              </w:rPr>
            </w:pPr>
            <w:r>
              <w:rPr>
                <w:rFonts w:ascii="楷体_GB2312" w:eastAsia="楷体_GB2312" w:hAnsi="仿宋" w:hint="eastAsia"/>
                <w:sz w:val="32"/>
                <w:szCs w:val="32"/>
              </w:rPr>
              <w:t>69506</w:t>
            </w:r>
          </w:p>
        </w:tc>
      </w:tr>
      <w:tr w:rsidR="00093982" w:rsidRPr="00762674" w:rsidTr="00826570">
        <w:trPr>
          <w:trHeight w:val="553"/>
        </w:trPr>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093982" w:rsidRPr="00762674" w:rsidRDefault="00093982" w:rsidP="00603BA2">
            <w:pPr>
              <w:widowControl/>
              <w:jc w:val="center"/>
              <w:rPr>
                <w:rFonts w:ascii="楷体_GB2312" w:eastAsia="楷体_GB2312" w:hAnsi="宋体" w:cs="宋体"/>
                <w:kern w:val="0"/>
                <w:sz w:val="32"/>
                <w:szCs w:val="32"/>
              </w:rPr>
            </w:pPr>
            <w:r w:rsidRPr="00762674">
              <w:rPr>
                <w:rFonts w:ascii="楷体_GB2312" w:eastAsia="楷体_GB2312" w:hAnsi="宋体" w:cs="宋体" w:hint="eastAsia"/>
                <w:kern w:val="0"/>
                <w:sz w:val="32"/>
                <w:szCs w:val="32"/>
              </w:rPr>
              <w:t>离休</w:t>
            </w:r>
            <w:r w:rsidR="00603BA2" w:rsidRPr="00762674">
              <w:rPr>
                <w:rFonts w:ascii="楷体_GB2312" w:eastAsia="楷体_GB2312" w:hAnsi="宋体" w:cs="宋体" w:hint="eastAsia"/>
                <w:kern w:val="0"/>
                <w:sz w:val="32"/>
                <w:szCs w:val="32"/>
              </w:rPr>
              <w:t>人员</w:t>
            </w:r>
          </w:p>
        </w:tc>
        <w:tc>
          <w:tcPr>
            <w:tcW w:w="566" w:type="pct"/>
            <w:tcBorders>
              <w:top w:val="single" w:sz="4" w:space="0" w:color="auto"/>
              <w:left w:val="nil"/>
              <w:bottom w:val="single" w:sz="4" w:space="0" w:color="auto"/>
              <w:right w:val="single" w:sz="4" w:space="0" w:color="auto"/>
            </w:tcBorders>
            <w:shd w:val="clear" w:color="auto" w:fill="auto"/>
            <w:noWrap/>
            <w:vAlign w:val="center"/>
          </w:tcPr>
          <w:p w:rsidR="00093982" w:rsidRPr="00762674" w:rsidRDefault="007370D8" w:rsidP="00ED12C9">
            <w:pPr>
              <w:jc w:val="center"/>
              <w:rPr>
                <w:rFonts w:ascii="楷体_GB2312" w:eastAsia="楷体_GB2312" w:hAnsi="仿宋"/>
                <w:sz w:val="32"/>
                <w:szCs w:val="32"/>
              </w:rPr>
            </w:pPr>
            <w:r w:rsidRPr="00762674">
              <w:rPr>
                <w:rFonts w:ascii="楷体_GB2312" w:eastAsia="楷体_GB2312" w:hAnsi="仿宋" w:hint="eastAsia"/>
                <w:sz w:val="32"/>
                <w:szCs w:val="32"/>
              </w:rPr>
              <w:t>2803</w:t>
            </w:r>
          </w:p>
        </w:tc>
        <w:tc>
          <w:tcPr>
            <w:tcW w:w="672" w:type="pct"/>
            <w:tcBorders>
              <w:top w:val="single" w:sz="4" w:space="0" w:color="auto"/>
              <w:left w:val="nil"/>
              <w:bottom w:val="single" w:sz="4" w:space="0" w:color="auto"/>
              <w:right w:val="single" w:sz="4" w:space="0" w:color="auto"/>
            </w:tcBorders>
            <w:shd w:val="clear" w:color="auto" w:fill="auto"/>
            <w:noWrap/>
            <w:vAlign w:val="center"/>
          </w:tcPr>
          <w:p w:rsidR="00093982" w:rsidRPr="00762674" w:rsidRDefault="00EF6E7E" w:rsidP="00EF6E7E">
            <w:pPr>
              <w:jc w:val="center"/>
              <w:rPr>
                <w:rFonts w:ascii="楷体_GB2312" w:eastAsia="楷体_GB2312" w:hAnsi="仿宋"/>
                <w:sz w:val="32"/>
                <w:szCs w:val="32"/>
              </w:rPr>
            </w:pPr>
            <w:r>
              <w:rPr>
                <w:rFonts w:ascii="楷体_GB2312" w:eastAsia="楷体_GB2312" w:hAnsi="仿宋" w:hint="eastAsia"/>
                <w:sz w:val="32"/>
                <w:szCs w:val="32"/>
              </w:rPr>
              <w:t>-76.8%</w:t>
            </w:r>
          </w:p>
        </w:tc>
        <w:tc>
          <w:tcPr>
            <w:tcW w:w="549" w:type="pct"/>
            <w:tcBorders>
              <w:top w:val="single" w:sz="4" w:space="0" w:color="auto"/>
              <w:left w:val="nil"/>
              <w:bottom w:val="single" w:sz="4" w:space="0" w:color="auto"/>
              <w:right w:val="single" w:sz="4" w:space="0" w:color="auto"/>
            </w:tcBorders>
            <w:shd w:val="clear" w:color="auto" w:fill="auto"/>
            <w:noWrap/>
            <w:vAlign w:val="center"/>
          </w:tcPr>
          <w:p w:rsidR="00093982" w:rsidRPr="00762674" w:rsidRDefault="00627CD8" w:rsidP="00ED12C9">
            <w:pPr>
              <w:jc w:val="center"/>
              <w:rPr>
                <w:rFonts w:ascii="楷体_GB2312" w:eastAsia="楷体_GB2312" w:hAnsi="仿宋"/>
                <w:sz w:val="32"/>
                <w:szCs w:val="32"/>
              </w:rPr>
            </w:pPr>
            <w:r w:rsidRPr="00762674">
              <w:rPr>
                <w:rFonts w:ascii="楷体_GB2312" w:eastAsia="楷体_GB2312" w:hAnsi="仿宋" w:hint="eastAsia"/>
                <w:sz w:val="32"/>
                <w:szCs w:val="32"/>
              </w:rPr>
              <w:t>961</w:t>
            </w:r>
          </w:p>
        </w:tc>
        <w:tc>
          <w:tcPr>
            <w:tcW w:w="655" w:type="pct"/>
            <w:tcBorders>
              <w:top w:val="single" w:sz="4" w:space="0" w:color="auto"/>
              <w:left w:val="nil"/>
              <w:bottom w:val="single" w:sz="4" w:space="0" w:color="auto"/>
              <w:right w:val="single" w:sz="4" w:space="0" w:color="auto"/>
            </w:tcBorders>
            <w:shd w:val="clear" w:color="auto" w:fill="auto"/>
            <w:noWrap/>
            <w:vAlign w:val="center"/>
          </w:tcPr>
          <w:p w:rsidR="00093982" w:rsidRPr="00762674" w:rsidRDefault="00EF6E7E" w:rsidP="004D18AD">
            <w:pPr>
              <w:jc w:val="center"/>
              <w:rPr>
                <w:rFonts w:ascii="楷体_GB2312" w:eastAsia="楷体_GB2312" w:hAnsi="仿宋"/>
                <w:sz w:val="32"/>
                <w:szCs w:val="32"/>
              </w:rPr>
            </w:pPr>
            <w:r>
              <w:rPr>
                <w:rFonts w:ascii="楷体_GB2312" w:eastAsia="楷体_GB2312" w:hAnsi="仿宋" w:hint="eastAsia"/>
                <w:sz w:val="32"/>
                <w:szCs w:val="32"/>
              </w:rPr>
              <w:t>-32.4%</w:t>
            </w:r>
          </w:p>
        </w:tc>
        <w:tc>
          <w:tcPr>
            <w:tcW w:w="833" w:type="pct"/>
            <w:tcBorders>
              <w:top w:val="single" w:sz="4" w:space="0" w:color="auto"/>
              <w:left w:val="nil"/>
              <w:bottom w:val="single" w:sz="4" w:space="0" w:color="auto"/>
              <w:right w:val="single" w:sz="4" w:space="0" w:color="auto"/>
            </w:tcBorders>
            <w:shd w:val="clear" w:color="auto" w:fill="auto"/>
            <w:noWrap/>
            <w:vAlign w:val="center"/>
          </w:tcPr>
          <w:p w:rsidR="00093982" w:rsidRPr="00762674" w:rsidRDefault="00EF6E7E" w:rsidP="004D18AD">
            <w:pPr>
              <w:jc w:val="center"/>
              <w:rPr>
                <w:rFonts w:ascii="楷体_GB2312" w:eastAsia="楷体_GB2312" w:hAnsi="仿宋"/>
                <w:sz w:val="32"/>
                <w:szCs w:val="32"/>
              </w:rPr>
            </w:pPr>
            <w:r>
              <w:rPr>
                <w:rFonts w:ascii="楷体_GB2312" w:eastAsia="楷体_GB2312" w:hAnsi="仿宋" w:hint="eastAsia"/>
                <w:sz w:val="32"/>
                <w:szCs w:val="32"/>
              </w:rPr>
              <w:t>-135</w:t>
            </w:r>
          </w:p>
        </w:tc>
        <w:tc>
          <w:tcPr>
            <w:tcW w:w="832" w:type="pct"/>
            <w:tcBorders>
              <w:top w:val="single" w:sz="4" w:space="0" w:color="auto"/>
              <w:left w:val="nil"/>
              <w:bottom w:val="single" w:sz="4" w:space="0" w:color="auto"/>
              <w:right w:val="single" w:sz="4" w:space="0" w:color="auto"/>
            </w:tcBorders>
            <w:shd w:val="clear" w:color="auto" w:fill="auto"/>
            <w:noWrap/>
            <w:vAlign w:val="center"/>
          </w:tcPr>
          <w:p w:rsidR="00093982" w:rsidRPr="00762674" w:rsidRDefault="00EF6E7E" w:rsidP="00762674">
            <w:pPr>
              <w:ind w:firstLineChars="100" w:firstLine="320"/>
              <w:rPr>
                <w:rFonts w:ascii="楷体_GB2312" w:eastAsia="楷体_GB2312" w:hAnsi="宋体" w:cs="宋体"/>
                <w:sz w:val="32"/>
                <w:szCs w:val="32"/>
              </w:rPr>
            </w:pPr>
            <w:r>
              <w:rPr>
                <w:rFonts w:ascii="楷体_GB2312" w:eastAsia="楷体_GB2312" w:hAnsi="宋体" w:cs="宋体" w:hint="eastAsia"/>
                <w:sz w:val="32"/>
                <w:szCs w:val="32"/>
              </w:rPr>
              <w:t>2247</w:t>
            </w:r>
          </w:p>
        </w:tc>
      </w:tr>
    </w:tbl>
    <w:p w:rsidR="001F54AE" w:rsidRPr="00762674" w:rsidRDefault="001B1751" w:rsidP="00762674">
      <w:pPr>
        <w:ind w:firstLineChars="200" w:firstLine="640"/>
        <w:jc w:val="left"/>
        <w:rPr>
          <w:rFonts w:ascii="楷体_GB2312" w:eastAsia="楷体_GB2312"/>
          <w:sz w:val="32"/>
          <w:szCs w:val="32"/>
        </w:rPr>
      </w:pPr>
      <w:r w:rsidRPr="00762674">
        <w:rPr>
          <w:rFonts w:ascii="楷体_GB2312" w:eastAsia="楷体_GB2312" w:hint="eastAsia"/>
          <w:sz w:val="32"/>
          <w:szCs w:val="32"/>
        </w:rPr>
        <w:t>20</w:t>
      </w:r>
      <w:r w:rsidR="00603BA2" w:rsidRPr="00762674">
        <w:rPr>
          <w:rFonts w:ascii="楷体_GB2312" w:eastAsia="楷体_GB2312" w:hint="eastAsia"/>
          <w:sz w:val="32"/>
          <w:szCs w:val="32"/>
        </w:rPr>
        <w:t>2</w:t>
      </w:r>
      <w:r w:rsidR="00EF6E7E">
        <w:rPr>
          <w:rFonts w:ascii="楷体_GB2312" w:eastAsia="楷体_GB2312" w:hint="eastAsia"/>
          <w:sz w:val="32"/>
          <w:szCs w:val="32"/>
        </w:rPr>
        <w:t>1</w:t>
      </w:r>
      <w:r w:rsidRPr="00762674">
        <w:rPr>
          <w:rFonts w:ascii="楷体_GB2312" w:eastAsia="楷体_GB2312" w:hint="eastAsia"/>
          <w:sz w:val="32"/>
          <w:szCs w:val="32"/>
        </w:rPr>
        <w:t>年</w:t>
      </w:r>
      <w:r w:rsidR="00B957FD" w:rsidRPr="00762674">
        <w:rPr>
          <w:rFonts w:ascii="楷体_GB2312" w:eastAsia="楷体_GB2312" w:hint="eastAsia"/>
          <w:sz w:val="32"/>
          <w:szCs w:val="32"/>
        </w:rPr>
        <w:t>1季度</w:t>
      </w:r>
      <w:r w:rsidRPr="00762674">
        <w:rPr>
          <w:rFonts w:ascii="楷体_GB2312" w:eastAsia="楷体_GB2312" w:hint="eastAsia"/>
          <w:sz w:val="32"/>
          <w:szCs w:val="32"/>
        </w:rPr>
        <w:t>全市</w:t>
      </w:r>
      <w:r w:rsidR="00603BA2" w:rsidRPr="00762674">
        <w:rPr>
          <w:rFonts w:ascii="楷体_GB2312" w:eastAsia="楷体_GB2312" w:hint="eastAsia"/>
          <w:sz w:val="32"/>
          <w:szCs w:val="32"/>
        </w:rPr>
        <w:t>补充医疗保险、</w:t>
      </w:r>
      <w:r w:rsidRPr="00762674">
        <w:rPr>
          <w:rFonts w:ascii="楷体_GB2312" w:eastAsia="楷体_GB2312" w:hint="eastAsia"/>
          <w:sz w:val="32"/>
          <w:szCs w:val="32"/>
        </w:rPr>
        <w:t>公务员医疗补助</w:t>
      </w:r>
      <w:r w:rsidR="00603BA2" w:rsidRPr="00762674">
        <w:rPr>
          <w:rFonts w:ascii="楷体_GB2312" w:eastAsia="楷体_GB2312" w:hint="eastAsia"/>
          <w:sz w:val="32"/>
          <w:szCs w:val="32"/>
        </w:rPr>
        <w:t>和离休人员</w:t>
      </w:r>
      <w:r w:rsidRPr="00762674">
        <w:rPr>
          <w:rFonts w:ascii="楷体_GB2312" w:eastAsia="楷体_GB2312" w:hint="eastAsia"/>
          <w:sz w:val="32"/>
          <w:szCs w:val="32"/>
        </w:rPr>
        <w:t>医疗保险基金</w:t>
      </w:r>
      <w:r w:rsidR="00B957FD" w:rsidRPr="00762674">
        <w:rPr>
          <w:rFonts w:ascii="楷体_GB2312" w:eastAsia="楷体_GB2312" w:hint="eastAsia"/>
          <w:sz w:val="32"/>
          <w:szCs w:val="32"/>
        </w:rPr>
        <w:t>较同期</w:t>
      </w:r>
      <w:r w:rsidR="00603BA2" w:rsidRPr="00762674">
        <w:rPr>
          <w:rFonts w:ascii="楷体_GB2312" w:eastAsia="楷体_GB2312" w:hint="eastAsia"/>
          <w:sz w:val="32"/>
          <w:szCs w:val="32"/>
        </w:rPr>
        <w:t>增减幅度较大</w:t>
      </w:r>
      <w:r w:rsidR="00B957FD" w:rsidRPr="00762674">
        <w:rPr>
          <w:rFonts w:ascii="楷体_GB2312" w:eastAsia="楷体_GB2312" w:hint="eastAsia"/>
          <w:sz w:val="32"/>
          <w:szCs w:val="32"/>
        </w:rPr>
        <w:t>，主要原因</w:t>
      </w:r>
      <w:r w:rsidR="00603BA2" w:rsidRPr="00762674">
        <w:rPr>
          <w:rFonts w:ascii="楷体_GB2312" w:eastAsia="楷体_GB2312" w:hint="eastAsia"/>
          <w:sz w:val="32"/>
          <w:szCs w:val="32"/>
        </w:rPr>
        <w:t>：一离休人员收入较去年同期</w:t>
      </w:r>
      <w:r w:rsidR="00406944">
        <w:rPr>
          <w:rFonts w:ascii="楷体_GB2312" w:eastAsia="楷体_GB2312" w:hint="eastAsia"/>
          <w:sz w:val="32"/>
          <w:szCs w:val="32"/>
        </w:rPr>
        <w:t>减少76.8</w:t>
      </w:r>
      <w:r w:rsidR="00603BA2" w:rsidRPr="00762674">
        <w:rPr>
          <w:rFonts w:ascii="楷体_GB2312" w:eastAsia="楷体_GB2312" w:hint="eastAsia"/>
          <w:sz w:val="32"/>
          <w:szCs w:val="32"/>
        </w:rPr>
        <w:t>%</w:t>
      </w:r>
      <w:r w:rsidR="00406944">
        <w:rPr>
          <w:rFonts w:ascii="楷体_GB2312" w:eastAsia="楷体_GB2312" w:hint="eastAsia"/>
          <w:sz w:val="32"/>
          <w:szCs w:val="32"/>
        </w:rPr>
        <w:t>，</w:t>
      </w:r>
      <w:r w:rsidR="00603BA2" w:rsidRPr="00762674">
        <w:rPr>
          <w:rFonts w:ascii="楷体_GB2312" w:eastAsia="楷体_GB2312" w:hint="eastAsia"/>
          <w:sz w:val="32"/>
          <w:szCs w:val="32"/>
        </w:rPr>
        <w:t>主要是财政补助1季度</w:t>
      </w:r>
      <w:r w:rsidR="00406944">
        <w:rPr>
          <w:rFonts w:ascii="楷体_GB2312" w:eastAsia="楷体_GB2312" w:hint="eastAsia"/>
          <w:sz w:val="32"/>
          <w:szCs w:val="32"/>
        </w:rPr>
        <w:t>没有</w:t>
      </w:r>
      <w:r w:rsidR="00603BA2" w:rsidRPr="00762674">
        <w:rPr>
          <w:rFonts w:ascii="楷体_GB2312" w:eastAsia="楷体_GB2312" w:hint="eastAsia"/>
          <w:sz w:val="32"/>
          <w:szCs w:val="32"/>
        </w:rPr>
        <w:t>到位</w:t>
      </w:r>
      <w:r w:rsidR="00406944">
        <w:rPr>
          <w:rFonts w:ascii="楷体_GB2312" w:eastAsia="楷体_GB2312" w:hint="eastAsia"/>
          <w:sz w:val="32"/>
          <w:szCs w:val="32"/>
        </w:rPr>
        <w:t>，</w:t>
      </w:r>
      <w:r w:rsidR="00406944" w:rsidRPr="00762674">
        <w:rPr>
          <w:rFonts w:ascii="楷体_GB2312" w:eastAsia="楷体_GB2312" w:hint="eastAsia"/>
          <w:sz w:val="32"/>
          <w:szCs w:val="32"/>
        </w:rPr>
        <w:t>离休人员</w:t>
      </w:r>
      <w:r w:rsidR="00406944">
        <w:rPr>
          <w:rFonts w:ascii="楷体_GB2312" w:eastAsia="楷体_GB2312" w:hint="eastAsia"/>
          <w:sz w:val="32"/>
          <w:szCs w:val="32"/>
        </w:rPr>
        <w:t>支出</w:t>
      </w:r>
      <w:r w:rsidR="00406944" w:rsidRPr="00762674">
        <w:rPr>
          <w:rFonts w:ascii="楷体_GB2312" w:eastAsia="楷体_GB2312" w:hint="eastAsia"/>
          <w:sz w:val="32"/>
          <w:szCs w:val="32"/>
        </w:rPr>
        <w:t>较去年同期</w:t>
      </w:r>
      <w:r w:rsidR="00406944">
        <w:rPr>
          <w:rFonts w:ascii="楷体_GB2312" w:eastAsia="楷体_GB2312" w:hint="eastAsia"/>
          <w:sz w:val="32"/>
          <w:szCs w:val="32"/>
        </w:rPr>
        <w:t>减少32.4</w:t>
      </w:r>
      <w:r w:rsidR="00406944" w:rsidRPr="00762674">
        <w:rPr>
          <w:rFonts w:ascii="楷体_GB2312" w:eastAsia="楷体_GB2312" w:hint="eastAsia"/>
          <w:sz w:val="32"/>
          <w:szCs w:val="32"/>
        </w:rPr>
        <w:t>%</w:t>
      </w:r>
      <w:r w:rsidR="00406944">
        <w:rPr>
          <w:rFonts w:ascii="楷体_GB2312" w:eastAsia="楷体_GB2312" w:hint="eastAsia"/>
          <w:sz w:val="32"/>
          <w:szCs w:val="32"/>
        </w:rPr>
        <w:t>，部分医疗机构尚未结算</w:t>
      </w:r>
      <w:r w:rsidR="00603BA2" w:rsidRPr="00762674">
        <w:rPr>
          <w:rFonts w:ascii="楷体_GB2312" w:eastAsia="楷体_GB2312" w:hint="eastAsia"/>
          <w:sz w:val="32"/>
          <w:szCs w:val="32"/>
        </w:rPr>
        <w:t>；二是公务员</w:t>
      </w:r>
      <w:r w:rsidR="00406944">
        <w:rPr>
          <w:rFonts w:ascii="楷体_GB2312" w:eastAsia="楷体_GB2312" w:hint="eastAsia"/>
          <w:sz w:val="32"/>
          <w:szCs w:val="32"/>
        </w:rPr>
        <w:t>支出</w:t>
      </w:r>
      <w:r w:rsidR="00603BA2" w:rsidRPr="00762674">
        <w:rPr>
          <w:rFonts w:ascii="楷体_GB2312" w:eastAsia="楷体_GB2312" w:hint="eastAsia"/>
          <w:sz w:val="32"/>
          <w:szCs w:val="32"/>
        </w:rPr>
        <w:t>较同期增长</w:t>
      </w:r>
      <w:r w:rsidR="00406944">
        <w:rPr>
          <w:rFonts w:ascii="楷体_GB2312" w:eastAsia="楷体_GB2312" w:hint="eastAsia"/>
          <w:sz w:val="32"/>
          <w:szCs w:val="32"/>
        </w:rPr>
        <w:t>378</w:t>
      </w:r>
      <w:r w:rsidR="00603BA2" w:rsidRPr="00762674">
        <w:rPr>
          <w:rFonts w:ascii="楷体_GB2312" w:eastAsia="楷体_GB2312" w:hint="eastAsia"/>
          <w:sz w:val="32"/>
          <w:szCs w:val="32"/>
        </w:rPr>
        <w:t>%，主要是</w:t>
      </w:r>
      <w:r w:rsidR="004B326A" w:rsidRPr="00762674">
        <w:rPr>
          <w:rFonts w:ascii="楷体_GB2312" w:eastAsia="楷体_GB2312" w:hint="eastAsia"/>
          <w:sz w:val="32"/>
          <w:szCs w:val="32"/>
        </w:rPr>
        <w:t>202</w:t>
      </w:r>
      <w:r w:rsidR="00406944">
        <w:rPr>
          <w:rFonts w:ascii="楷体_GB2312" w:eastAsia="楷体_GB2312" w:hint="eastAsia"/>
          <w:sz w:val="32"/>
          <w:szCs w:val="32"/>
        </w:rPr>
        <w:t>1</w:t>
      </w:r>
      <w:r w:rsidR="004B326A" w:rsidRPr="00762674">
        <w:rPr>
          <w:rFonts w:ascii="楷体_GB2312" w:eastAsia="楷体_GB2312" w:hint="eastAsia"/>
          <w:sz w:val="32"/>
          <w:szCs w:val="32"/>
        </w:rPr>
        <w:t>年</w:t>
      </w:r>
      <w:r w:rsidR="00603BA2" w:rsidRPr="00762674">
        <w:rPr>
          <w:rFonts w:ascii="楷体_GB2312" w:eastAsia="楷体_GB2312" w:hint="eastAsia"/>
          <w:sz w:val="32"/>
          <w:szCs w:val="32"/>
        </w:rPr>
        <w:t>1季度</w:t>
      </w:r>
      <w:r w:rsidR="00406944">
        <w:rPr>
          <w:rFonts w:ascii="楷体_GB2312" w:eastAsia="楷体_GB2312" w:hint="eastAsia"/>
          <w:sz w:val="32"/>
          <w:szCs w:val="32"/>
        </w:rPr>
        <w:t>大部分定点医疗机构尚未结算到位</w:t>
      </w:r>
      <w:r w:rsidR="00D924F5" w:rsidRPr="00762674">
        <w:rPr>
          <w:rFonts w:ascii="楷体_GB2312" w:eastAsia="楷体_GB2312" w:hint="eastAsia"/>
          <w:sz w:val="32"/>
          <w:szCs w:val="32"/>
        </w:rPr>
        <w:t>。2020</w:t>
      </w:r>
      <w:r w:rsidR="00D73F4F" w:rsidRPr="00762674">
        <w:rPr>
          <w:rFonts w:ascii="楷体_GB2312" w:eastAsia="楷体_GB2312" w:hint="eastAsia"/>
          <w:sz w:val="32"/>
          <w:szCs w:val="32"/>
        </w:rPr>
        <w:t>年1季度</w:t>
      </w:r>
      <w:r w:rsidRPr="00762674">
        <w:rPr>
          <w:rFonts w:ascii="楷体_GB2312" w:eastAsia="楷体_GB2312" w:hint="eastAsia"/>
          <w:sz w:val="32"/>
          <w:szCs w:val="32"/>
        </w:rPr>
        <w:t>离休干部和伤残人员医疗保障基金历年累计结余</w:t>
      </w:r>
      <w:r w:rsidR="00406944">
        <w:rPr>
          <w:rFonts w:ascii="楷体_GB2312" w:eastAsia="楷体_GB2312" w:hint="eastAsia"/>
          <w:sz w:val="32"/>
          <w:szCs w:val="32"/>
        </w:rPr>
        <w:t>2247</w:t>
      </w:r>
      <w:r w:rsidR="00E258E3" w:rsidRPr="00762674">
        <w:rPr>
          <w:rFonts w:ascii="楷体_GB2312" w:eastAsia="楷体_GB2312" w:hint="eastAsia"/>
          <w:sz w:val="32"/>
          <w:szCs w:val="32"/>
        </w:rPr>
        <w:t>万</w:t>
      </w:r>
      <w:r w:rsidRPr="00762674">
        <w:rPr>
          <w:rFonts w:ascii="楷体_GB2312" w:eastAsia="楷体_GB2312" w:hint="eastAsia"/>
          <w:sz w:val="32"/>
          <w:szCs w:val="32"/>
        </w:rPr>
        <w:t>元</w:t>
      </w:r>
      <w:r w:rsidR="00406944">
        <w:rPr>
          <w:rFonts w:ascii="楷体_GB2312" w:eastAsia="楷体_GB2312" w:hint="eastAsia"/>
          <w:sz w:val="32"/>
          <w:szCs w:val="32"/>
        </w:rPr>
        <w:t>。</w:t>
      </w:r>
    </w:p>
    <w:p w:rsidR="00CA46E2" w:rsidRDefault="001F54AE" w:rsidP="001F54AE">
      <w:pPr>
        <w:adjustRightInd w:val="0"/>
        <w:spacing w:line="600" w:lineRule="exact"/>
        <w:rPr>
          <w:rFonts w:ascii="黑体" w:eastAsia="黑体" w:hAnsi="黑体"/>
          <w:b/>
          <w:sz w:val="32"/>
          <w:szCs w:val="32"/>
        </w:rPr>
      </w:pPr>
      <w:r w:rsidRPr="00762674">
        <w:rPr>
          <w:rFonts w:ascii="楷体_GB2312" w:eastAsia="楷体_GB2312" w:hAnsi="仿宋" w:hint="eastAsia"/>
          <w:b/>
          <w:color w:val="000000"/>
          <w:spacing w:val="-4"/>
          <w:sz w:val="32"/>
          <w:szCs w:val="32"/>
        </w:rPr>
        <w:t xml:space="preserve"> </w:t>
      </w:r>
      <w:r w:rsidRPr="00762674">
        <w:rPr>
          <w:rFonts w:ascii="黑体" w:eastAsia="黑体" w:hAnsi="黑体" w:hint="eastAsia"/>
          <w:b/>
          <w:color w:val="000000"/>
          <w:spacing w:val="-4"/>
          <w:sz w:val="32"/>
          <w:szCs w:val="32"/>
        </w:rPr>
        <w:t xml:space="preserve"> </w:t>
      </w:r>
      <w:r w:rsidR="00826570">
        <w:rPr>
          <w:rFonts w:ascii="黑体" w:eastAsia="黑体" w:hAnsi="黑体" w:hint="eastAsia"/>
          <w:b/>
          <w:color w:val="000000"/>
          <w:spacing w:val="-4"/>
          <w:sz w:val="32"/>
          <w:szCs w:val="32"/>
        </w:rPr>
        <w:t xml:space="preserve"> </w:t>
      </w:r>
      <w:r w:rsidRPr="00762674">
        <w:rPr>
          <w:rFonts w:ascii="黑体" w:eastAsia="黑体" w:hAnsi="黑体" w:hint="eastAsia"/>
          <w:b/>
          <w:color w:val="000000"/>
          <w:spacing w:val="-4"/>
          <w:sz w:val="32"/>
          <w:szCs w:val="32"/>
        </w:rPr>
        <w:t xml:space="preserve"> </w:t>
      </w:r>
      <w:r w:rsidR="004D5B51" w:rsidRPr="00762674">
        <w:rPr>
          <w:rFonts w:ascii="黑体" w:eastAsia="黑体" w:hAnsi="黑体" w:hint="eastAsia"/>
          <w:b/>
          <w:sz w:val="32"/>
          <w:szCs w:val="32"/>
        </w:rPr>
        <w:t>二</w:t>
      </w:r>
      <w:r w:rsidRPr="00762674">
        <w:rPr>
          <w:rFonts w:ascii="黑体" w:eastAsia="黑体" w:hAnsi="黑体" w:hint="eastAsia"/>
          <w:b/>
          <w:sz w:val="32"/>
          <w:szCs w:val="32"/>
        </w:rPr>
        <w:t>、基金管理面临的问题和困难</w:t>
      </w:r>
    </w:p>
    <w:p w:rsidR="00826570" w:rsidRDefault="00826570" w:rsidP="00826570">
      <w:pPr>
        <w:spacing w:line="560" w:lineRule="exact"/>
        <w:ind w:firstLineChars="200" w:firstLine="640"/>
        <w:rPr>
          <w:rFonts w:ascii="仿宋_GB2312" w:eastAsia="仿宋_GB2312"/>
          <w:sz w:val="32"/>
          <w:szCs w:val="32"/>
        </w:rPr>
      </w:pPr>
      <w:r>
        <w:rPr>
          <w:rFonts w:ascii="仿宋_GB2312" w:eastAsia="仿宋_GB2312" w:hint="eastAsia"/>
          <w:sz w:val="32"/>
          <w:szCs w:val="32"/>
        </w:rPr>
        <w:t>虽然我市医疗保障事业发展势头良好，但在发展环境、政策体系、制度建设等方面仍面临不少困难和问题，主要表现在四个方面：</w:t>
      </w:r>
    </w:p>
    <w:p w:rsidR="00826570" w:rsidRDefault="00826570" w:rsidP="00826570">
      <w:pPr>
        <w:pStyle w:val="5"/>
        <w:spacing w:line="560" w:lineRule="exact"/>
        <w:ind w:left="0" w:firstLineChars="150" w:firstLine="482"/>
        <w:rPr>
          <w:rFonts w:ascii="仿宋_GB2312" w:eastAsia="仿宋_GB2312" w:hAnsi="Times New Roman"/>
          <w:sz w:val="32"/>
          <w:szCs w:val="32"/>
        </w:rPr>
      </w:pPr>
      <w:r>
        <w:rPr>
          <w:rFonts w:ascii="仿宋_GB2312" w:eastAsia="仿宋_GB2312" w:hAnsi="Times New Roman" w:hint="eastAsia"/>
          <w:b/>
          <w:sz w:val="32"/>
          <w:szCs w:val="32"/>
        </w:rPr>
        <w:t>（一）</w:t>
      </w:r>
      <w:r>
        <w:rPr>
          <w:rFonts w:ascii="仿宋_GB2312" w:eastAsia="仿宋_GB2312" w:hAnsi="Times New Roman"/>
          <w:b/>
          <w:sz w:val="32"/>
          <w:szCs w:val="32"/>
        </w:rPr>
        <w:t>市级统筹遗留问题化解难。</w:t>
      </w:r>
      <w:r>
        <w:rPr>
          <w:rFonts w:ascii="仿宋_GB2312" w:eastAsia="仿宋_GB2312" w:hAnsi="Times New Roman"/>
          <w:sz w:val="32"/>
          <w:szCs w:val="32"/>
        </w:rPr>
        <w:t>各县市区财政应补未</w:t>
      </w:r>
      <w:r>
        <w:rPr>
          <w:rFonts w:ascii="仿宋_GB2312" w:eastAsia="仿宋_GB2312" w:hAnsi="Times New Roman"/>
          <w:sz w:val="32"/>
          <w:szCs w:val="32"/>
        </w:rPr>
        <w:lastRenderedPageBreak/>
        <w:t>补医保资金历史欠账负担沉重，要求各县市区政府在实行市级统筹前全部解决历史遗留问题难度极大。从2003年开始，上一轮国企改革按照1.5万元/人的预留标准，我市解决了964家关停破产企业，14.7万余名退休人员和</w:t>
      </w:r>
      <w:r>
        <w:rPr>
          <w:rFonts w:ascii="仿宋_GB2312" w:eastAsia="仿宋_GB2312" w:hAnsi="Times New Roman"/>
          <w:sz w:val="32"/>
          <w:szCs w:val="32"/>
        </w:rPr>
        <w:t>“</w:t>
      </w:r>
      <w:r>
        <w:rPr>
          <w:rFonts w:ascii="仿宋_GB2312" w:eastAsia="仿宋_GB2312" w:hAnsi="Times New Roman"/>
          <w:sz w:val="32"/>
          <w:szCs w:val="32"/>
        </w:rPr>
        <w:t>4050</w:t>
      </w:r>
      <w:r>
        <w:rPr>
          <w:rFonts w:ascii="仿宋_GB2312" w:eastAsia="仿宋_GB2312" w:hAnsi="Times New Roman"/>
          <w:sz w:val="32"/>
          <w:szCs w:val="32"/>
        </w:rPr>
        <w:t>”</w:t>
      </w:r>
      <w:r>
        <w:rPr>
          <w:rFonts w:ascii="仿宋_GB2312" w:eastAsia="仿宋_GB2312" w:hAnsi="Times New Roman"/>
          <w:sz w:val="32"/>
          <w:szCs w:val="32"/>
        </w:rPr>
        <w:t>人员的医保问题，随着医保待遇的提升，预留的医疗保险费仅够支付6年的个人</w:t>
      </w:r>
      <w:r w:rsidR="00661C80">
        <w:rPr>
          <w:rFonts w:ascii="仿宋_GB2312" w:eastAsia="仿宋_GB2312" w:hAnsi="Times New Roman" w:hint="eastAsia"/>
          <w:sz w:val="32"/>
          <w:szCs w:val="32"/>
        </w:rPr>
        <w:t>账</w:t>
      </w:r>
      <w:r>
        <w:rPr>
          <w:rFonts w:ascii="仿宋_GB2312" w:eastAsia="仿宋_GB2312" w:hAnsi="Times New Roman"/>
          <w:sz w:val="32"/>
          <w:szCs w:val="32"/>
        </w:rPr>
        <w:t>户金，住院费用及6年后的个人</w:t>
      </w:r>
      <w:r w:rsidR="00661C80">
        <w:rPr>
          <w:rFonts w:ascii="仿宋_GB2312" w:eastAsia="仿宋_GB2312" w:hAnsi="Times New Roman" w:hint="eastAsia"/>
          <w:sz w:val="32"/>
          <w:szCs w:val="32"/>
        </w:rPr>
        <w:t>账</w:t>
      </w:r>
      <w:r>
        <w:rPr>
          <w:rFonts w:ascii="仿宋_GB2312" w:eastAsia="仿宋_GB2312" w:hAnsi="Times New Roman"/>
          <w:sz w:val="32"/>
          <w:szCs w:val="32"/>
        </w:rPr>
        <w:t>户金全靠医保统筹基金支付，至今国家仍没有明确资金补助途径。2009年，按省人社厅、省财政厅的</w:t>
      </w:r>
      <w:bookmarkStart w:id="0" w:name="_GoBack"/>
      <w:bookmarkEnd w:id="0"/>
      <w:r>
        <w:rPr>
          <w:rFonts w:ascii="仿宋_GB2312" w:eastAsia="仿宋_GB2312" w:hAnsi="Times New Roman"/>
          <w:sz w:val="32"/>
          <w:szCs w:val="32"/>
        </w:rPr>
        <w:t>要求，我市将3.9万余名特困企业、</w:t>
      </w:r>
      <w:r>
        <w:rPr>
          <w:rFonts w:ascii="仿宋_GB2312" w:eastAsia="仿宋_GB2312" w:hAnsi="Times New Roman"/>
          <w:sz w:val="32"/>
          <w:szCs w:val="32"/>
        </w:rPr>
        <w:t>“</w:t>
      </w:r>
      <w:r>
        <w:rPr>
          <w:rFonts w:ascii="仿宋_GB2312" w:eastAsia="仿宋_GB2312" w:hAnsi="Times New Roman"/>
          <w:sz w:val="32"/>
          <w:szCs w:val="32"/>
        </w:rPr>
        <w:t>僵尸企业</w:t>
      </w:r>
      <w:r>
        <w:rPr>
          <w:rFonts w:ascii="仿宋_GB2312" w:eastAsia="仿宋_GB2312" w:hAnsi="Times New Roman"/>
          <w:sz w:val="32"/>
          <w:szCs w:val="32"/>
        </w:rPr>
        <w:t>”</w:t>
      </w:r>
      <w:r>
        <w:rPr>
          <w:rFonts w:ascii="仿宋_GB2312" w:eastAsia="仿宋_GB2312" w:hAnsi="Times New Roman"/>
          <w:sz w:val="32"/>
          <w:szCs w:val="32"/>
        </w:rPr>
        <w:t>人员全部纳入职工医疗保障体系，解决了困难企业参保的问题，但财政补助资金没有全部到位，后续保障压力持续加大。</w:t>
      </w:r>
    </w:p>
    <w:p w:rsidR="00826570" w:rsidRDefault="00826570" w:rsidP="00826570">
      <w:pPr>
        <w:spacing w:line="560" w:lineRule="exact"/>
        <w:ind w:firstLineChars="200" w:firstLine="643"/>
        <w:rPr>
          <w:rFonts w:ascii="Calibri" w:eastAsia="仿宋_GB2312" w:hAnsi="Calibri"/>
          <w:sz w:val="32"/>
          <w:szCs w:val="32"/>
        </w:rPr>
      </w:pPr>
      <w:r>
        <w:rPr>
          <w:rFonts w:ascii="仿宋_GB2312" w:eastAsia="仿宋_GB2312" w:hint="eastAsia"/>
          <w:b/>
          <w:sz w:val="32"/>
          <w:szCs w:val="32"/>
        </w:rPr>
        <w:t>（二）财务</w:t>
      </w:r>
      <w:r>
        <w:rPr>
          <w:rFonts w:ascii="Calibri" w:eastAsia="仿宋_GB2312" w:hAnsi="Calibri" w:hint="eastAsia"/>
          <w:b/>
          <w:sz w:val="32"/>
          <w:szCs w:val="32"/>
        </w:rPr>
        <w:t>信息化程度有待提高</w:t>
      </w:r>
      <w:r>
        <w:rPr>
          <w:rFonts w:ascii="仿宋_GB2312" w:eastAsia="仿宋_GB2312"/>
          <w:b/>
          <w:sz w:val="32"/>
          <w:szCs w:val="32"/>
        </w:rPr>
        <w:t>。</w:t>
      </w:r>
      <w:r>
        <w:rPr>
          <w:rFonts w:ascii="仿宋_GB2312" w:eastAsia="仿宋_GB2312" w:hint="eastAsia"/>
          <w:sz w:val="32"/>
          <w:szCs w:val="32"/>
        </w:rPr>
        <w:t>根据省市要求，</w:t>
      </w:r>
      <w:r w:rsidR="000F5A74">
        <w:rPr>
          <w:rFonts w:ascii="仿宋_GB2312" w:eastAsia="仿宋_GB2312" w:hint="eastAsia"/>
          <w:sz w:val="32"/>
          <w:szCs w:val="32"/>
        </w:rPr>
        <w:t>2021</w:t>
      </w:r>
      <w:r w:rsidR="000F5A74" w:rsidRPr="00345D00">
        <w:rPr>
          <w:rFonts w:ascii="Calibri" w:eastAsia="仿宋_GB2312" w:hAnsi="Calibri" w:hint="eastAsia"/>
          <w:sz w:val="32"/>
          <w:szCs w:val="32"/>
        </w:rPr>
        <w:t>年</w:t>
      </w:r>
      <w:r>
        <w:rPr>
          <w:rFonts w:ascii="仿宋_GB2312" w:eastAsia="仿宋_GB2312" w:hint="eastAsia"/>
          <w:sz w:val="32"/>
          <w:szCs w:val="32"/>
        </w:rPr>
        <w:t>9月</w:t>
      </w:r>
      <w:r>
        <w:rPr>
          <w:rFonts w:ascii="仿宋_GB2312" w:eastAsia="仿宋_GB2312" w:hAnsi="宋体" w:hint="eastAsia"/>
          <w:spacing w:val="4"/>
          <w:kern w:val="0"/>
          <w:sz w:val="32"/>
          <w:szCs w:val="32"/>
        </w:rPr>
        <w:t>国家医保信息平台正式上线</w:t>
      </w:r>
      <w:r>
        <w:rPr>
          <w:rFonts w:ascii="Calibri" w:eastAsia="仿宋_GB2312" w:hAnsi="Calibri" w:hint="eastAsia"/>
          <w:sz w:val="32"/>
          <w:szCs w:val="32"/>
        </w:rPr>
        <w:t>，对我市的基金财务工作新要求，无论是工作量还是工作流程以及对县市区财务监督指导工作都有新高度。但目前财务软件尚未完善，部分核算功能尚未完善，给财务工作带来较大困难。</w:t>
      </w:r>
    </w:p>
    <w:p w:rsidR="00826570" w:rsidRDefault="00826570" w:rsidP="00826570">
      <w:pPr>
        <w:spacing w:line="560" w:lineRule="exact"/>
        <w:ind w:firstLineChars="150" w:firstLine="482"/>
        <w:rPr>
          <w:rFonts w:ascii="仿宋_GB2312" w:eastAsia="仿宋_GB2312"/>
          <w:sz w:val="32"/>
          <w:szCs w:val="32"/>
        </w:rPr>
      </w:pPr>
      <w:r>
        <w:rPr>
          <w:rFonts w:ascii="仿宋_GB2312" w:eastAsia="仿宋_GB2312" w:hint="eastAsia"/>
          <w:b/>
          <w:sz w:val="32"/>
          <w:szCs w:val="32"/>
        </w:rPr>
        <w:t>（三）</w:t>
      </w:r>
      <w:r>
        <w:rPr>
          <w:rFonts w:ascii="仿宋_GB2312" w:eastAsia="仿宋_GB2312"/>
          <w:b/>
          <w:sz w:val="32"/>
          <w:szCs w:val="32"/>
        </w:rPr>
        <w:t>经办机构人员经费保障不</w:t>
      </w:r>
      <w:r>
        <w:rPr>
          <w:rFonts w:ascii="仿宋_GB2312" w:eastAsia="仿宋_GB2312" w:hint="eastAsia"/>
          <w:b/>
          <w:sz w:val="32"/>
          <w:szCs w:val="32"/>
        </w:rPr>
        <w:t>足</w:t>
      </w:r>
      <w:r>
        <w:rPr>
          <w:rFonts w:ascii="仿宋_GB2312" w:eastAsia="仿宋_GB2312"/>
          <w:b/>
          <w:sz w:val="32"/>
          <w:szCs w:val="32"/>
        </w:rPr>
        <w:t>。</w:t>
      </w:r>
      <w:r>
        <w:rPr>
          <w:rFonts w:ascii="仿宋_GB2312" w:eastAsia="仿宋_GB2312"/>
          <w:sz w:val="32"/>
          <w:szCs w:val="32"/>
        </w:rPr>
        <w:t>市本级和各县市区医疗保障经办机构都普遍存在人员编制、经费保障不足等问题，严重影响全市医疗保障事业发展。</w:t>
      </w:r>
    </w:p>
    <w:p w:rsidR="00826570" w:rsidRDefault="00826570" w:rsidP="0082657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（四）医保费征管职责还未理顺。</w:t>
      </w:r>
      <w:r>
        <w:rPr>
          <w:rFonts w:ascii="仿宋_GB2312" w:eastAsia="仿宋_GB2312" w:hint="eastAsia"/>
          <w:sz w:val="32"/>
          <w:szCs w:val="32"/>
        </w:rPr>
        <w:t>目前，我市医保征缴工作已完全移交税务，但税务、人民银行、财政和医保部门之间未建立对账机制，未明确数据传送规则、对账截止时点和资金划拨规则，导致医保基金暂时性少收短收。</w:t>
      </w:r>
    </w:p>
    <w:p w:rsidR="00826570" w:rsidRDefault="00826570" w:rsidP="00826570">
      <w:pPr>
        <w:spacing w:line="560" w:lineRule="exact"/>
        <w:ind w:firstLineChars="200" w:firstLine="640"/>
        <w:rPr>
          <w:rFonts w:ascii="黑体" w:eastAsia="黑体" w:hAnsi="黑体"/>
          <w:sz w:val="32"/>
          <w:szCs w:val="32"/>
        </w:rPr>
      </w:pPr>
      <w:r>
        <w:rPr>
          <w:rFonts w:ascii="黑体" w:eastAsia="黑体" w:hAnsi="黑体" w:hint="eastAsia"/>
          <w:sz w:val="32"/>
          <w:szCs w:val="32"/>
        </w:rPr>
        <w:t>三、意见及下一步计划</w:t>
      </w:r>
    </w:p>
    <w:p w:rsidR="00826570" w:rsidRDefault="00826570" w:rsidP="00826570">
      <w:pPr>
        <w:spacing w:line="560" w:lineRule="exact"/>
        <w:ind w:firstLineChars="200" w:firstLine="643"/>
        <w:rPr>
          <w:rFonts w:eastAsia="仿宋_GB2312"/>
          <w:sz w:val="32"/>
          <w:szCs w:val="32"/>
        </w:rPr>
      </w:pPr>
      <w:r>
        <w:rPr>
          <w:rFonts w:eastAsia="仿宋_GB2312" w:hint="eastAsia"/>
          <w:b/>
          <w:bCs/>
          <w:sz w:val="32"/>
          <w:szCs w:val="32"/>
        </w:rPr>
        <w:lastRenderedPageBreak/>
        <w:t>（一）深化药品和医用耗材集中带量采购。</w:t>
      </w:r>
      <w:r>
        <w:rPr>
          <w:rFonts w:eastAsia="仿宋_GB2312"/>
          <w:sz w:val="32"/>
          <w:szCs w:val="32"/>
        </w:rPr>
        <w:t>全面落实《株洲市医药集中带量采购及相关配套改革试点工作实施方案》提出的各项目标任务，坚持招采合一，量价挂钩，推进医药集中带量采购常态化机制建设，全面实行药品、医用耗材集中带量采购。完善医药集中带量采购节约医保资金结余留用政策，促进中选产品优先合理使用。</w:t>
      </w:r>
    </w:p>
    <w:p w:rsidR="00826570" w:rsidRDefault="00826570" w:rsidP="00826570">
      <w:pPr>
        <w:spacing w:line="560" w:lineRule="exact"/>
        <w:ind w:firstLineChars="200" w:firstLine="643"/>
        <w:rPr>
          <w:rFonts w:eastAsia="仿宋_GB2312"/>
          <w:sz w:val="32"/>
          <w:szCs w:val="32"/>
        </w:rPr>
      </w:pPr>
      <w:r>
        <w:rPr>
          <w:rFonts w:eastAsia="仿宋_GB2312" w:hint="eastAsia"/>
          <w:b/>
          <w:bCs/>
          <w:sz w:val="32"/>
          <w:szCs w:val="32"/>
        </w:rPr>
        <w:t>（二）推进长株潭医保统筹。</w:t>
      </w:r>
      <w:r>
        <w:rPr>
          <w:rFonts w:eastAsia="仿宋_GB2312" w:hint="eastAsia"/>
          <w:sz w:val="32"/>
          <w:szCs w:val="32"/>
        </w:rPr>
        <w:t>按照“维护公平、风险共济、责任分担、优化服务”的原则，统一长株潭三市医保基本政策、业务流程、信息系统，建立风险调剂金制度，推动区域内居民医疗保障同城同结算、同城同定点、同城同年限，为推进基本医保省级统筹探索经验。</w:t>
      </w:r>
    </w:p>
    <w:p w:rsidR="00826570" w:rsidRDefault="00826570" w:rsidP="00826570">
      <w:pPr>
        <w:spacing w:line="560" w:lineRule="exact"/>
        <w:ind w:firstLineChars="200" w:firstLine="643"/>
        <w:rPr>
          <w:rFonts w:eastAsia="仿宋_GB2312"/>
          <w:sz w:val="32"/>
          <w:szCs w:val="32"/>
        </w:rPr>
      </w:pPr>
      <w:r>
        <w:rPr>
          <w:rFonts w:eastAsia="仿宋_GB2312" w:hint="eastAsia"/>
          <w:b/>
          <w:bCs/>
          <w:sz w:val="32"/>
          <w:szCs w:val="32"/>
        </w:rPr>
        <w:t>（三）优化异地就医直接结算。</w:t>
      </w:r>
      <w:r>
        <w:rPr>
          <w:rFonts w:eastAsia="仿宋_GB2312"/>
          <w:sz w:val="32"/>
          <w:szCs w:val="32"/>
        </w:rPr>
        <w:t>落实国家、省跨省异地就医结算要求，实现跨省和省内异地就医费用联网结算。进一步简化异地就医备案手续，完善医疗机构、经办窗口、电话、线上客户端、备案小程序等多渠道备案方式，丰富异地就医查询渠道。强化异地就医费用监管。加大对异地就医结算资金监管力度，实现异地就医人员就诊数据同本地参保就医人员统一监控。完善业务协同机制。将异地就医联网结算管理纳入定点医药机构服务协议内容。健全异地就医结算工作机制，实现业务协同和信息互联共享。</w:t>
      </w:r>
    </w:p>
    <w:p w:rsidR="00826570" w:rsidRDefault="00826570" w:rsidP="00826570">
      <w:pPr>
        <w:spacing w:line="560" w:lineRule="exact"/>
        <w:ind w:firstLineChars="200" w:firstLine="643"/>
        <w:rPr>
          <w:rFonts w:eastAsia="仿宋_GB2312"/>
          <w:sz w:val="32"/>
          <w:szCs w:val="32"/>
        </w:rPr>
      </w:pPr>
      <w:r>
        <w:rPr>
          <w:rFonts w:eastAsia="仿宋_GB2312" w:hint="eastAsia"/>
          <w:b/>
          <w:bCs/>
          <w:sz w:val="32"/>
          <w:szCs w:val="32"/>
        </w:rPr>
        <w:t>（四）建立健全经办管理服务体系。</w:t>
      </w:r>
      <w:r>
        <w:rPr>
          <w:rFonts w:eastAsia="仿宋_GB2312"/>
          <w:sz w:val="32"/>
          <w:szCs w:val="32"/>
        </w:rPr>
        <w:t>大力推进服务下沉，实现市、县、乡镇</w:t>
      </w:r>
      <w:r>
        <w:rPr>
          <w:rFonts w:eastAsia="仿宋_GB2312" w:hint="eastAsia"/>
          <w:sz w:val="32"/>
          <w:szCs w:val="32"/>
        </w:rPr>
        <w:t>（</w:t>
      </w:r>
      <w:r>
        <w:rPr>
          <w:rFonts w:eastAsia="仿宋_GB2312"/>
          <w:sz w:val="32"/>
          <w:szCs w:val="32"/>
        </w:rPr>
        <w:t>街道</w:t>
      </w:r>
      <w:r>
        <w:rPr>
          <w:rFonts w:eastAsia="仿宋_GB2312" w:hint="eastAsia"/>
          <w:sz w:val="32"/>
          <w:szCs w:val="32"/>
        </w:rPr>
        <w:t>）</w:t>
      </w:r>
      <w:r>
        <w:rPr>
          <w:rFonts w:eastAsia="仿宋_GB2312"/>
          <w:sz w:val="32"/>
          <w:szCs w:val="32"/>
        </w:rPr>
        <w:t>、村</w:t>
      </w:r>
      <w:r>
        <w:rPr>
          <w:rFonts w:eastAsia="仿宋_GB2312" w:hint="eastAsia"/>
          <w:sz w:val="32"/>
          <w:szCs w:val="32"/>
        </w:rPr>
        <w:t>（</w:t>
      </w:r>
      <w:r>
        <w:rPr>
          <w:rFonts w:eastAsia="仿宋_GB2312"/>
          <w:sz w:val="32"/>
          <w:szCs w:val="32"/>
        </w:rPr>
        <w:t>社区</w:t>
      </w:r>
      <w:r>
        <w:rPr>
          <w:rFonts w:eastAsia="仿宋_GB2312" w:hint="eastAsia"/>
          <w:sz w:val="32"/>
          <w:szCs w:val="32"/>
        </w:rPr>
        <w:t>）</w:t>
      </w:r>
      <w:r>
        <w:rPr>
          <w:rFonts w:eastAsia="仿宋_GB2312"/>
          <w:sz w:val="32"/>
          <w:szCs w:val="32"/>
        </w:rPr>
        <w:t>全覆盖，提高医疗保障经办管理服务可及性。实行首问负责制、限时办结制、服务承诺制等工作制度，着力打造优质高效，亲民便民的医</w:t>
      </w:r>
      <w:r>
        <w:rPr>
          <w:rFonts w:eastAsia="仿宋_GB2312"/>
          <w:sz w:val="32"/>
          <w:szCs w:val="32"/>
        </w:rPr>
        <w:lastRenderedPageBreak/>
        <w:t>疗保障服务窗口。对业务经办人员进行系统培训，提高经办管理水平</w:t>
      </w:r>
      <w:r>
        <w:rPr>
          <w:rFonts w:eastAsia="仿宋_GB2312" w:hint="eastAsia"/>
          <w:sz w:val="32"/>
          <w:szCs w:val="32"/>
        </w:rPr>
        <w:t>，</w:t>
      </w:r>
      <w:r>
        <w:rPr>
          <w:rFonts w:eastAsia="仿宋_GB2312"/>
          <w:sz w:val="32"/>
          <w:szCs w:val="32"/>
        </w:rPr>
        <w:t>实现医疗保障一站式服务、一窗口办理、一单制结算。推进医保电子凭证应用。</w:t>
      </w:r>
    </w:p>
    <w:p w:rsidR="00826570" w:rsidRDefault="00826570" w:rsidP="00826570">
      <w:pPr>
        <w:tabs>
          <w:tab w:val="left" w:pos="1837"/>
        </w:tabs>
        <w:spacing w:line="560" w:lineRule="exact"/>
        <w:ind w:firstLineChars="200" w:firstLine="643"/>
        <w:jc w:val="left"/>
        <w:rPr>
          <w:rFonts w:eastAsia="仿宋_GB2312"/>
          <w:sz w:val="32"/>
          <w:szCs w:val="32"/>
        </w:rPr>
      </w:pPr>
      <w:r>
        <w:rPr>
          <w:rFonts w:eastAsia="仿宋_GB2312" w:hint="eastAsia"/>
          <w:b/>
          <w:bCs/>
          <w:sz w:val="32"/>
          <w:szCs w:val="32"/>
        </w:rPr>
        <w:t>（五）加大医保基金监管力度。</w:t>
      </w:r>
      <w:r>
        <w:rPr>
          <w:rFonts w:eastAsia="仿宋_GB2312"/>
          <w:sz w:val="32"/>
          <w:szCs w:val="32"/>
        </w:rPr>
        <w:t>坚持基金监管</w:t>
      </w:r>
      <w:r>
        <w:rPr>
          <w:rFonts w:eastAsia="仿宋_GB2312"/>
          <w:sz w:val="32"/>
          <w:szCs w:val="32"/>
        </w:rPr>
        <w:t>“</w:t>
      </w:r>
      <w:r>
        <w:rPr>
          <w:rFonts w:eastAsia="仿宋_GB2312"/>
          <w:sz w:val="32"/>
          <w:szCs w:val="32"/>
        </w:rPr>
        <w:t>全覆盖、无禁区、零容忍</w:t>
      </w:r>
      <w:r>
        <w:rPr>
          <w:rFonts w:eastAsia="仿宋_GB2312"/>
          <w:sz w:val="32"/>
          <w:szCs w:val="32"/>
        </w:rPr>
        <w:t>”</w:t>
      </w:r>
      <w:r>
        <w:rPr>
          <w:rFonts w:eastAsia="仿宋_GB2312"/>
          <w:sz w:val="32"/>
          <w:szCs w:val="32"/>
        </w:rPr>
        <w:t>，持续两类机构医保违法违规行为专项治理工作，继续保持高压态势，对欺诈骗保行为发现一起、查处一起、曝光一起，实现监督检查率</w:t>
      </w:r>
      <w:r>
        <w:rPr>
          <w:rFonts w:eastAsia="仿宋_GB2312"/>
          <w:sz w:val="32"/>
          <w:szCs w:val="32"/>
        </w:rPr>
        <w:t>100%</w:t>
      </w:r>
      <w:r>
        <w:rPr>
          <w:rFonts w:eastAsia="仿宋_GB2312"/>
          <w:sz w:val="32"/>
          <w:szCs w:val="32"/>
        </w:rPr>
        <w:t>、交办查处率</w:t>
      </w:r>
      <w:r>
        <w:rPr>
          <w:rFonts w:eastAsia="仿宋_GB2312"/>
          <w:sz w:val="32"/>
          <w:szCs w:val="32"/>
        </w:rPr>
        <w:t>100%</w:t>
      </w:r>
      <w:r>
        <w:rPr>
          <w:rFonts w:eastAsia="仿宋_GB2312"/>
          <w:sz w:val="32"/>
          <w:szCs w:val="32"/>
        </w:rPr>
        <w:t>、主动曝光率</w:t>
      </w:r>
      <w:r>
        <w:rPr>
          <w:rFonts w:eastAsia="仿宋_GB2312"/>
          <w:sz w:val="32"/>
          <w:szCs w:val="32"/>
        </w:rPr>
        <w:t>100%</w:t>
      </w:r>
      <w:r>
        <w:rPr>
          <w:rFonts w:eastAsia="仿宋_GB2312"/>
          <w:sz w:val="32"/>
          <w:szCs w:val="32"/>
        </w:rPr>
        <w:t>，巩固</w:t>
      </w:r>
      <w:r>
        <w:rPr>
          <w:rFonts w:eastAsia="仿宋_GB2312" w:hint="eastAsia"/>
          <w:sz w:val="32"/>
          <w:szCs w:val="32"/>
        </w:rPr>
        <w:t>医保基金</w:t>
      </w:r>
      <w:r>
        <w:rPr>
          <w:rFonts w:eastAsia="仿宋_GB2312"/>
          <w:sz w:val="32"/>
          <w:szCs w:val="32"/>
        </w:rPr>
        <w:t>专项治理和深化打击欺诈骗保专项整治工作成果。</w:t>
      </w:r>
    </w:p>
    <w:p w:rsidR="00826570" w:rsidRDefault="00826570" w:rsidP="00826570">
      <w:pPr>
        <w:adjustRightInd w:val="0"/>
        <w:spacing w:line="580" w:lineRule="exact"/>
        <w:ind w:firstLineChars="150" w:firstLine="482"/>
        <w:rPr>
          <w:rFonts w:ascii="仿宋_GB2312" w:eastAsia="仿宋_GB2312"/>
          <w:sz w:val="32"/>
          <w:szCs w:val="32"/>
        </w:rPr>
      </w:pPr>
      <w:r>
        <w:rPr>
          <w:rFonts w:ascii="仿宋_GB2312" w:eastAsia="仿宋_GB2312" w:hint="eastAsia"/>
          <w:b/>
          <w:sz w:val="32"/>
          <w:szCs w:val="32"/>
        </w:rPr>
        <w:t>（六）提升内控管理。</w:t>
      </w:r>
      <w:r>
        <w:rPr>
          <w:rFonts w:ascii="仿宋_GB2312" w:eastAsia="仿宋_GB2312" w:hint="eastAsia"/>
          <w:sz w:val="32"/>
          <w:szCs w:val="32"/>
        </w:rPr>
        <w:t>一是加强基础工作，在简化办事手续的同时，进一步规范业务流程，夯实内控基础。二是加强业务资料的整理、归档。三是加强统计基础工作，及时传递上报各项业务数据。四是保证基金安全，通过批量拨付，简化工作流程，加强基金监督。</w:t>
      </w:r>
    </w:p>
    <w:p w:rsidR="00826570" w:rsidRDefault="00826570" w:rsidP="00826570">
      <w:pPr>
        <w:spacing w:line="560" w:lineRule="exact"/>
        <w:ind w:firstLineChars="200" w:firstLine="643"/>
        <w:rPr>
          <w:rFonts w:ascii="仿宋_GB2312" w:eastAsia="仿宋_GB2312"/>
          <w:sz w:val="32"/>
          <w:szCs w:val="32"/>
        </w:rPr>
      </w:pPr>
      <w:r>
        <w:rPr>
          <w:rFonts w:ascii="仿宋_GB2312" w:eastAsia="仿宋_GB2312" w:hint="eastAsia"/>
          <w:b/>
          <w:sz w:val="32"/>
          <w:szCs w:val="32"/>
        </w:rPr>
        <w:t>（七）理顺医保费征管职责。</w:t>
      </w:r>
      <w:r>
        <w:rPr>
          <w:rFonts w:ascii="仿宋_GB2312" w:eastAsia="仿宋_GB2312" w:hint="eastAsia"/>
          <w:sz w:val="32"/>
          <w:szCs w:val="32"/>
        </w:rPr>
        <w:t>建立对账机制，明确数据传送规则、对账截止时点和资金划拨规则，稳步推进医保费征缴职责划转。与税务部门共同做好征缴移交工作，确保在移交过程中工作不断、政策不变，不影响群众参保缴费和待遇享受。</w:t>
      </w:r>
    </w:p>
    <w:p w:rsidR="006F02B3" w:rsidRDefault="00826570" w:rsidP="00826570">
      <w:pPr>
        <w:adjustRightInd w:val="0"/>
        <w:spacing w:line="600" w:lineRule="exact"/>
        <w:ind w:firstLineChars="200" w:firstLine="643"/>
        <w:rPr>
          <w:rFonts w:ascii="楷体_GB2312" w:eastAsia="楷体_GB2312"/>
          <w:sz w:val="32"/>
          <w:szCs w:val="32"/>
        </w:rPr>
      </w:pPr>
      <w:r w:rsidRPr="00826570">
        <w:rPr>
          <w:rFonts w:ascii="仿宋_GB2312" w:eastAsia="仿宋_GB2312" w:hint="eastAsia"/>
          <w:b/>
          <w:sz w:val="32"/>
          <w:szCs w:val="32"/>
        </w:rPr>
        <w:t>（八）加强医保基金对账机制。</w:t>
      </w:r>
      <w:r w:rsidR="004D5B51" w:rsidRPr="00762674">
        <w:rPr>
          <w:rFonts w:ascii="楷体_GB2312" w:eastAsia="楷体_GB2312" w:hint="eastAsia"/>
          <w:sz w:val="32"/>
          <w:szCs w:val="32"/>
        </w:rPr>
        <w:t>医保基金征缴工作移交税务，</w:t>
      </w:r>
      <w:r w:rsidR="00406944">
        <w:rPr>
          <w:rFonts w:ascii="楷体_GB2312" w:eastAsia="楷体_GB2312" w:hint="eastAsia"/>
          <w:sz w:val="32"/>
          <w:szCs w:val="32"/>
        </w:rPr>
        <w:t>财政、税务、人民银行以及医保经办机构需加强沟通，</w:t>
      </w:r>
      <w:r w:rsidR="004D5B51" w:rsidRPr="00762674">
        <w:rPr>
          <w:rFonts w:ascii="楷体_GB2312" w:eastAsia="楷体_GB2312" w:hint="eastAsia"/>
          <w:sz w:val="32"/>
          <w:szCs w:val="32"/>
        </w:rPr>
        <w:t>理顺工作流程</w:t>
      </w:r>
      <w:r w:rsidR="00EB7C13" w:rsidRPr="00762674">
        <w:rPr>
          <w:rFonts w:ascii="楷体_GB2312" w:eastAsia="楷体_GB2312" w:hint="eastAsia"/>
          <w:sz w:val="32"/>
          <w:szCs w:val="32"/>
        </w:rPr>
        <w:t>。</w:t>
      </w:r>
      <w:r w:rsidR="004D5B51" w:rsidRPr="00762674">
        <w:rPr>
          <w:rFonts w:ascii="楷体_GB2312" w:eastAsia="楷体_GB2312" w:hint="eastAsia"/>
          <w:sz w:val="32"/>
          <w:szCs w:val="32"/>
        </w:rPr>
        <w:t>根据国家政策的要求，按照省医保局统一部署，医保基金征缴工作逐步移交税务</w:t>
      </w:r>
      <w:r w:rsidR="00406944">
        <w:rPr>
          <w:rFonts w:ascii="楷体_GB2312" w:eastAsia="楷体_GB2312" w:hint="eastAsia"/>
          <w:sz w:val="32"/>
          <w:szCs w:val="32"/>
        </w:rPr>
        <w:t>，并且在2021年1月开始各县市区征缴收入全面上解至市财政</w:t>
      </w:r>
      <w:r w:rsidR="004D5B51" w:rsidRPr="00762674">
        <w:rPr>
          <w:rFonts w:ascii="楷体_GB2312" w:eastAsia="楷体_GB2312" w:hint="eastAsia"/>
          <w:sz w:val="32"/>
          <w:szCs w:val="32"/>
        </w:rPr>
        <w:t>。</w:t>
      </w:r>
      <w:r w:rsidR="00406944">
        <w:rPr>
          <w:rFonts w:ascii="楷体_GB2312" w:eastAsia="楷体_GB2312" w:hint="eastAsia"/>
          <w:sz w:val="32"/>
          <w:szCs w:val="32"/>
        </w:rPr>
        <w:t>但</w:t>
      </w:r>
      <w:r w:rsidR="0018033F" w:rsidRPr="00762674">
        <w:rPr>
          <w:rFonts w:ascii="楷体_GB2312" w:eastAsia="楷体_GB2312" w:hint="eastAsia"/>
          <w:sz w:val="32"/>
          <w:szCs w:val="32"/>
        </w:rPr>
        <w:t>税务、国库、</w:t>
      </w:r>
      <w:r w:rsidR="0018033F" w:rsidRPr="00762674">
        <w:rPr>
          <w:rFonts w:ascii="楷体_GB2312" w:eastAsia="楷体_GB2312" w:hint="eastAsia"/>
          <w:sz w:val="32"/>
          <w:szCs w:val="32"/>
        </w:rPr>
        <w:lastRenderedPageBreak/>
        <w:t>财政和社保部门之间未建立对账机制，部门之间对数据的传送规则、对账截止时点和资金划拨规则</w:t>
      </w:r>
      <w:r w:rsidR="00EB7C13" w:rsidRPr="00762674">
        <w:rPr>
          <w:rFonts w:ascii="楷体_GB2312" w:eastAsia="楷体_GB2312" w:hint="eastAsia"/>
          <w:sz w:val="32"/>
          <w:szCs w:val="32"/>
        </w:rPr>
        <w:t>，</w:t>
      </w:r>
      <w:r w:rsidR="0018033F" w:rsidRPr="00762674">
        <w:rPr>
          <w:rFonts w:ascii="楷体_GB2312" w:eastAsia="楷体_GB2312" w:hint="eastAsia"/>
          <w:sz w:val="32"/>
          <w:szCs w:val="32"/>
        </w:rPr>
        <w:t>医保财务</w:t>
      </w:r>
      <w:r w:rsidR="00EB7C13" w:rsidRPr="00762674">
        <w:rPr>
          <w:rFonts w:ascii="楷体_GB2312" w:eastAsia="楷体_GB2312" w:hint="eastAsia"/>
          <w:sz w:val="32"/>
          <w:szCs w:val="32"/>
        </w:rPr>
        <w:t>面临很大工作压力。</w:t>
      </w:r>
      <w:r w:rsidR="0018033F" w:rsidRPr="00762674">
        <w:rPr>
          <w:rFonts w:ascii="楷体_GB2312" w:eastAsia="楷体_GB2312" w:hint="eastAsia"/>
          <w:sz w:val="32"/>
          <w:szCs w:val="32"/>
        </w:rPr>
        <w:t>我们</w:t>
      </w:r>
      <w:r w:rsidR="000C352A" w:rsidRPr="00762674">
        <w:rPr>
          <w:rFonts w:ascii="楷体_GB2312" w:eastAsia="楷体_GB2312" w:hint="eastAsia"/>
          <w:sz w:val="32"/>
          <w:szCs w:val="32"/>
        </w:rPr>
        <w:t>目前</w:t>
      </w:r>
      <w:r w:rsidR="0018033F" w:rsidRPr="00762674">
        <w:rPr>
          <w:rFonts w:ascii="楷体_GB2312" w:eastAsia="楷体_GB2312" w:hint="eastAsia"/>
          <w:sz w:val="32"/>
          <w:szCs w:val="32"/>
        </w:rPr>
        <w:t>正在积极摸索，</w:t>
      </w:r>
      <w:r w:rsidR="00B1529C" w:rsidRPr="00762674">
        <w:rPr>
          <w:rFonts w:ascii="楷体_GB2312" w:eastAsia="楷体_GB2312" w:hint="eastAsia"/>
          <w:sz w:val="32"/>
          <w:szCs w:val="32"/>
        </w:rPr>
        <w:t>多方协调，寻求</w:t>
      </w:r>
      <w:r w:rsidR="000C352A" w:rsidRPr="00762674">
        <w:rPr>
          <w:rFonts w:ascii="楷体_GB2312" w:eastAsia="楷体_GB2312" w:hint="eastAsia"/>
          <w:sz w:val="32"/>
          <w:szCs w:val="32"/>
        </w:rPr>
        <w:t>解决方案。</w:t>
      </w:r>
    </w:p>
    <w:p w:rsidR="00762674" w:rsidRDefault="00762674" w:rsidP="0018033F">
      <w:pPr>
        <w:adjustRightInd w:val="0"/>
        <w:spacing w:line="600" w:lineRule="exact"/>
        <w:rPr>
          <w:rFonts w:ascii="楷体_GB2312" w:eastAsia="楷体_GB2312"/>
          <w:sz w:val="32"/>
          <w:szCs w:val="32"/>
        </w:rPr>
      </w:pPr>
    </w:p>
    <w:p w:rsidR="00762674" w:rsidRPr="00762674" w:rsidRDefault="00762674" w:rsidP="0018033F">
      <w:pPr>
        <w:adjustRightInd w:val="0"/>
        <w:spacing w:line="600" w:lineRule="exact"/>
        <w:rPr>
          <w:rFonts w:ascii="楷体_GB2312" w:eastAsia="楷体_GB2312"/>
          <w:sz w:val="32"/>
          <w:szCs w:val="32"/>
        </w:rPr>
      </w:pPr>
    </w:p>
    <w:p w:rsidR="006F02B3" w:rsidRPr="00762674" w:rsidRDefault="000C352A" w:rsidP="00C21929">
      <w:pPr>
        <w:rPr>
          <w:rFonts w:ascii="楷体_GB2312" w:eastAsia="楷体_GB2312"/>
          <w:sz w:val="32"/>
          <w:szCs w:val="32"/>
        </w:rPr>
      </w:pPr>
      <w:r w:rsidRPr="00762674">
        <w:rPr>
          <w:rFonts w:ascii="楷体_GB2312" w:eastAsia="楷体_GB2312" w:hint="eastAsia"/>
          <w:sz w:val="32"/>
          <w:szCs w:val="32"/>
        </w:rPr>
        <w:t xml:space="preserve">                          </w:t>
      </w:r>
      <w:r w:rsidR="006F02B3" w:rsidRPr="00762674">
        <w:rPr>
          <w:rFonts w:ascii="楷体_GB2312" w:eastAsia="楷体_GB2312" w:hint="eastAsia"/>
          <w:sz w:val="32"/>
          <w:szCs w:val="32"/>
        </w:rPr>
        <w:t xml:space="preserve">   株洲市</w:t>
      </w:r>
      <w:r w:rsidR="00762674">
        <w:rPr>
          <w:rFonts w:ascii="楷体_GB2312" w:eastAsia="楷体_GB2312" w:hint="eastAsia"/>
          <w:sz w:val="32"/>
          <w:szCs w:val="32"/>
        </w:rPr>
        <w:t>医疗保障</w:t>
      </w:r>
      <w:r w:rsidR="00FB168F">
        <w:rPr>
          <w:rFonts w:ascii="楷体_GB2312" w:eastAsia="楷体_GB2312" w:hint="eastAsia"/>
          <w:sz w:val="32"/>
          <w:szCs w:val="32"/>
        </w:rPr>
        <w:t>事务中心</w:t>
      </w:r>
    </w:p>
    <w:p w:rsidR="006F02B3" w:rsidRPr="00762674" w:rsidRDefault="006F02B3" w:rsidP="00C21929">
      <w:pPr>
        <w:rPr>
          <w:rFonts w:ascii="楷体_GB2312" w:eastAsia="楷体_GB2312"/>
          <w:sz w:val="32"/>
          <w:szCs w:val="32"/>
        </w:rPr>
      </w:pPr>
      <w:r w:rsidRPr="00762674">
        <w:rPr>
          <w:rFonts w:ascii="楷体_GB2312" w:eastAsia="楷体_GB2312" w:hint="eastAsia"/>
          <w:sz w:val="32"/>
          <w:szCs w:val="32"/>
        </w:rPr>
        <w:t xml:space="preserve">                                 20</w:t>
      </w:r>
      <w:r w:rsidR="000C352A" w:rsidRPr="00762674">
        <w:rPr>
          <w:rFonts w:ascii="楷体_GB2312" w:eastAsia="楷体_GB2312" w:hint="eastAsia"/>
          <w:sz w:val="32"/>
          <w:szCs w:val="32"/>
        </w:rPr>
        <w:t>2</w:t>
      </w:r>
      <w:r w:rsidR="00826570">
        <w:rPr>
          <w:rFonts w:ascii="楷体_GB2312" w:eastAsia="楷体_GB2312" w:hint="eastAsia"/>
          <w:sz w:val="32"/>
          <w:szCs w:val="32"/>
        </w:rPr>
        <w:t>2</w:t>
      </w:r>
      <w:r w:rsidRPr="00762674">
        <w:rPr>
          <w:rFonts w:ascii="楷体_GB2312" w:eastAsia="楷体_GB2312" w:hint="eastAsia"/>
          <w:sz w:val="32"/>
          <w:szCs w:val="32"/>
        </w:rPr>
        <w:t>年4月</w:t>
      </w:r>
      <w:r w:rsidR="00406944">
        <w:rPr>
          <w:rFonts w:ascii="楷体_GB2312" w:eastAsia="楷体_GB2312" w:hint="eastAsia"/>
          <w:sz w:val="32"/>
          <w:szCs w:val="32"/>
        </w:rPr>
        <w:t>1</w:t>
      </w:r>
      <w:r w:rsidR="00826570">
        <w:rPr>
          <w:rFonts w:ascii="楷体_GB2312" w:eastAsia="楷体_GB2312" w:hint="eastAsia"/>
          <w:sz w:val="32"/>
          <w:szCs w:val="32"/>
        </w:rPr>
        <w:t>3</w:t>
      </w:r>
      <w:r w:rsidRPr="00762674">
        <w:rPr>
          <w:rFonts w:ascii="楷体_GB2312" w:eastAsia="楷体_GB2312" w:hint="eastAsia"/>
          <w:sz w:val="32"/>
          <w:szCs w:val="32"/>
        </w:rPr>
        <w:t>日</w:t>
      </w:r>
    </w:p>
    <w:sectPr w:rsidR="006F02B3" w:rsidRPr="00762674" w:rsidSect="00762674">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00" w:rsidRDefault="00345D00" w:rsidP="00357CFA">
      <w:r>
        <w:separator/>
      </w:r>
    </w:p>
  </w:endnote>
  <w:endnote w:type="continuationSeparator" w:id="0">
    <w:p w:rsidR="00345D00" w:rsidRDefault="00345D00" w:rsidP="0035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AD" w:rsidRDefault="004D18AD">
    <w:pPr>
      <w:pStyle w:val="a5"/>
      <w:jc w:val="center"/>
    </w:pPr>
    <w:r>
      <w:rPr>
        <w:lang w:val="zh-CN"/>
      </w:rPr>
      <w:t xml:space="preserve"> </w:t>
    </w:r>
    <w:r w:rsidR="00254008">
      <w:rPr>
        <w:b/>
        <w:sz w:val="24"/>
        <w:szCs w:val="24"/>
      </w:rPr>
      <w:fldChar w:fldCharType="begin"/>
    </w:r>
    <w:r>
      <w:rPr>
        <w:b/>
      </w:rPr>
      <w:instrText>PAGE</w:instrText>
    </w:r>
    <w:r w:rsidR="00254008">
      <w:rPr>
        <w:b/>
        <w:sz w:val="24"/>
        <w:szCs w:val="24"/>
      </w:rPr>
      <w:fldChar w:fldCharType="separate"/>
    </w:r>
    <w:r w:rsidR="00661C80">
      <w:rPr>
        <w:b/>
        <w:noProof/>
      </w:rPr>
      <w:t>8</w:t>
    </w:r>
    <w:r w:rsidR="00254008">
      <w:rPr>
        <w:b/>
        <w:sz w:val="24"/>
        <w:szCs w:val="24"/>
      </w:rPr>
      <w:fldChar w:fldCharType="end"/>
    </w:r>
    <w:r>
      <w:rPr>
        <w:lang w:val="zh-CN"/>
      </w:rPr>
      <w:t xml:space="preserve"> / </w:t>
    </w:r>
    <w:r w:rsidR="00254008">
      <w:rPr>
        <w:b/>
        <w:sz w:val="24"/>
        <w:szCs w:val="24"/>
      </w:rPr>
      <w:fldChar w:fldCharType="begin"/>
    </w:r>
    <w:r>
      <w:rPr>
        <w:b/>
      </w:rPr>
      <w:instrText>NUMPAGES</w:instrText>
    </w:r>
    <w:r w:rsidR="00254008">
      <w:rPr>
        <w:b/>
        <w:sz w:val="24"/>
        <w:szCs w:val="24"/>
      </w:rPr>
      <w:fldChar w:fldCharType="separate"/>
    </w:r>
    <w:r w:rsidR="00661C80">
      <w:rPr>
        <w:b/>
        <w:noProof/>
      </w:rPr>
      <w:t>11</w:t>
    </w:r>
    <w:r w:rsidR="00254008">
      <w:rPr>
        <w:b/>
        <w:sz w:val="24"/>
        <w:szCs w:val="24"/>
      </w:rPr>
      <w:fldChar w:fldCharType="end"/>
    </w:r>
  </w:p>
  <w:p w:rsidR="004D18AD" w:rsidRDefault="004D18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00" w:rsidRDefault="00345D00" w:rsidP="00357CFA">
      <w:r>
        <w:separator/>
      </w:r>
    </w:p>
  </w:footnote>
  <w:footnote w:type="continuationSeparator" w:id="0">
    <w:p w:rsidR="00345D00" w:rsidRDefault="00345D00" w:rsidP="00357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373"/>
    <w:multiLevelType w:val="hybridMultilevel"/>
    <w:tmpl w:val="DDE642AE"/>
    <w:lvl w:ilvl="0" w:tplc="EB68BA5C">
      <w:start w:val="1"/>
      <w:numFmt w:val="japaneseCounting"/>
      <w:lvlText w:val="%1、"/>
      <w:lvlJc w:val="left"/>
      <w:pPr>
        <w:tabs>
          <w:tab w:val="num" w:pos="1347"/>
        </w:tabs>
        <w:ind w:left="1347" w:hanging="720"/>
      </w:pPr>
      <w:rPr>
        <w:rFonts w:hint="default"/>
      </w:rPr>
    </w:lvl>
    <w:lvl w:ilvl="1" w:tplc="04090019">
      <w:start w:val="1"/>
      <w:numFmt w:val="lowerLetter"/>
      <w:lvlText w:val="%2)"/>
      <w:lvlJc w:val="left"/>
      <w:pPr>
        <w:tabs>
          <w:tab w:val="num" w:pos="1467"/>
        </w:tabs>
        <w:ind w:left="1467" w:hanging="420"/>
      </w:pPr>
    </w:lvl>
    <w:lvl w:ilvl="2" w:tplc="0409001B">
      <w:start w:val="1"/>
      <w:numFmt w:val="lowerRoman"/>
      <w:lvlText w:val="%3."/>
      <w:lvlJc w:val="right"/>
      <w:pPr>
        <w:tabs>
          <w:tab w:val="num" w:pos="1887"/>
        </w:tabs>
        <w:ind w:left="1887" w:hanging="420"/>
      </w:pPr>
    </w:lvl>
    <w:lvl w:ilvl="3" w:tplc="0409000F">
      <w:start w:val="1"/>
      <w:numFmt w:val="decimal"/>
      <w:lvlText w:val="%4."/>
      <w:lvlJc w:val="left"/>
      <w:pPr>
        <w:tabs>
          <w:tab w:val="num" w:pos="2307"/>
        </w:tabs>
        <w:ind w:left="2307" w:hanging="420"/>
      </w:pPr>
    </w:lvl>
    <w:lvl w:ilvl="4" w:tplc="04090019">
      <w:start w:val="1"/>
      <w:numFmt w:val="lowerLetter"/>
      <w:lvlText w:val="%5)"/>
      <w:lvlJc w:val="left"/>
      <w:pPr>
        <w:tabs>
          <w:tab w:val="num" w:pos="2727"/>
        </w:tabs>
        <w:ind w:left="2727" w:hanging="420"/>
      </w:pPr>
    </w:lvl>
    <w:lvl w:ilvl="5" w:tplc="0409001B">
      <w:start w:val="1"/>
      <w:numFmt w:val="lowerRoman"/>
      <w:lvlText w:val="%6."/>
      <w:lvlJc w:val="right"/>
      <w:pPr>
        <w:tabs>
          <w:tab w:val="num" w:pos="3147"/>
        </w:tabs>
        <w:ind w:left="3147" w:hanging="420"/>
      </w:pPr>
    </w:lvl>
    <w:lvl w:ilvl="6" w:tplc="0409000F">
      <w:start w:val="1"/>
      <w:numFmt w:val="decimal"/>
      <w:lvlText w:val="%7."/>
      <w:lvlJc w:val="left"/>
      <w:pPr>
        <w:tabs>
          <w:tab w:val="num" w:pos="3567"/>
        </w:tabs>
        <w:ind w:left="3567" w:hanging="420"/>
      </w:pPr>
    </w:lvl>
    <w:lvl w:ilvl="7" w:tplc="04090019">
      <w:start w:val="1"/>
      <w:numFmt w:val="lowerLetter"/>
      <w:lvlText w:val="%8)"/>
      <w:lvlJc w:val="left"/>
      <w:pPr>
        <w:tabs>
          <w:tab w:val="num" w:pos="3987"/>
        </w:tabs>
        <w:ind w:left="3987" w:hanging="420"/>
      </w:pPr>
    </w:lvl>
    <w:lvl w:ilvl="8" w:tplc="0409001B">
      <w:start w:val="1"/>
      <w:numFmt w:val="lowerRoman"/>
      <w:lvlText w:val="%9."/>
      <w:lvlJc w:val="right"/>
      <w:pPr>
        <w:tabs>
          <w:tab w:val="num" w:pos="4407"/>
        </w:tabs>
        <w:ind w:left="4407" w:hanging="420"/>
      </w:pPr>
    </w:lvl>
  </w:abstractNum>
  <w:abstractNum w:abstractNumId="1">
    <w:nsid w:val="38C04B79"/>
    <w:multiLevelType w:val="hybridMultilevel"/>
    <w:tmpl w:val="90C68C3C"/>
    <w:lvl w:ilvl="0" w:tplc="BE2296B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64916A00"/>
    <w:multiLevelType w:val="hybridMultilevel"/>
    <w:tmpl w:val="0A48B2D4"/>
    <w:lvl w:ilvl="0" w:tplc="67468814">
      <w:start w:val="1"/>
      <w:numFmt w:val="japaneseCounting"/>
      <w:lvlText w:val="（%1）"/>
      <w:lvlJc w:val="left"/>
      <w:pPr>
        <w:tabs>
          <w:tab w:val="num" w:pos="1707"/>
        </w:tabs>
        <w:ind w:left="1707" w:hanging="1080"/>
      </w:pPr>
      <w:rPr>
        <w:rFonts w:hint="default"/>
      </w:rPr>
    </w:lvl>
    <w:lvl w:ilvl="1" w:tplc="04090019">
      <w:start w:val="1"/>
      <w:numFmt w:val="lowerLetter"/>
      <w:lvlText w:val="%2)"/>
      <w:lvlJc w:val="left"/>
      <w:pPr>
        <w:tabs>
          <w:tab w:val="num" w:pos="1467"/>
        </w:tabs>
        <w:ind w:left="1467" w:hanging="420"/>
      </w:pPr>
    </w:lvl>
    <w:lvl w:ilvl="2" w:tplc="0409001B">
      <w:start w:val="1"/>
      <w:numFmt w:val="lowerRoman"/>
      <w:lvlText w:val="%3."/>
      <w:lvlJc w:val="right"/>
      <w:pPr>
        <w:tabs>
          <w:tab w:val="num" w:pos="1887"/>
        </w:tabs>
        <w:ind w:left="1887" w:hanging="420"/>
      </w:pPr>
    </w:lvl>
    <w:lvl w:ilvl="3" w:tplc="0409000F">
      <w:start w:val="1"/>
      <w:numFmt w:val="decimal"/>
      <w:lvlText w:val="%4."/>
      <w:lvlJc w:val="left"/>
      <w:pPr>
        <w:tabs>
          <w:tab w:val="num" w:pos="2307"/>
        </w:tabs>
        <w:ind w:left="2307" w:hanging="420"/>
      </w:pPr>
    </w:lvl>
    <w:lvl w:ilvl="4" w:tplc="04090019">
      <w:start w:val="1"/>
      <w:numFmt w:val="lowerLetter"/>
      <w:lvlText w:val="%5)"/>
      <w:lvlJc w:val="left"/>
      <w:pPr>
        <w:tabs>
          <w:tab w:val="num" w:pos="2727"/>
        </w:tabs>
        <w:ind w:left="2727" w:hanging="420"/>
      </w:pPr>
    </w:lvl>
    <w:lvl w:ilvl="5" w:tplc="0409001B">
      <w:start w:val="1"/>
      <w:numFmt w:val="lowerRoman"/>
      <w:lvlText w:val="%6."/>
      <w:lvlJc w:val="right"/>
      <w:pPr>
        <w:tabs>
          <w:tab w:val="num" w:pos="3147"/>
        </w:tabs>
        <w:ind w:left="3147" w:hanging="420"/>
      </w:pPr>
    </w:lvl>
    <w:lvl w:ilvl="6" w:tplc="0409000F">
      <w:start w:val="1"/>
      <w:numFmt w:val="decimal"/>
      <w:lvlText w:val="%7."/>
      <w:lvlJc w:val="left"/>
      <w:pPr>
        <w:tabs>
          <w:tab w:val="num" w:pos="3567"/>
        </w:tabs>
        <w:ind w:left="3567" w:hanging="420"/>
      </w:pPr>
    </w:lvl>
    <w:lvl w:ilvl="7" w:tplc="04090019">
      <w:start w:val="1"/>
      <w:numFmt w:val="lowerLetter"/>
      <w:lvlText w:val="%8)"/>
      <w:lvlJc w:val="left"/>
      <w:pPr>
        <w:tabs>
          <w:tab w:val="num" w:pos="3987"/>
        </w:tabs>
        <w:ind w:left="3987" w:hanging="420"/>
      </w:pPr>
    </w:lvl>
    <w:lvl w:ilvl="8" w:tplc="0409001B">
      <w:start w:val="1"/>
      <w:numFmt w:val="lowerRoman"/>
      <w:lvlText w:val="%9."/>
      <w:lvlJc w:val="right"/>
      <w:pPr>
        <w:tabs>
          <w:tab w:val="num" w:pos="4407"/>
        </w:tabs>
        <w:ind w:left="440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929"/>
    <w:rsid w:val="00020B14"/>
    <w:rsid w:val="0004283E"/>
    <w:rsid w:val="00054908"/>
    <w:rsid w:val="00093982"/>
    <w:rsid w:val="000B33E3"/>
    <w:rsid w:val="000C352A"/>
    <w:rsid w:val="000F152F"/>
    <w:rsid w:val="000F5A74"/>
    <w:rsid w:val="00112B28"/>
    <w:rsid w:val="00123297"/>
    <w:rsid w:val="00130B03"/>
    <w:rsid w:val="00164BB4"/>
    <w:rsid w:val="00167E49"/>
    <w:rsid w:val="0018033F"/>
    <w:rsid w:val="00184BF7"/>
    <w:rsid w:val="00192150"/>
    <w:rsid w:val="001B1751"/>
    <w:rsid w:val="001B62D7"/>
    <w:rsid w:val="001C3422"/>
    <w:rsid w:val="001C7F48"/>
    <w:rsid w:val="001F54AE"/>
    <w:rsid w:val="00226979"/>
    <w:rsid w:val="00247AE7"/>
    <w:rsid w:val="0025128C"/>
    <w:rsid w:val="00254008"/>
    <w:rsid w:val="0026668D"/>
    <w:rsid w:val="00277088"/>
    <w:rsid w:val="002865C4"/>
    <w:rsid w:val="002B269A"/>
    <w:rsid w:val="002D0CDC"/>
    <w:rsid w:val="002E1947"/>
    <w:rsid w:val="002E3C4F"/>
    <w:rsid w:val="002E4CD1"/>
    <w:rsid w:val="003010CC"/>
    <w:rsid w:val="003141AB"/>
    <w:rsid w:val="00325A0F"/>
    <w:rsid w:val="00342CB5"/>
    <w:rsid w:val="00345D00"/>
    <w:rsid w:val="00347CF4"/>
    <w:rsid w:val="00357B2C"/>
    <w:rsid w:val="00357CFA"/>
    <w:rsid w:val="003643BD"/>
    <w:rsid w:val="003665DE"/>
    <w:rsid w:val="00374A45"/>
    <w:rsid w:val="00380B1A"/>
    <w:rsid w:val="00381FD5"/>
    <w:rsid w:val="00392736"/>
    <w:rsid w:val="003A40D8"/>
    <w:rsid w:val="003A5903"/>
    <w:rsid w:val="003B2327"/>
    <w:rsid w:val="003C7CF0"/>
    <w:rsid w:val="003E5146"/>
    <w:rsid w:val="004005D6"/>
    <w:rsid w:val="00402826"/>
    <w:rsid w:val="00406944"/>
    <w:rsid w:val="004213EF"/>
    <w:rsid w:val="00450370"/>
    <w:rsid w:val="00450B01"/>
    <w:rsid w:val="00490557"/>
    <w:rsid w:val="00491D91"/>
    <w:rsid w:val="00493398"/>
    <w:rsid w:val="004B326A"/>
    <w:rsid w:val="004B3ADC"/>
    <w:rsid w:val="004D18AD"/>
    <w:rsid w:val="004D5739"/>
    <w:rsid w:val="004D5B51"/>
    <w:rsid w:val="004E0E75"/>
    <w:rsid w:val="004E101B"/>
    <w:rsid w:val="004E4885"/>
    <w:rsid w:val="004F20CB"/>
    <w:rsid w:val="004F22A5"/>
    <w:rsid w:val="00522F4B"/>
    <w:rsid w:val="005238CF"/>
    <w:rsid w:val="00523F1F"/>
    <w:rsid w:val="0055598E"/>
    <w:rsid w:val="00565A53"/>
    <w:rsid w:val="00565F13"/>
    <w:rsid w:val="00567F40"/>
    <w:rsid w:val="00577F88"/>
    <w:rsid w:val="00586A3D"/>
    <w:rsid w:val="005A6811"/>
    <w:rsid w:val="005B5B0F"/>
    <w:rsid w:val="005B60ED"/>
    <w:rsid w:val="005B6DCF"/>
    <w:rsid w:val="006027CD"/>
    <w:rsid w:val="00602EC6"/>
    <w:rsid w:val="00603BA2"/>
    <w:rsid w:val="00622493"/>
    <w:rsid w:val="00627CD8"/>
    <w:rsid w:val="00630722"/>
    <w:rsid w:val="00630744"/>
    <w:rsid w:val="006357E1"/>
    <w:rsid w:val="00642801"/>
    <w:rsid w:val="00660EF1"/>
    <w:rsid w:val="00661C80"/>
    <w:rsid w:val="00664164"/>
    <w:rsid w:val="006700D0"/>
    <w:rsid w:val="0069112B"/>
    <w:rsid w:val="006B04B9"/>
    <w:rsid w:val="006F02B3"/>
    <w:rsid w:val="006F410E"/>
    <w:rsid w:val="006F50CB"/>
    <w:rsid w:val="0070599D"/>
    <w:rsid w:val="007073BC"/>
    <w:rsid w:val="00711068"/>
    <w:rsid w:val="00713253"/>
    <w:rsid w:val="00721C27"/>
    <w:rsid w:val="007370D8"/>
    <w:rsid w:val="007603E0"/>
    <w:rsid w:val="00762674"/>
    <w:rsid w:val="007820D0"/>
    <w:rsid w:val="007926CE"/>
    <w:rsid w:val="007A46CE"/>
    <w:rsid w:val="007A55C8"/>
    <w:rsid w:val="007D3911"/>
    <w:rsid w:val="007F055A"/>
    <w:rsid w:val="00825E66"/>
    <w:rsid w:val="00826570"/>
    <w:rsid w:val="00882B47"/>
    <w:rsid w:val="0088498A"/>
    <w:rsid w:val="008A7075"/>
    <w:rsid w:val="008D154E"/>
    <w:rsid w:val="0092493D"/>
    <w:rsid w:val="00941CFE"/>
    <w:rsid w:val="00943C86"/>
    <w:rsid w:val="009539FE"/>
    <w:rsid w:val="00992BF3"/>
    <w:rsid w:val="009B3530"/>
    <w:rsid w:val="009B4601"/>
    <w:rsid w:val="009B6129"/>
    <w:rsid w:val="009B61C4"/>
    <w:rsid w:val="009C58F4"/>
    <w:rsid w:val="009D33B3"/>
    <w:rsid w:val="00A1630E"/>
    <w:rsid w:val="00A53BB1"/>
    <w:rsid w:val="00A660A4"/>
    <w:rsid w:val="00A76DFE"/>
    <w:rsid w:val="00A775CE"/>
    <w:rsid w:val="00A8075A"/>
    <w:rsid w:val="00A961BE"/>
    <w:rsid w:val="00AA4E12"/>
    <w:rsid w:val="00AB0B98"/>
    <w:rsid w:val="00AB5DD3"/>
    <w:rsid w:val="00AD52FE"/>
    <w:rsid w:val="00AF08EE"/>
    <w:rsid w:val="00AF153B"/>
    <w:rsid w:val="00AF15A3"/>
    <w:rsid w:val="00B1529C"/>
    <w:rsid w:val="00B30C42"/>
    <w:rsid w:val="00B31CA9"/>
    <w:rsid w:val="00B32A19"/>
    <w:rsid w:val="00B345CF"/>
    <w:rsid w:val="00B51628"/>
    <w:rsid w:val="00B54E6D"/>
    <w:rsid w:val="00B71430"/>
    <w:rsid w:val="00B71554"/>
    <w:rsid w:val="00B741BA"/>
    <w:rsid w:val="00B957FD"/>
    <w:rsid w:val="00B97990"/>
    <w:rsid w:val="00BA4176"/>
    <w:rsid w:val="00BC26FB"/>
    <w:rsid w:val="00BC5130"/>
    <w:rsid w:val="00BD6219"/>
    <w:rsid w:val="00BE3A1E"/>
    <w:rsid w:val="00BF2A0D"/>
    <w:rsid w:val="00C06552"/>
    <w:rsid w:val="00C21929"/>
    <w:rsid w:val="00C41ECE"/>
    <w:rsid w:val="00C47317"/>
    <w:rsid w:val="00C56EFF"/>
    <w:rsid w:val="00C57ED0"/>
    <w:rsid w:val="00C77DB3"/>
    <w:rsid w:val="00C84E45"/>
    <w:rsid w:val="00C84EB6"/>
    <w:rsid w:val="00C867F5"/>
    <w:rsid w:val="00C87DE1"/>
    <w:rsid w:val="00C9390A"/>
    <w:rsid w:val="00C9553E"/>
    <w:rsid w:val="00C955AA"/>
    <w:rsid w:val="00CA46E2"/>
    <w:rsid w:val="00CB01CB"/>
    <w:rsid w:val="00CB3EBE"/>
    <w:rsid w:val="00CF5868"/>
    <w:rsid w:val="00D063D4"/>
    <w:rsid w:val="00D273E8"/>
    <w:rsid w:val="00D422FB"/>
    <w:rsid w:val="00D541DD"/>
    <w:rsid w:val="00D55297"/>
    <w:rsid w:val="00D6425F"/>
    <w:rsid w:val="00D73F4F"/>
    <w:rsid w:val="00D83010"/>
    <w:rsid w:val="00D924F5"/>
    <w:rsid w:val="00DA572C"/>
    <w:rsid w:val="00E20127"/>
    <w:rsid w:val="00E20CEC"/>
    <w:rsid w:val="00E22359"/>
    <w:rsid w:val="00E2541C"/>
    <w:rsid w:val="00E258E3"/>
    <w:rsid w:val="00E3556D"/>
    <w:rsid w:val="00E5649C"/>
    <w:rsid w:val="00E570B0"/>
    <w:rsid w:val="00E57C54"/>
    <w:rsid w:val="00E63658"/>
    <w:rsid w:val="00E71134"/>
    <w:rsid w:val="00E765AA"/>
    <w:rsid w:val="00EB708D"/>
    <w:rsid w:val="00EB7C13"/>
    <w:rsid w:val="00ED0042"/>
    <w:rsid w:val="00ED12C9"/>
    <w:rsid w:val="00ED2448"/>
    <w:rsid w:val="00EF6E7E"/>
    <w:rsid w:val="00F0070E"/>
    <w:rsid w:val="00F02438"/>
    <w:rsid w:val="00F33378"/>
    <w:rsid w:val="00F5292C"/>
    <w:rsid w:val="00F5435F"/>
    <w:rsid w:val="00F746CE"/>
    <w:rsid w:val="00F83A8C"/>
    <w:rsid w:val="00FB168F"/>
    <w:rsid w:val="00FC1C0D"/>
    <w:rsid w:val="00FD0672"/>
    <w:rsid w:val="00FF1578"/>
    <w:rsid w:val="00FF1FF3"/>
    <w:rsid w:val="00FF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C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2E3C4F"/>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357CF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rsid w:val="00357CFA"/>
    <w:rPr>
      <w:rFonts w:ascii="Times New Roman" w:hAnsi="Times New Roman"/>
      <w:sz w:val="18"/>
      <w:szCs w:val="18"/>
    </w:rPr>
  </w:style>
  <w:style w:type="paragraph" w:styleId="a5">
    <w:name w:val="footer"/>
    <w:basedOn w:val="a"/>
    <w:link w:val="Char0"/>
    <w:uiPriority w:val="99"/>
    <w:unhideWhenUsed/>
    <w:rsid w:val="00357CFA"/>
    <w:pPr>
      <w:tabs>
        <w:tab w:val="center" w:pos="4153"/>
        <w:tab w:val="right" w:pos="8306"/>
      </w:tabs>
      <w:snapToGrid w:val="0"/>
      <w:jc w:val="left"/>
    </w:pPr>
    <w:rPr>
      <w:sz w:val="18"/>
      <w:szCs w:val="18"/>
    </w:rPr>
  </w:style>
  <w:style w:type="character" w:customStyle="1" w:styleId="Char0">
    <w:name w:val="页脚 Char"/>
    <w:link w:val="a5"/>
    <w:uiPriority w:val="99"/>
    <w:rsid w:val="00357CFA"/>
    <w:rPr>
      <w:rFonts w:ascii="Times New Roman" w:hAnsi="Times New Roman"/>
      <w:sz w:val="18"/>
      <w:szCs w:val="18"/>
    </w:rPr>
  </w:style>
  <w:style w:type="paragraph" w:styleId="5">
    <w:name w:val="index 5"/>
    <w:basedOn w:val="a"/>
    <w:next w:val="a"/>
    <w:qFormat/>
    <w:rsid w:val="00826570"/>
    <w:pPr>
      <w:ind w:left="1680"/>
    </w:pPr>
    <w:rPr>
      <w:rFonts w:ascii="Calibri" w:hAnsi="Calibri"/>
      <w:szCs w:val="24"/>
    </w:rPr>
  </w:style>
  <w:style w:type="paragraph" w:styleId="a6">
    <w:name w:val="No Spacing"/>
    <w:uiPriority w:val="1"/>
    <w:qFormat/>
    <w:rsid w:val="00826570"/>
    <w:pPr>
      <w:widowControl w:val="0"/>
      <w:jc w:val="both"/>
    </w:pPr>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7306">
      <w:bodyDiv w:val="1"/>
      <w:marLeft w:val="0"/>
      <w:marRight w:val="0"/>
      <w:marTop w:val="0"/>
      <w:marBottom w:val="0"/>
      <w:divBdr>
        <w:top w:val="none" w:sz="0" w:space="0" w:color="auto"/>
        <w:left w:val="none" w:sz="0" w:space="0" w:color="auto"/>
        <w:bottom w:val="none" w:sz="0" w:space="0" w:color="auto"/>
        <w:right w:val="none" w:sz="0" w:space="0" w:color="auto"/>
      </w:divBdr>
    </w:div>
    <w:div w:id="524564091">
      <w:bodyDiv w:val="1"/>
      <w:marLeft w:val="0"/>
      <w:marRight w:val="0"/>
      <w:marTop w:val="0"/>
      <w:marBottom w:val="0"/>
      <w:divBdr>
        <w:top w:val="none" w:sz="0" w:space="0" w:color="auto"/>
        <w:left w:val="none" w:sz="0" w:space="0" w:color="auto"/>
        <w:bottom w:val="none" w:sz="0" w:space="0" w:color="auto"/>
        <w:right w:val="none" w:sz="0" w:space="0" w:color="auto"/>
      </w:divBdr>
    </w:div>
    <w:div w:id="648438638">
      <w:bodyDiv w:val="1"/>
      <w:marLeft w:val="0"/>
      <w:marRight w:val="0"/>
      <w:marTop w:val="0"/>
      <w:marBottom w:val="0"/>
      <w:divBdr>
        <w:top w:val="none" w:sz="0" w:space="0" w:color="auto"/>
        <w:left w:val="none" w:sz="0" w:space="0" w:color="auto"/>
        <w:bottom w:val="none" w:sz="0" w:space="0" w:color="auto"/>
        <w:right w:val="none" w:sz="0" w:space="0" w:color="auto"/>
      </w:divBdr>
    </w:div>
    <w:div w:id="910316154">
      <w:marLeft w:val="0"/>
      <w:marRight w:val="0"/>
      <w:marTop w:val="100"/>
      <w:marBottom w:val="100"/>
      <w:divBdr>
        <w:top w:val="none" w:sz="0" w:space="0" w:color="auto"/>
        <w:left w:val="none" w:sz="0" w:space="0" w:color="auto"/>
        <w:bottom w:val="none" w:sz="0" w:space="0" w:color="auto"/>
        <w:right w:val="none" w:sz="0" w:space="0" w:color="auto"/>
      </w:divBdr>
      <w:divsChild>
        <w:div w:id="910316161">
          <w:marLeft w:val="0"/>
          <w:marRight w:val="0"/>
          <w:marTop w:val="0"/>
          <w:marBottom w:val="0"/>
          <w:divBdr>
            <w:top w:val="none" w:sz="0" w:space="0" w:color="auto"/>
            <w:left w:val="none" w:sz="0" w:space="0" w:color="auto"/>
            <w:bottom w:val="none" w:sz="0" w:space="0" w:color="auto"/>
            <w:right w:val="none" w:sz="0" w:space="0" w:color="auto"/>
          </w:divBdr>
          <w:divsChild>
            <w:div w:id="910316166">
              <w:marLeft w:val="0"/>
              <w:marRight w:val="0"/>
              <w:marTop w:val="0"/>
              <w:marBottom w:val="0"/>
              <w:divBdr>
                <w:top w:val="none" w:sz="0" w:space="0" w:color="auto"/>
                <w:left w:val="none" w:sz="0" w:space="0" w:color="auto"/>
                <w:bottom w:val="none" w:sz="0" w:space="0" w:color="auto"/>
                <w:right w:val="none" w:sz="0" w:space="0" w:color="auto"/>
              </w:divBdr>
              <w:divsChild>
                <w:div w:id="910316162">
                  <w:marLeft w:val="0"/>
                  <w:marRight w:val="0"/>
                  <w:marTop w:val="0"/>
                  <w:marBottom w:val="0"/>
                  <w:divBdr>
                    <w:top w:val="none" w:sz="0" w:space="0" w:color="auto"/>
                    <w:left w:val="none" w:sz="0" w:space="0" w:color="auto"/>
                    <w:bottom w:val="none" w:sz="0" w:space="0" w:color="auto"/>
                    <w:right w:val="none" w:sz="0" w:space="0" w:color="auto"/>
                  </w:divBdr>
                  <w:divsChild>
                    <w:div w:id="910316169">
                      <w:marLeft w:val="0"/>
                      <w:marRight w:val="0"/>
                      <w:marTop w:val="150"/>
                      <w:marBottom w:val="0"/>
                      <w:divBdr>
                        <w:top w:val="none" w:sz="0" w:space="0" w:color="auto"/>
                        <w:left w:val="none" w:sz="0" w:space="0" w:color="auto"/>
                        <w:bottom w:val="none" w:sz="0" w:space="0" w:color="auto"/>
                        <w:right w:val="none" w:sz="0" w:space="0" w:color="auto"/>
                      </w:divBdr>
                      <w:divsChild>
                        <w:div w:id="910316171">
                          <w:marLeft w:val="0"/>
                          <w:marRight w:val="3450"/>
                          <w:marTop w:val="0"/>
                          <w:marBottom w:val="0"/>
                          <w:divBdr>
                            <w:top w:val="none" w:sz="0" w:space="0" w:color="auto"/>
                            <w:left w:val="none" w:sz="0" w:space="0" w:color="auto"/>
                            <w:bottom w:val="none" w:sz="0" w:space="0" w:color="auto"/>
                            <w:right w:val="none" w:sz="0" w:space="0" w:color="auto"/>
                          </w:divBdr>
                          <w:divsChild>
                            <w:div w:id="910316168">
                              <w:marLeft w:val="0"/>
                              <w:marRight w:val="0"/>
                              <w:marTop w:val="0"/>
                              <w:marBottom w:val="0"/>
                              <w:divBdr>
                                <w:top w:val="none" w:sz="0" w:space="0" w:color="auto"/>
                                <w:left w:val="none" w:sz="0" w:space="0" w:color="auto"/>
                                <w:bottom w:val="none" w:sz="0" w:space="0" w:color="auto"/>
                                <w:right w:val="none" w:sz="0" w:space="0" w:color="auto"/>
                              </w:divBdr>
                              <w:divsChild>
                                <w:div w:id="910316153">
                                  <w:marLeft w:val="0"/>
                                  <w:marRight w:val="0"/>
                                  <w:marTop w:val="0"/>
                                  <w:marBottom w:val="0"/>
                                  <w:divBdr>
                                    <w:top w:val="none" w:sz="0" w:space="0" w:color="auto"/>
                                    <w:left w:val="none" w:sz="0" w:space="0" w:color="auto"/>
                                    <w:bottom w:val="none" w:sz="0" w:space="0" w:color="auto"/>
                                    <w:right w:val="none" w:sz="0" w:space="0" w:color="auto"/>
                                  </w:divBdr>
                                  <w:divsChild>
                                    <w:div w:id="910316167">
                                      <w:marLeft w:val="0"/>
                                      <w:marRight w:val="0"/>
                                      <w:marTop w:val="0"/>
                                      <w:marBottom w:val="0"/>
                                      <w:divBdr>
                                        <w:top w:val="none" w:sz="0" w:space="0" w:color="auto"/>
                                        <w:left w:val="none" w:sz="0" w:space="0" w:color="auto"/>
                                        <w:bottom w:val="none" w:sz="0" w:space="0" w:color="auto"/>
                                        <w:right w:val="none" w:sz="0" w:space="0" w:color="auto"/>
                                      </w:divBdr>
                                      <w:divsChild>
                                        <w:div w:id="910316156">
                                          <w:marLeft w:val="0"/>
                                          <w:marRight w:val="0"/>
                                          <w:marTop w:val="0"/>
                                          <w:marBottom w:val="0"/>
                                          <w:divBdr>
                                            <w:top w:val="none" w:sz="0" w:space="0" w:color="auto"/>
                                            <w:left w:val="none" w:sz="0" w:space="0" w:color="auto"/>
                                            <w:bottom w:val="none" w:sz="0" w:space="0" w:color="auto"/>
                                            <w:right w:val="none" w:sz="0" w:space="0" w:color="auto"/>
                                          </w:divBdr>
                                          <w:divsChild>
                                            <w:div w:id="910316157">
                                              <w:marLeft w:val="0"/>
                                              <w:marRight w:val="0"/>
                                              <w:marTop w:val="0"/>
                                              <w:marBottom w:val="0"/>
                                              <w:divBdr>
                                                <w:top w:val="none" w:sz="0" w:space="0" w:color="auto"/>
                                                <w:left w:val="none" w:sz="0" w:space="0" w:color="auto"/>
                                                <w:bottom w:val="none" w:sz="0" w:space="0" w:color="auto"/>
                                                <w:right w:val="none" w:sz="0" w:space="0" w:color="auto"/>
                                              </w:divBdr>
                                              <w:divsChild>
                                                <w:div w:id="910316159">
                                                  <w:marLeft w:val="0"/>
                                                  <w:marRight w:val="0"/>
                                                  <w:marTop w:val="0"/>
                                                  <w:marBottom w:val="0"/>
                                                  <w:divBdr>
                                                    <w:top w:val="none" w:sz="0" w:space="0" w:color="auto"/>
                                                    <w:left w:val="none" w:sz="0" w:space="0" w:color="auto"/>
                                                    <w:bottom w:val="none" w:sz="0" w:space="0" w:color="auto"/>
                                                    <w:right w:val="none" w:sz="0" w:space="0" w:color="auto"/>
                                                  </w:divBdr>
                                                  <w:divsChild>
                                                    <w:div w:id="910316170">
                                                      <w:marLeft w:val="0"/>
                                                      <w:marRight w:val="0"/>
                                                      <w:marTop w:val="0"/>
                                                      <w:marBottom w:val="0"/>
                                                      <w:divBdr>
                                                        <w:top w:val="none" w:sz="0" w:space="0" w:color="auto"/>
                                                        <w:left w:val="none" w:sz="0" w:space="0" w:color="auto"/>
                                                        <w:bottom w:val="none" w:sz="0" w:space="0" w:color="auto"/>
                                                        <w:right w:val="none" w:sz="0" w:space="0" w:color="auto"/>
                                                      </w:divBdr>
                                                      <w:divsChild>
                                                        <w:div w:id="910316165">
                                                          <w:marLeft w:val="0"/>
                                                          <w:marRight w:val="0"/>
                                                          <w:marTop w:val="0"/>
                                                          <w:marBottom w:val="0"/>
                                                          <w:divBdr>
                                                            <w:top w:val="none" w:sz="0" w:space="0" w:color="auto"/>
                                                            <w:left w:val="none" w:sz="0" w:space="0" w:color="auto"/>
                                                            <w:bottom w:val="none" w:sz="0" w:space="0" w:color="auto"/>
                                                            <w:right w:val="none" w:sz="0" w:space="0" w:color="auto"/>
                                                          </w:divBdr>
                                                          <w:divsChild>
                                                            <w:div w:id="910316158">
                                                              <w:marLeft w:val="0"/>
                                                              <w:marRight w:val="0"/>
                                                              <w:marTop w:val="0"/>
                                                              <w:marBottom w:val="0"/>
                                                              <w:divBdr>
                                                                <w:top w:val="none" w:sz="0" w:space="0" w:color="auto"/>
                                                                <w:left w:val="none" w:sz="0" w:space="0" w:color="auto"/>
                                                                <w:bottom w:val="none" w:sz="0" w:space="0" w:color="auto"/>
                                                                <w:right w:val="none" w:sz="0" w:space="0" w:color="auto"/>
                                                              </w:divBdr>
                                                              <w:divsChild>
                                                                <w:div w:id="910316160">
                                                                  <w:marLeft w:val="0"/>
                                                                  <w:marRight w:val="0"/>
                                                                  <w:marTop w:val="0"/>
                                                                  <w:marBottom w:val="0"/>
                                                                  <w:divBdr>
                                                                    <w:top w:val="none" w:sz="0" w:space="0" w:color="auto"/>
                                                                    <w:left w:val="none" w:sz="0" w:space="0" w:color="auto"/>
                                                                    <w:bottom w:val="none" w:sz="0" w:space="0" w:color="auto"/>
                                                                    <w:right w:val="none" w:sz="0" w:space="0" w:color="auto"/>
                                                                  </w:divBdr>
                                                                  <w:divsChild>
                                                                    <w:div w:id="910316164">
                                                                      <w:marLeft w:val="0"/>
                                                                      <w:marRight w:val="0"/>
                                                                      <w:marTop w:val="0"/>
                                                                      <w:marBottom w:val="0"/>
                                                                      <w:divBdr>
                                                                        <w:top w:val="none" w:sz="0" w:space="0" w:color="auto"/>
                                                                        <w:left w:val="none" w:sz="0" w:space="0" w:color="auto"/>
                                                                        <w:bottom w:val="none" w:sz="0" w:space="0" w:color="auto"/>
                                                                        <w:right w:val="none" w:sz="0" w:space="0" w:color="auto"/>
                                                                      </w:divBdr>
                                                                      <w:divsChild>
                                                                        <w:div w:id="910316155">
                                                                          <w:marLeft w:val="0"/>
                                                                          <w:marRight w:val="0"/>
                                                                          <w:marTop w:val="0"/>
                                                                          <w:marBottom w:val="0"/>
                                                                          <w:divBdr>
                                                                            <w:top w:val="none" w:sz="0" w:space="0" w:color="auto"/>
                                                                            <w:left w:val="none" w:sz="0" w:space="0" w:color="auto"/>
                                                                            <w:bottom w:val="none" w:sz="0" w:space="0" w:color="auto"/>
                                                                            <w:right w:val="none" w:sz="0" w:space="0" w:color="auto"/>
                                                                          </w:divBdr>
                                                                          <w:divsChild>
                                                                            <w:div w:id="9103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844780">
      <w:bodyDiv w:val="1"/>
      <w:marLeft w:val="0"/>
      <w:marRight w:val="0"/>
      <w:marTop w:val="0"/>
      <w:marBottom w:val="0"/>
      <w:divBdr>
        <w:top w:val="none" w:sz="0" w:space="0" w:color="auto"/>
        <w:left w:val="none" w:sz="0" w:space="0" w:color="auto"/>
        <w:bottom w:val="none" w:sz="0" w:space="0" w:color="auto"/>
        <w:right w:val="none" w:sz="0" w:space="0" w:color="auto"/>
      </w:divBdr>
    </w:div>
    <w:div w:id="1210070275">
      <w:bodyDiv w:val="1"/>
      <w:marLeft w:val="0"/>
      <w:marRight w:val="0"/>
      <w:marTop w:val="0"/>
      <w:marBottom w:val="0"/>
      <w:divBdr>
        <w:top w:val="none" w:sz="0" w:space="0" w:color="auto"/>
        <w:left w:val="none" w:sz="0" w:space="0" w:color="auto"/>
        <w:bottom w:val="none" w:sz="0" w:space="0" w:color="auto"/>
        <w:right w:val="none" w:sz="0" w:space="0" w:color="auto"/>
      </w:divBdr>
    </w:div>
    <w:div w:id="1726030126">
      <w:bodyDiv w:val="1"/>
      <w:marLeft w:val="0"/>
      <w:marRight w:val="0"/>
      <w:marTop w:val="0"/>
      <w:marBottom w:val="0"/>
      <w:divBdr>
        <w:top w:val="none" w:sz="0" w:space="0" w:color="auto"/>
        <w:left w:val="none" w:sz="0" w:space="0" w:color="auto"/>
        <w:bottom w:val="none" w:sz="0" w:space="0" w:color="auto"/>
        <w:right w:val="none" w:sz="0" w:space="0" w:color="auto"/>
      </w:divBdr>
    </w:div>
    <w:div w:id="1748645347">
      <w:bodyDiv w:val="1"/>
      <w:marLeft w:val="0"/>
      <w:marRight w:val="0"/>
      <w:marTop w:val="0"/>
      <w:marBottom w:val="0"/>
      <w:divBdr>
        <w:top w:val="none" w:sz="0" w:space="0" w:color="auto"/>
        <w:left w:val="none" w:sz="0" w:space="0" w:color="auto"/>
        <w:bottom w:val="none" w:sz="0" w:space="0" w:color="auto"/>
        <w:right w:val="none" w:sz="0" w:space="0" w:color="auto"/>
      </w:divBdr>
    </w:div>
    <w:div w:id="20207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TotalTime>
  <Pages>11</Pages>
  <Words>919</Words>
  <Characters>5241</Characters>
  <Application>Microsoft Office Word</Application>
  <DocSecurity>0</DocSecurity>
  <Lines>43</Lines>
  <Paragraphs>12</Paragraphs>
  <ScaleCrop>false</ScaleCrop>
  <Company>Users</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叶昊</cp:lastModifiedBy>
  <cp:revision>137</cp:revision>
  <cp:lastPrinted>2022-04-14T07:07:00Z</cp:lastPrinted>
  <dcterms:created xsi:type="dcterms:W3CDTF">2017-04-25T01:31:00Z</dcterms:created>
  <dcterms:modified xsi:type="dcterms:W3CDTF">2022-05-12T02:44:00Z</dcterms:modified>
</cp:coreProperties>
</file>