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32"/>
        </w:rPr>
      </w:pP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32"/>
        </w:rPr>
      </w:pP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32"/>
        </w:rPr>
      </w:pP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32"/>
        </w:rPr>
      </w:pP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32"/>
        </w:rPr>
      </w:pPr>
    </w:p>
    <w:p>
      <w:pPr>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color w:val="auto"/>
          <w:szCs w:val="32"/>
        </w:rPr>
      </w:pPr>
    </w:p>
    <w:p>
      <w:pPr>
        <w:keepNext w:val="0"/>
        <w:keepLines w:val="0"/>
        <w:pageBreakBefore w:val="0"/>
        <w:widowControl w:val="0"/>
        <w:kinsoku/>
        <w:wordWrap/>
        <w:overflowPunct/>
        <w:topLinePunct w:val="0"/>
        <w:autoSpaceDE/>
        <w:autoSpaceDN/>
        <w:bidi w:val="0"/>
        <w:adjustRightInd/>
        <w:snapToGrid/>
        <w:spacing w:before="480" w:line="600" w:lineRule="exact"/>
        <w:ind w:firstLine="0" w:firstLineChars="0"/>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480" w:line="600" w:lineRule="exact"/>
        <w:ind w:firstLine="0" w:firstLineChars="0"/>
        <w:contextualSpacing/>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醴农发〔20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12</w:t>
      </w:r>
      <w:bookmarkStart w:id="3" w:name="_GoBack"/>
      <w:bookmarkEnd w:id="3"/>
      <w:r>
        <w:rPr>
          <w:rFonts w:hint="default" w:ascii="Times New Roman" w:hAnsi="Times New Roman" w:eastAsia="仿宋_GB2312" w:cs="Times New Roman"/>
          <w:color w:val="auto"/>
          <w:sz w:val="32"/>
          <w:szCs w:val="32"/>
        </w:rPr>
        <w:t>号</w:t>
      </w:r>
    </w:p>
    <w:p>
      <w:pPr>
        <w:pageBreakBefore w:val="0"/>
        <w:kinsoku/>
        <w:wordWrap/>
        <w:overflowPunct/>
        <w:topLinePunct w:val="0"/>
        <w:autoSpaceDE/>
        <w:autoSpaceDN/>
        <w:bidi w:val="0"/>
        <w:adjustRightInd/>
        <w:snapToGrid/>
        <w:spacing w:line="600" w:lineRule="exact"/>
        <w:ind w:firstLine="871"/>
        <w:jc w:val="center"/>
        <w:textAlignment w:val="auto"/>
        <w:rPr>
          <w:rFonts w:hint="eastAsia" w:ascii="Times New Roman" w:hAnsi="Times New Roman" w:eastAsia="仿宋_GB2312" w:cs="Times New Roman"/>
          <w:bCs/>
          <w:color w:val="auto"/>
          <w:szCs w:val="32"/>
          <w:lang w:eastAsia="zh-CN"/>
        </w:rPr>
      </w:pP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醴陵</w:t>
      </w:r>
      <w:r>
        <w:rPr>
          <w:rFonts w:hint="eastAsia" w:ascii="方正小标宋简体" w:hAnsi="方正小标宋简体" w:eastAsia="方正小标宋简体" w:cs="方正小标宋简体"/>
          <w:sz w:val="44"/>
          <w:szCs w:val="44"/>
        </w:rPr>
        <w:t>市农业农村局</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kern w:val="0"/>
          <w:sz w:val="44"/>
          <w:szCs w:val="44"/>
          <w:lang w:val="en-US" w:eastAsia="zh-CN"/>
        </w:rPr>
        <w:t>醴陵市</w:t>
      </w:r>
      <w:r>
        <w:rPr>
          <w:rFonts w:hint="eastAsia" w:ascii="方正小标宋简体" w:hAnsi="方正小标宋简体" w:eastAsia="方正小标宋简体" w:cs="方正小标宋简体"/>
          <w:kern w:val="0"/>
          <w:sz w:val="44"/>
          <w:szCs w:val="44"/>
        </w:rPr>
        <w:t>2022-2023年种业市场监管工作方案</w:t>
      </w:r>
      <w:r>
        <w:rPr>
          <w:rFonts w:hint="eastAsia" w:ascii="方正小标宋简体" w:hAnsi="方正小标宋简体" w:eastAsia="方正小标宋简体" w:cs="方正小标宋简体"/>
          <w:sz w:val="44"/>
          <w:szCs w:val="44"/>
        </w:rPr>
        <w:t>》的通知</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ageBreakBefore w:val="0"/>
        <w:kinsoku/>
        <w:wordWrap/>
        <w:overflowPunct/>
        <w:topLinePunct w:val="0"/>
        <w:autoSpaceDE/>
        <w:autoSpaceDN/>
        <w:bidi w:val="0"/>
        <w:adjustRightInd/>
        <w:snapToGrid/>
        <w:spacing w:line="600" w:lineRule="exact"/>
        <w:contextualSpacing/>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局属</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单位：</w:t>
      </w:r>
    </w:p>
    <w:p>
      <w:pPr>
        <w:pageBreakBefore w:val="0"/>
        <w:kinsoku/>
        <w:wordWrap/>
        <w:overflowPunct/>
        <w:topLinePunct w:val="0"/>
        <w:autoSpaceDE/>
        <w:autoSpaceDN/>
        <w:bidi w:val="0"/>
        <w:adjustRightInd/>
        <w:snapToGrid/>
        <w:spacing w:line="60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w:t>
      </w:r>
      <w:r>
        <w:rPr>
          <w:rFonts w:hint="default" w:ascii="Times New Roman" w:hAnsi="Times New Roman" w:eastAsia="仿宋_GB2312" w:cs="Times New Roman"/>
          <w:color w:val="auto"/>
          <w:sz w:val="32"/>
          <w:szCs w:val="32"/>
          <w:lang w:val="en-US" w:eastAsia="zh-CN"/>
        </w:rPr>
        <w:t>醴陵市</w:t>
      </w:r>
      <w:r>
        <w:rPr>
          <w:rFonts w:hint="default" w:ascii="Times New Roman" w:hAnsi="Times New Roman" w:eastAsia="仿宋_GB2312" w:cs="Times New Roman"/>
          <w:color w:val="auto"/>
          <w:sz w:val="32"/>
          <w:szCs w:val="32"/>
        </w:rPr>
        <w:t>2022-2023年种业市场监管工作方案》印发给你们，请认真抓好落实。</w:t>
      </w:r>
    </w:p>
    <w:p>
      <w:pPr>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600" w:lineRule="exact"/>
        <w:contextualSpacing/>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醴陵</w:t>
      </w:r>
      <w:r>
        <w:rPr>
          <w:rFonts w:hint="default" w:ascii="Times New Roman" w:hAnsi="Times New Roman" w:eastAsia="仿宋_GB2312" w:cs="Times New Roman"/>
          <w:color w:val="auto"/>
          <w:sz w:val="32"/>
          <w:szCs w:val="32"/>
        </w:rPr>
        <w:t>市农业农村局</w:t>
      </w:r>
    </w:p>
    <w:p>
      <w:pPr>
        <w:pageBreakBefore w:val="0"/>
        <w:kinsoku/>
        <w:wordWrap/>
        <w:overflowPunct/>
        <w:topLinePunct w:val="0"/>
        <w:autoSpaceDE/>
        <w:autoSpaceDN/>
        <w:bidi w:val="0"/>
        <w:adjustRightInd/>
        <w:snapToGrid/>
        <w:spacing w:line="600" w:lineRule="exact"/>
        <w:contextualSpacing/>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rPr>
      </w:pPr>
    </w:p>
    <w:p>
      <w:pPr>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rPr>
      </w:pPr>
    </w:p>
    <w:p>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醴陵市</w:t>
      </w:r>
      <w:r>
        <w:rPr>
          <w:rFonts w:hint="eastAsia" w:ascii="方正小标宋简体" w:hAnsi="方正小标宋简体" w:eastAsia="方正小标宋简体" w:cs="方正小标宋简体"/>
          <w:kern w:val="0"/>
          <w:sz w:val="44"/>
          <w:szCs w:val="44"/>
        </w:rPr>
        <w:t>2022-2023年种业市场监管工作方案</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为贯彻落实地方党委和政府领导班子及成员粮食安全责任制，强化知识产权保护，全面净化种业市场环境，扎实开展种业执法年活动，保障农业生产用种安全，营造种业振兴良好环境，特制定本方案。</w:t>
      </w:r>
    </w:p>
    <w:p>
      <w:pPr>
        <w:pageBreakBefore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0"/>
          <w:sz w:val="32"/>
          <w:szCs w:val="32"/>
        </w:rPr>
      </w:pPr>
      <w:r>
        <w:rPr>
          <w:rFonts w:hint="eastAsia" w:ascii="黑体" w:hAnsi="黑体" w:eastAsia="黑体" w:cs="黑体"/>
          <w:kern w:val="0"/>
          <w:sz w:val="32"/>
          <w:szCs w:val="32"/>
        </w:rPr>
        <w:t>一、总体目标</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发展现代种业，保障农业用种安全，构建竞争有序、诚信守法、监管有力的现代种业市场体系，不断强化品种试验、生产、经营、使用各环节监管，严厉查处生产经营假冒伪劣种子等违法行为，形成有利于创新创业、诚信守信、公平公正的市场环境，推进我市种业市场秩序持续好转。</w:t>
      </w:r>
    </w:p>
    <w:p>
      <w:pPr>
        <w:pageBreakBefore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二、基本原则</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属地管理、检打联动、部门协同、标本兼治”原则，坚持部门协同与系统联动相结合、部门打假与举报维权相结合、挂牌督办与问责相结合、大要案查处与公开曝光相结合、专项整治与建立长效机制相结合，以近年来监管发现的问题企业、问题品种和问题门店为重点对象，以水稻、玉米、棉花、大豆、油菜等为重点作物，加强事中事后监管，严厉打击品种权侵权、制售假劣种子、未审先推、非法引种等违法行为，保护品种创新，维护农民合法权益。</w:t>
      </w:r>
    </w:p>
    <w:p>
      <w:pPr>
        <w:pageBreakBefore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0"/>
          <w:sz w:val="32"/>
          <w:szCs w:val="32"/>
        </w:rPr>
      </w:pPr>
      <w:r>
        <w:rPr>
          <w:rFonts w:hint="eastAsia" w:ascii="黑体" w:hAnsi="黑体" w:eastAsia="黑体" w:cs="黑体"/>
          <w:kern w:val="0"/>
          <w:sz w:val="32"/>
          <w:szCs w:val="32"/>
        </w:rPr>
        <w:t>三、监管内容</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（一）企业监督检查。</w:t>
      </w:r>
      <w:r>
        <w:rPr>
          <w:rFonts w:hint="eastAsia" w:ascii="仿宋_GB2312" w:hAnsi="仿宋_GB2312" w:eastAsia="仿宋_GB2312" w:cs="仿宋_GB2312"/>
          <w:kern w:val="0"/>
          <w:sz w:val="32"/>
          <w:szCs w:val="32"/>
        </w:rPr>
        <w:t>按照“谁许可、谁主管、谁负责”的原则，对已核发农作物种子生产经营许可证的企业进行全覆盖</w:t>
      </w:r>
      <w:r>
        <w:rPr>
          <w:rFonts w:hint="eastAsia" w:ascii="仿宋_GB2312" w:hAnsi="仿宋_GB2312" w:eastAsia="仿宋_GB2312" w:cs="仿宋_GB2312"/>
          <w:kern w:val="0"/>
          <w:sz w:val="32"/>
          <w:szCs w:val="32"/>
          <w:lang w:eastAsia="zh-CN"/>
        </w:rPr>
        <w:t>检查</w:t>
      </w:r>
      <w:r>
        <w:rPr>
          <w:rFonts w:hint="eastAsia" w:ascii="仿宋_GB2312" w:hAnsi="仿宋_GB2312" w:eastAsia="仿宋_GB2312" w:cs="仿宋_GB2312"/>
          <w:kern w:val="0"/>
          <w:sz w:val="32"/>
          <w:szCs w:val="32"/>
        </w:rPr>
        <w:t>。重点检查生产经营资质、品种审定及授权情况、生产经营档案、包装标签和使用说明、生产和销售合同、品种真实性、种子质量等。对被</w:t>
      </w:r>
      <w:r>
        <w:rPr>
          <w:rFonts w:hint="eastAsia" w:ascii="仿宋_GB2312" w:hAnsi="仿宋_GB2312" w:eastAsia="仿宋_GB2312" w:cs="仿宋_GB2312"/>
          <w:kern w:val="0"/>
          <w:sz w:val="32"/>
          <w:szCs w:val="32"/>
          <w:lang w:eastAsia="zh-CN"/>
        </w:rPr>
        <w:t>检</w:t>
      </w:r>
      <w:r>
        <w:rPr>
          <w:rFonts w:hint="eastAsia" w:ascii="仿宋_GB2312" w:hAnsi="仿宋_GB2312" w:eastAsia="仿宋_GB2312" w:cs="仿宋_GB2312"/>
          <w:kern w:val="0"/>
          <w:sz w:val="32"/>
          <w:szCs w:val="32"/>
        </w:rPr>
        <w:t>查的企业所有生产经营的品种进行全覆盖抽样，抽取水稻、玉米、棉花种子样品进行发芽率、纯度检测，并对水稻、玉米种子样品进行品种真实性分子检测和转基因成分检测。</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）市场专项检查。</w:t>
      </w:r>
      <w:r>
        <w:rPr>
          <w:rFonts w:hint="eastAsia" w:ascii="仿宋_GB2312" w:hAnsi="仿宋_GB2312" w:eastAsia="仿宋_GB2312" w:cs="仿宋_GB2312"/>
          <w:kern w:val="0"/>
          <w:sz w:val="32"/>
          <w:szCs w:val="32"/>
        </w:rPr>
        <w:t>在春季、秋季等用种关键时期，在辖区范围内分别开展春、秋季种子市场专项检查行动。春季种子市场专项检查以水稻、玉米、棉花、大豆种子为主，秋季种子市场专项检查以油菜种子为主。春、秋季种子市场专项检查重点对象：近年来市场监管发现有问题的、维权企业举报的和农民投诉的种子经营门店、乡村经销店；企业监督检查抽查时没有抽到的品种、引种品种、政府采购和种田大户直接向企业购买的种子。重点检查主要农作物是否存在制售假劣种子、未审先推、跨审定范围种植、已撤销审定品种违法推广销售等情况，检查“四种”经营主体备案情况和经营资质、品种审定及授权情况、品种登记情况、经营档案和台账、包装标签和使用说明、委托和代销合同、种子质量，以及除救灾等特殊情况外扩大审定品种生产季节范围（如晚稻做中稻种植）等。</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）种子生产基地检查。</w:t>
      </w:r>
      <w:r>
        <w:rPr>
          <w:rFonts w:hint="eastAsia" w:ascii="仿宋_GB2312" w:hAnsi="仿宋_GB2312" w:eastAsia="仿宋_GB2312" w:cs="仿宋_GB2312"/>
          <w:kern w:val="0"/>
          <w:sz w:val="32"/>
          <w:szCs w:val="32"/>
        </w:rPr>
        <w:t>加强对种子生产基地检查，重点检查生产经营许可、生产备案、委托合同、品种权属、亲本来源、产地检疫等内容，核查制种面积，严格查处非法制种行为。加强转基因成分、品种真实性检测。</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）种畜禽市场检查。</w:t>
      </w:r>
      <w:r>
        <w:rPr>
          <w:rFonts w:hint="eastAsia" w:ascii="仿宋_GB2312" w:hAnsi="仿宋_GB2312" w:eastAsia="仿宋_GB2312" w:cs="仿宋_GB2312"/>
          <w:kern w:val="0"/>
          <w:sz w:val="32"/>
          <w:szCs w:val="32"/>
        </w:rPr>
        <w:t>重点检查无证生产经营（含过期、超范围）、假冒优质种公畜精液、系谱档案不全等问题；种畜禽生产经营许可信息纳入“全国种畜禽生产经营许可管理系统”统一管理。开展春、秋种畜禽质量监督抽查。</w:t>
      </w:r>
    </w:p>
    <w:p>
      <w:pPr>
        <w:pageBreakBefore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0"/>
          <w:sz w:val="32"/>
          <w:szCs w:val="32"/>
        </w:rPr>
      </w:pPr>
      <w:r>
        <w:rPr>
          <w:rFonts w:hint="eastAsia" w:ascii="黑体" w:hAnsi="黑体" w:eastAsia="黑体" w:cs="黑体"/>
          <w:kern w:val="0"/>
          <w:sz w:val="32"/>
          <w:szCs w:val="32"/>
        </w:rPr>
        <w:t>四、时间安排</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3月，动员部署，启动春季市场专项检查；</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4-11月，开展生产基地监督检查；</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7月，开展油菜种子生产经营企业检查；</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8-9月，开展秋季市场专项检查；</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12月，开展水稻、玉米、棉花、大豆等种子生产经营企业监督检查。</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各阶段种子质量检测和鉴定结果汇总后统一报</w:t>
      </w:r>
      <w:r>
        <w:rPr>
          <w:rFonts w:hint="eastAsia" w:ascii="仿宋_GB2312" w:hAnsi="仿宋_GB2312" w:eastAsia="仿宋_GB2312" w:cs="仿宋_GB2312"/>
          <w:kern w:val="0"/>
          <w:sz w:val="32"/>
          <w:szCs w:val="32"/>
          <w:lang w:val="en-US" w:eastAsia="zh-CN"/>
        </w:rPr>
        <w:t>株洲市农业农村局，</w:t>
      </w:r>
      <w:r>
        <w:rPr>
          <w:rFonts w:hint="eastAsia" w:ascii="仿宋_GB2312" w:hAnsi="仿宋_GB2312" w:eastAsia="仿宋_GB2312" w:cs="仿宋_GB2312"/>
          <w:kern w:val="0"/>
          <w:sz w:val="32"/>
          <w:szCs w:val="32"/>
        </w:rPr>
        <w:t>年度工作总结于12月上旬前报</w:t>
      </w:r>
      <w:r>
        <w:rPr>
          <w:rFonts w:hint="eastAsia" w:ascii="仿宋_GB2312" w:hAnsi="仿宋_GB2312" w:eastAsia="仿宋_GB2312" w:cs="仿宋_GB2312"/>
          <w:kern w:val="0"/>
          <w:sz w:val="32"/>
          <w:szCs w:val="32"/>
          <w:lang w:val="en-US" w:eastAsia="zh-CN"/>
        </w:rPr>
        <w:t>株洲市农业农村</w:t>
      </w:r>
      <w:r>
        <w:rPr>
          <w:rFonts w:hint="eastAsia" w:ascii="仿宋_GB2312" w:hAnsi="仿宋_GB2312" w:eastAsia="仿宋_GB2312" w:cs="仿宋_GB2312"/>
          <w:kern w:val="0"/>
          <w:sz w:val="32"/>
          <w:szCs w:val="32"/>
        </w:rPr>
        <w:t>局。</w:t>
      </w:r>
    </w:p>
    <w:p>
      <w:pPr>
        <w:pageBreakBefore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0"/>
          <w:sz w:val="32"/>
          <w:szCs w:val="32"/>
        </w:rPr>
      </w:pPr>
      <w:r>
        <w:rPr>
          <w:rFonts w:hint="eastAsia" w:ascii="黑体" w:hAnsi="黑体" w:eastAsia="黑体" w:cs="黑体"/>
          <w:kern w:val="0"/>
          <w:sz w:val="32"/>
          <w:szCs w:val="32"/>
        </w:rPr>
        <w:t>五、工作要求</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（一）切实加强组织领导。</w:t>
      </w:r>
      <w:r>
        <w:rPr>
          <w:rFonts w:hint="eastAsia" w:ascii="仿宋_GB2312" w:hAnsi="仿宋_GB2312" w:eastAsia="仿宋_GB2312" w:cs="仿宋_GB2312"/>
          <w:b w:val="0"/>
          <w:bCs w:val="0"/>
          <w:kern w:val="0"/>
          <w:sz w:val="32"/>
          <w:szCs w:val="32"/>
          <w:lang w:eastAsia="zh-CN"/>
        </w:rPr>
        <w:t>局属各有关单位</w:t>
      </w:r>
      <w:r>
        <w:rPr>
          <w:rFonts w:hint="eastAsia" w:ascii="仿宋_GB2312" w:hAnsi="仿宋_GB2312" w:eastAsia="仿宋_GB2312" w:cs="仿宋_GB2312"/>
          <w:kern w:val="0"/>
          <w:sz w:val="32"/>
          <w:szCs w:val="32"/>
        </w:rPr>
        <w:t>严格按照《种子法》等有关法律法规，进一步提升监管能力和水平，确保“</w:t>
      </w:r>
      <w:r>
        <w:rPr>
          <w:rFonts w:hint="eastAsia" w:ascii="仿宋_GB2312" w:hAnsi="仿宋_GB2312" w:eastAsia="仿宋_GB2312" w:cs="仿宋_GB2312"/>
          <w:kern w:val="0"/>
          <w:sz w:val="32"/>
          <w:szCs w:val="32"/>
          <w:lang w:eastAsia="zh-CN"/>
        </w:rPr>
        <w:t>醴陵</w:t>
      </w:r>
      <w:r>
        <w:rPr>
          <w:rFonts w:hint="eastAsia" w:ascii="仿宋_GB2312" w:hAnsi="仿宋_GB2312" w:eastAsia="仿宋_GB2312" w:cs="仿宋_GB2312"/>
          <w:kern w:val="0"/>
          <w:sz w:val="32"/>
          <w:szCs w:val="32"/>
        </w:rPr>
        <w:t>市种业市场监管工作职责任务清单”的各项工作落地见效。加强行政执法与司法的衔接，密切与公安部门的协作配合。</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（二）认真落实“双随机”要求。</w:t>
      </w:r>
      <w:r>
        <w:rPr>
          <w:rFonts w:hint="eastAsia" w:ascii="仿宋_GB2312" w:hAnsi="仿宋_GB2312" w:eastAsia="仿宋_GB2312" w:cs="仿宋_GB2312"/>
          <w:kern w:val="0"/>
          <w:sz w:val="32"/>
          <w:szCs w:val="32"/>
        </w:rPr>
        <w:t>按照《湖南省农业农村厅办公室〈关于印发2022年“双随机一公开”行政检查计划的通知〉》（湘农办函﹝2022﹞9号）要求，认真落实“双随机”要求，随机抽取检查对象、随机选派检查人员，组织开展种子市场监管的有关检查工作。</w:t>
      </w:r>
    </w:p>
    <w:p>
      <w:pPr>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（三）全面加强信息公开。</w:t>
      </w:r>
      <w:r>
        <w:rPr>
          <w:rFonts w:hint="eastAsia" w:ascii="仿宋_GB2312" w:hAnsi="仿宋_GB2312" w:eastAsia="仿宋_GB2312" w:cs="仿宋_GB2312"/>
          <w:kern w:val="0"/>
          <w:sz w:val="32"/>
          <w:szCs w:val="32"/>
        </w:rPr>
        <w:t>及时报送监管工作开展和案件查处情况。对适用一般程序查办的侵犯品种权和制售假劣种子行政处罚案件信息，依法、及时、主动公开，并及时回应社会关切，让执法行为接受社会监督。充分利用电视、网络、报刊等媒体，加大对典型案件的曝光力度，营造高压严打氛围，震慑违法行为。举报电话：12316；0731-</w:t>
      </w:r>
      <w:r>
        <w:rPr>
          <w:rFonts w:hint="eastAsia" w:ascii="仿宋_GB2312" w:hAnsi="仿宋_GB2312" w:eastAsia="仿宋_GB2312" w:cs="仿宋_GB2312"/>
          <w:kern w:val="0"/>
          <w:sz w:val="32"/>
          <w:szCs w:val="32"/>
          <w:lang w:val="en-US" w:eastAsia="zh-CN"/>
        </w:rPr>
        <w:t>23059320</w:t>
      </w:r>
      <w:r>
        <w:rPr>
          <w:rFonts w:hint="eastAsia" w:ascii="仿宋_GB2312" w:hAnsi="仿宋_GB2312" w:eastAsia="仿宋_GB2312" w:cs="仿宋_GB2312"/>
          <w:kern w:val="0"/>
          <w:sz w:val="32"/>
          <w:szCs w:val="32"/>
        </w:rPr>
        <w:t>。</w:t>
      </w:r>
    </w:p>
    <w:p>
      <w:pPr>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（四）严格规范检查程序。</w:t>
      </w:r>
      <w:r>
        <w:rPr>
          <w:rFonts w:hint="eastAsia" w:ascii="仿宋_GB2312" w:hAnsi="仿宋_GB2312" w:eastAsia="仿宋_GB2312" w:cs="仿宋_GB2312"/>
          <w:kern w:val="0"/>
          <w:sz w:val="32"/>
          <w:szCs w:val="32"/>
        </w:rPr>
        <w:t>严格执行种子抽样检测规定程序，在抽样、生产商确认、样品检测、结果通知、异议处理、结果判定和报送等各环节依法规范操作，妥善留存取证、送达等证据，确保每一个样品证据链可靠、完整、可追溯。加强沟通协作，积极支持抽样单位做好样品确认、结果通知等工作。</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rPr>
        <w:t>附件：</w:t>
      </w:r>
      <w:bookmarkStart w:id="0" w:name="OLE_LINK65"/>
      <w:bookmarkStart w:id="1" w:name="OLE_LINK94"/>
      <w:bookmarkStart w:id="2" w:name="OLE_LINK64"/>
      <w:r>
        <w:rPr>
          <w:rFonts w:hint="eastAsia" w:ascii="仿宋_GB2312" w:hAnsi="仿宋_GB2312" w:eastAsia="仿宋_GB2312" w:cs="仿宋_GB2312"/>
          <w:kern w:val="0"/>
          <w:sz w:val="32"/>
          <w:szCs w:val="32"/>
          <w:lang w:val="en-US" w:eastAsia="zh-CN"/>
        </w:rPr>
        <w:t>醴陵</w:t>
      </w:r>
      <w:r>
        <w:rPr>
          <w:rFonts w:hint="eastAsia" w:ascii="仿宋_GB2312" w:hAnsi="仿宋_GB2312" w:eastAsia="仿宋_GB2312" w:cs="仿宋_GB2312"/>
          <w:color w:val="333333"/>
          <w:sz w:val="32"/>
          <w:szCs w:val="32"/>
        </w:rPr>
        <w:t>市</w:t>
      </w:r>
      <w:bookmarkEnd w:id="0"/>
      <w:bookmarkEnd w:id="1"/>
      <w:bookmarkEnd w:id="2"/>
      <w:r>
        <w:rPr>
          <w:rFonts w:hint="eastAsia" w:ascii="仿宋_GB2312" w:hAnsi="仿宋_GB2312" w:eastAsia="仿宋_GB2312" w:cs="仿宋_GB2312"/>
          <w:kern w:val="0"/>
          <w:sz w:val="32"/>
          <w:szCs w:val="32"/>
        </w:rPr>
        <w:t>种业市场监管工作职责任务清</w:t>
      </w:r>
      <w:r>
        <w:rPr>
          <w:rFonts w:hint="eastAsia" w:ascii="仿宋_GB2312" w:hAnsi="仿宋_GB2312" w:eastAsia="仿宋_GB2312" w:cs="仿宋_GB2312"/>
          <w:kern w:val="0"/>
          <w:sz w:val="32"/>
          <w:szCs w:val="32"/>
          <w:lang w:val="en-US" w:eastAsia="zh-CN"/>
        </w:rPr>
        <w:t>单</w:t>
      </w:r>
    </w:p>
    <w:p>
      <w:pPr>
        <w:pStyle w:val="2"/>
        <w:pageBreakBefore w:val="0"/>
        <w:kinsoku/>
        <w:wordWrap/>
        <w:overflowPunct/>
        <w:topLinePunct w:val="0"/>
        <w:autoSpaceDE/>
        <w:autoSpaceDN/>
        <w:bidi w:val="0"/>
        <w:adjustRightInd/>
        <w:snapToGrid/>
        <w:spacing w:beforeLines="25" w:afterLines="25"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333333"/>
          <w:sz w:val="44"/>
          <w:szCs w:val="44"/>
          <w:lang w:val="en-US" w:eastAsia="zh-CN"/>
        </w:rPr>
        <w:t>醴陵</w:t>
      </w:r>
      <w:r>
        <w:rPr>
          <w:rFonts w:hint="eastAsia" w:ascii="方正小标宋简体" w:hAnsi="方正小标宋简体" w:eastAsia="方正小标宋简体" w:cs="方正小标宋简体"/>
          <w:b w:val="0"/>
          <w:bCs w:val="0"/>
          <w:color w:val="333333"/>
          <w:sz w:val="44"/>
          <w:szCs w:val="44"/>
        </w:rPr>
        <w:t>市</w:t>
      </w:r>
      <w:r>
        <w:rPr>
          <w:rFonts w:hint="eastAsia" w:ascii="方正小标宋简体" w:hAnsi="方正小标宋简体" w:eastAsia="方正小标宋简体" w:cs="方正小标宋简体"/>
          <w:b w:val="0"/>
          <w:bCs w:val="0"/>
          <w:kern w:val="0"/>
          <w:sz w:val="44"/>
          <w:szCs w:val="44"/>
        </w:rPr>
        <w:t>种业市场监管工作职责任务清单</w:t>
      </w:r>
    </w:p>
    <w:tbl>
      <w:tblPr>
        <w:tblStyle w:val="5"/>
        <w:tblW w:w="14576" w:type="dxa"/>
        <w:jc w:val="center"/>
        <w:tblLayout w:type="autofit"/>
        <w:tblCellMar>
          <w:top w:w="0" w:type="dxa"/>
          <w:left w:w="108" w:type="dxa"/>
          <w:bottom w:w="0" w:type="dxa"/>
          <w:right w:w="108" w:type="dxa"/>
        </w:tblCellMar>
      </w:tblPr>
      <w:tblGrid>
        <w:gridCol w:w="1153"/>
        <w:gridCol w:w="1972"/>
        <w:gridCol w:w="2617"/>
        <w:gridCol w:w="3029"/>
        <w:gridCol w:w="3092"/>
        <w:gridCol w:w="2713"/>
      </w:tblGrid>
      <w:tr>
        <w:tblPrEx>
          <w:tblCellMar>
            <w:top w:w="0" w:type="dxa"/>
            <w:left w:w="108" w:type="dxa"/>
            <w:bottom w:w="0" w:type="dxa"/>
            <w:right w:w="108" w:type="dxa"/>
          </w:tblCellMar>
        </w:tblPrEx>
        <w:trPr>
          <w:trHeight w:val="819" w:hRule="atLeast"/>
          <w:jc w:val="center"/>
        </w:trPr>
        <w:tc>
          <w:tcPr>
            <w:tcW w:w="1153"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职责内容</w:t>
            </w:r>
          </w:p>
        </w:tc>
        <w:tc>
          <w:tcPr>
            <w:tcW w:w="1972"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农作物企业</w:t>
            </w:r>
          </w:p>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监督检查</w:t>
            </w:r>
          </w:p>
        </w:tc>
        <w:tc>
          <w:tcPr>
            <w:tcW w:w="261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农作物春、秋季</w:t>
            </w:r>
          </w:p>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市场检查</w:t>
            </w:r>
          </w:p>
        </w:tc>
        <w:tc>
          <w:tcPr>
            <w:tcW w:w="3029"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农作物种子生产基地检查</w:t>
            </w:r>
          </w:p>
        </w:tc>
        <w:tc>
          <w:tcPr>
            <w:tcW w:w="3092"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种畜禽市场检查</w:t>
            </w:r>
          </w:p>
        </w:tc>
        <w:tc>
          <w:tcPr>
            <w:tcW w:w="271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bCs/>
                <w:color w:val="000000"/>
                <w:kern w:val="0"/>
                <w:sz w:val="22"/>
                <w:szCs w:val="22"/>
              </w:rPr>
            </w:pPr>
            <w:r>
              <w:rPr>
                <w:rFonts w:asciiTheme="minorEastAsia" w:hAnsiTheme="minorEastAsia"/>
                <w:bCs/>
                <w:color w:val="000000"/>
                <w:kern w:val="0"/>
                <w:sz w:val="22"/>
                <w:szCs w:val="22"/>
              </w:rPr>
              <w:t>其它职责任务</w:t>
            </w:r>
          </w:p>
        </w:tc>
      </w:tr>
      <w:tr>
        <w:tblPrEx>
          <w:tblCellMar>
            <w:top w:w="0" w:type="dxa"/>
            <w:left w:w="108" w:type="dxa"/>
            <w:bottom w:w="0" w:type="dxa"/>
            <w:right w:w="108" w:type="dxa"/>
          </w:tblCellMar>
        </w:tblPrEx>
        <w:trPr>
          <w:trHeight w:val="4997" w:hRule="atLeast"/>
          <w:jc w:val="center"/>
        </w:trPr>
        <w:tc>
          <w:tcPr>
            <w:tcW w:w="1153"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left"/>
              <w:textAlignment w:val="auto"/>
              <w:rPr>
                <w:color w:val="000000"/>
                <w:kern w:val="0"/>
                <w:sz w:val="22"/>
                <w:szCs w:val="22"/>
              </w:rPr>
            </w:pPr>
            <w:r>
              <w:rPr>
                <w:rFonts w:hint="eastAsia"/>
                <w:color w:val="000000"/>
                <w:kern w:val="0"/>
                <w:sz w:val="22"/>
                <w:szCs w:val="22"/>
              </w:rPr>
              <w:t>县级</w:t>
            </w:r>
          </w:p>
        </w:tc>
        <w:tc>
          <w:tcPr>
            <w:tcW w:w="1972"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textAlignment w:val="auto"/>
              <w:rPr>
                <w:rFonts w:eastAsia="宋体"/>
                <w:color w:val="000000"/>
                <w:kern w:val="0"/>
                <w:sz w:val="22"/>
                <w:szCs w:val="22"/>
              </w:rPr>
            </w:pPr>
            <w:r>
              <w:rPr>
                <w:rFonts w:hAnsi="宋体" w:eastAsia="宋体"/>
                <w:color w:val="000000"/>
                <w:kern w:val="0"/>
                <w:sz w:val="22"/>
                <w:szCs w:val="22"/>
              </w:rPr>
              <w:t>对本级发证企业进行检查，检查覆盖率</w:t>
            </w:r>
            <w:r>
              <w:rPr>
                <w:rFonts w:eastAsia="宋体"/>
                <w:color w:val="000000"/>
                <w:kern w:val="0"/>
                <w:sz w:val="22"/>
                <w:szCs w:val="22"/>
              </w:rPr>
              <w:t>100%</w:t>
            </w:r>
            <w:r>
              <w:rPr>
                <w:rFonts w:hAnsi="宋体" w:eastAsia="宋体"/>
                <w:color w:val="000000"/>
                <w:kern w:val="0"/>
                <w:sz w:val="22"/>
                <w:szCs w:val="22"/>
              </w:rPr>
              <w:t>；品种覆盖率不低于</w:t>
            </w:r>
            <w:r>
              <w:rPr>
                <w:rFonts w:eastAsia="宋体"/>
                <w:color w:val="000000"/>
                <w:kern w:val="0"/>
                <w:sz w:val="22"/>
                <w:szCs w:val="22"/>
              </w:rPr>
              <w:t>50%</w:t>
            </w:r>
            <w:r>
              <w:rPr>
                <w:rFonts w:hAnsi="宋体" w:eastAsia="宋体"/>
                <w:color w:val="000000"/>
                <w:kern w:val="0"/>
                <w:sz w:val="22"/>
                <w:szCs w:val="22"/>
              </w:rPr>
              <w:t>；重点对油菜、大豆种子抽查，抽样进行常规质量指标和转基因成分检测。</w:t>
            </w:r>
          </w:p>
        </w:tc>
        <w:tc>
          <w:tcPr>
            <w:tcW w:w="2617"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textAlignment w:val="auto"/>
              <w:rPr>
                <w:rFonts w:eastAsia="宋体"/>
                <w:color w:val="000000"/>
                <w:kern w:val="0"/>
                <w:sz w:val="22"/>
                <w:szCs w:val="22"/>
              </w:rPr>
            </w:pPr>
            <w:r>
              <w:rPr>
                <w:rFonts w:hAnsi="宋体" w:eastAsia="宋体"/>
                <w:color w:val="000000"/>
                <w:kern w:val="0"/>
                <w:sz w:val="22"/>
                <w:szCs w:val="22"/>
              </w:rPr>
              <w:t>对辖区内种子经营门店进行随机检查，检查门店覆盖率</w:t>
            </w:r>
            <w:r>
              <w:rPr>
                <w:rFonts w:eastAsia="宋体"/>
                <w:color w:val="000000"/>
                <w:kern w:val="0"/>
                <w:sz w:val="22"/>
                <w:szCs w:val="22"/>
              </w:rPr>
              <w:t>100%</w:t>
            </w:r>
            <w:r>
              <w:rPr>
                <w:rFonts w:hAnsi="宋体" w:eastAsia="宋体"/>
                <w:color w:val="000000"/>
                <w:kern w:val="0"/>
                <w:sz w:val="22"/>
                <w:szCs w:val="22"/>
              </w:rPr>
              <w:t>，被检查门店扦取至少</w:t>
            </w:r>
            <w:r>
              <w:rPr>
                <w:rFonts w:eastAsia="宋体"/>
                <w:color w:val="000000"/>
                <w:kern w:val="0"/>
                <w:sz w:val="22"/>
                <w:szCs w:val="22"/>
              </w:rPr>
              <w:t>2</w:t>
            </w:r>
            <w:r>
              <w:rPr>
                <w:rFonts w:hAnsi="宋体" w:eastAsia="宋体"/>
                <w:color w:val="000000"/>
                <w:kern w:val="0"/>
                <w:sz w:val="22"/>
                <w:szCs w:val="22"/>
              </w:rPr>
              <w:t>个品种种子样品；所有扦取样品进行常规质量指标检测；水稻、玉米种子样品进行品种真实性分子检测和转基因成分检测</w:t>
            </w:r>
            <w:r>
              <w:rPr>
                <w:rFonts w:eastAsia="宋体"/>
                <w:color w:val="000000"/>
                <w:kern w:val="0"/>
                <w:sz w:val="22"/>
                <w:szCs w:val="22"/>
              </w:rPr>
              <w:t>,</w:t>
            </w:r>
            <w:r>
              <w:rPr>
                <w:rFonts w:hAnsi="宋体" w:eastAsia="宋体"/>
                <w:color w:val="000000"/>
                <w:kern w:val="0"/>
                <w:sz w:val="22"/>
                <w:szCs w:val="22"/>
              </w:rPr>
              <w:t>油菜种子进行转基因成分检测；对政府采购的种子进行转基因成分检测；对种植大户开展入户倒查，每个乡镇抽查不少于</w:t>
            </w:r>
            <w:r>
              <w:rPr>
                <w:rFonts w:eastAsia="宋体"/>
                <w:color w:val="000000"/>
                <w:kern w:val="0"/>
                <w:sz w:val="22"/>
                <w:szCs w:val="22"/>
              </w:rPr>
              <w:t>3</w:t>
            </w:r>
            <w:r>
              <w:rPr>
                <w:rFonts w:hAnsi="宋体" w:eastAsia="宋体"/>
                <w:color w:val="000000"/>
                <w:kern w:val="0"/>
                <w:sz w:val="22"/>
                <w:szCs w:val="22"/>
              </w:rPr>
              <w:t>个行政村，切实查清种子来源</w:t>
            </w:r>
            <w:r>
              <w:rPr>
                <w:rFonts w:hint="eastAsia" w:hAnsi="宋体" w:eastAsia="宋体"/>
                <w:color w:val="000000"/>
                <w:kern w:val="0"/>
                <w:sz w:val="22"/>
                <w:szCs w:val="22"/>
              </w:rPr>
              <w:t>，切实杜绝逃避市场监管行为</w:t>
            </w:r>
            <w:r>
              <w:rPr>
                <w:rFonts w:hAnsi="宋体" w:eastAsia="宋体"/>
                <w:color w:val="000000"/>
                <w:kern w:val="0"/>
                <w:sz w:val="22"/>
                <w:szCs w:val="22"/>
              </w:rPr>
              <w:t>。</w:t>
            </w:r>
          </w:p>
        </w:tc>
        <w:tc>
          <w:tcPr>
            <w:tcW w:w="3029"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textAlignment w:val="auto"/>
              <w:rPr>
                <w:rFonts w:eastAsia="宋体"/>
                <w:color w:val="000000"/>
                <w:kern w:val="0"/>
                <w:sz w:val="22"/>
                <w:szCs w:val="22"/>
              </w:rPr>
            </w:pPr>
            <w:r>
              <w:rPr>
                <w:rFonts w:hAnsi="宋体" w:eastAsia="宋体"/>
                <w:color w:val="000000"/>
                <w:kern w:val="0"/>
                <w:sz w:val="22"/>
                <w:szCs w:val="22"/>
              </w:rPr>
              <w:t>检查企业证照是否齐全，所生产的品种、地点等信息与许可证是否一致，生产经营档案是否齐全，受委托生产者是否备案及备案内容是否完整等，检查生产企业覆盖率</w:t>
            </w:r>
            <w:r>
              <w:rPr>
                <w:rFonts w:eastAsia="宋体"/>
                <w:color w:val="000000"/>
                <w:kern w:val="0"/>
                <w:sz w:val="22"/>
                <w:szCs w:val="22"/>
              </w:rPr>
              <w:t>100%</w:t>
            </w:r>
            <w:r>
              <w:rPr>
                <w:rFonts w:hAnsi="宋体" w:eastAsia="宋体"/>
                <w:color w:val="000000"/>
                <w:kern w:val="0"/>
                <w:sz w:val="22"/>
                <w:szCs w:val="22"/>
              </w:rPr>
              <w:t>；在苗期和收获期，利用转基因试纸条等快速检测手段，对制种地块的植株进行转基因成分快速检测；在收获期，抽取水稻、玉米样品进行品种真实性检测；在种子调运季节，重点检查调运种子的生产许可、植物检疫、去向和数量；对维权企业举报线索和列入监管重点的制种基地、生产加工单位进行跟踪检查。</w:t>
            </w:r>
          </w:p>
        </w:tc>
        <w:tc>
          <w:tcPr>
            <w:tcW w:w="3092"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textAlignment w:val="auto"/>
              <w:rPr>
                <w:rFonts w:eastAsia="宋体"/>
                <w:color w:val="000000"/>
                <w:kern w:val="0"/>
                <w:sz w:val="22"/>
                <w:szCs w:val="22"/>
              </w:rPr>
            </w:pPr>
            <w:r>
              <w:rPr>
                <w:rFonts w:hAnsi="宋体" w:eastAsia="宋体"/>
                <w:color w:val="000000"/>
                <w:kern w:val="0"/>
                <w:sz w:val="22"/>
                <w:szCs w:val="22"/>
              </w:rPr>
              <w:t>重点检查无证生产经营（含过期、超范围）、假冒优质种公</w:t>
            </w:r>
            <w:r>
              <w:rPr>
                <w:rFonts w:hint="eastAsia" w:hAnsi="宋体" w:eastAsia="宋体"/>
                <w:color w:val="000000"/>
                <w:kern w:val="0"/>
                <w:sz w:val="22"/>
                <w:szCs w:val="22"/>
              </w:rPr>
              <w:t>畜</w:t>
            </w:r>
            <w:r>
              <w:rPr>
                <w:rFonts w:hAnsi="宋体" w:eastAsia="宋体"/>
                <w:color w:val="000000"/>
                <w:kern w:val="0"/>
                <w:sz w:val="22"/>
                <w:szCs w:val="22"/>
              </w:rPr>
              <w:t>精液、系谱档案不全等问题；种畜禽生产经营许可信息纳入</w:t>
            </w:r>
            <w:r>
              <w:rPr>
                <w:rFonts w:eastAsia="宋体"/>
                <w:color w:val="000000"/>
                <w:kern w:val="0"/>
                <w:sz w:val="22"/>
                <w:szCs w:val="22"/>
              </w:rPr>
              <w:t>“</w:t>
            </w:r>
            <w:r>
              <w:rPr>
                <w:rFonts w:hAnsi="宋体" w:eastAsia="宋体"/>
                <w:color w:val="000000"/>
                <w:kern w:val="0"/>
                <w:sz w:val="22"/>
                <w:szCs w:val="22"/>
              </w:rPr>
              <w:t>全国种畜禽生产经营许可管理系统</w:t>
            </w:r>
            <w:r>
              <w:rPr>
                <w:rFonts w:eastAsia="宋体"/>
                <w:color w:val="000000"/>
                <w:kern w:val="0"/>
                <w:sz w:val="22"/>
                <w:szCs w:val="22"/>
              </w:rPr>
              <w:t>”</w:t>
            </w:r>
            <w:r>
              <w:rPr>
                <w:rFonts w:hAnsi="宋体" w:eastAsia="宋体"/>
                <w:color w:val="000000"/>
                <w:kern w:val="0"/>
                <w:sz w:val="22"/>
                <w:szCs w:val="22"/>
              </w:rPr>
              <w:t>统一管理，组织开展种畜禽种春、秋质量监督抽查。</w:t>
            </w:r>
          </w:p>
        </w:tc>
        <w:tc>
          <w:tcPr>
            <w:tcW w:w="2713"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600" w:lineRule="exact"/>
              <w:jc w:val="left"/>
              <w:textAlignment w:val="auto"/>
              <w:rPr>
                <w:rFonts w:eastAsia="宋体"/>
                <w:color w:val="000000"/>
                <w:kern w:val="0"/>
                <w:sz w:val="22"/>
                <w:szCs w:val="22"/>
              </w:rPr>
            </w:pPr>
            <w:r>
              <w:rPr>
                <w:rFonts w:hAnsi="宋体" w:eastAsia="宋体"/>
                <w:color w:val="000000"/>
                <w:kern w:val="0"/>
                <w:sz w:val="22"/>
                <w:szCs w:val="22"/>
              </w:rPr>
              <w:t>履行属地责任；加强种业普法</w:t>
            </w:r>
            <w:r>
              <w:rPr>
                <w:rFonts w:hint="eastAsia" w:hAnsi="宋体" w:eastAsia="宋体"/>
                <w:color w:val="000000"/>
                <w:kern w:val="0"/>
                <w:sz w:val="22"/>
                <w:szCs w:val="22"/>
              </w:rPr>
              <w:t>培训</w:t>
            </w:r>
            <w:r>
              <w:rPr>
                <w:rFonts w:hAnsi="宋体" w:eastAsia="宋体"/>
                <w:color w:val="000000"/>
                <w:kern w:val="0"/>
                <w:sz w:val="22"/>
                <w:szCs w:val="22"/>
              </w:rPr>
              <w:t>宣传；提升种业执法能力，完善执法联动协调机制，及时移送涉嫌种业犯罪案件；市场检查和监督抽查样品率不少于上年；检查反映问题整改合格率</w:t>
            </w:r>
            <w:r>
              <w:rPr>
                <w:rFonts w:eastAsia="宋体"/>
                <w:color w:val="000000"/>
                <w:kern w:val="0"/>
                <w:sz w:val="22"/>
                <w:szCs w:val="22"/>
              </w:rPr>
              <w:t>100%</w:t>
            </w:r>
            <w:r>
              <w:rPr>
                <w:rFonts w:hAnsi="宋体" w:eastAsia="宋体"/>
                <w:color w:val="000000"/>
                <w:kern w:val="0"/>
                <w:sz w:val="22"/>
                <w:szCs w:val="22"/>
              </w:rPr>
              <w:t>；上级部门转办督办的种业投诉举报案件查处反馈率</w:t>
            </w:r>
            <w:r>
              <w:rPr>
                <w:rFonts w:eastAsia="宋体"/>
                <w:color w:val="000000"/>
                <w:kern w:val="0"/>
                <w:sz w:val="22"/>
                <w:szCs w:val="22"/>
              </w:rPr>
              <w:t>100%</w:t>
            </w:r>
            <w:r>
              <w:rPr>
                <w:rFonts w:hAnsi="宋体" w:eastAsia="宋体"/>
                <w:color w:val="000000"/>
                <w:kern w:val="0"/>
                <w:sz w:val="22"/>
                <w:szCs w:val="22"/>
              </w:rPr>
              <w:t>。</w:t>
            </w:r>
          </w:p>
        </w:tc>
      </w:tr>
    </w:tbl>
    <w:p>
      <w:pPr>
        <w:pageBreakBefore w:val="0"/>
        <w:kinsoku/>
        <w:wordWrap/>
        <w:overflowPunct/>
        <w:topLinePunct w:val="0"/>
        <w:autoSpaceDE/>
        <w:autoSpaceDN/>
        <w:bidi w:val="0"/>
        <w:adjustRightInd/>
        <w:snapToGrid/>
        <w:spacing w:line="600" w:lineRule="exact"/>
        <w:textAlignment w:val="auto"/>
      </w:pPr>
    </w:p>
    <w:p>
      <w:pPr>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0" w:firstLineChars="0"/>
      <w:rPr>
        <w:rStyle w:val="7"/>
        <w:sz w:val="28"/>
        <w:szCs w:val="28"/>
      </w:rPr>
    </w:pPr>
    <w:r>
      <w:rPr>
        <w:rStyle w:val="7"/>
        <w:rFonts w:hint="eastAsia"/>
        <w:sz w:val="28"/>
        <w:szCs w:val="28"/>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4</w:t>
    </w:r>
    <w:r>
      <w:rPr>
        <w:rStyle w:val="7"/>
        <w:sz w:val="28"/>
        <w:szCs w:val="28"/>
      </w:rPr>
      <w:fldChar w:fldCharType="end"/>
    </w:r>
    <w:r>
      <w:rPr>
        <w:rStyle w:val="7"/>
        <w:rFonts w:hint="eastAsia"/>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jc0ZTE2M2EwNDY5YTllNzQ5ZmYwMDA2OGNjMzQifQ=="/>
  </w:docVars>
  <w:rsids>
    <w:rsidRoot w:val="03CD6154"/>
    <w:rsid w:val="008E0C60"/>
    <w:rsid w:val="03CD6154"/>
    <w:rsid w:val="07F06710"/>
    <w:rsid w:val="13AB1D68"/>
    <w:rsid w:val="1DAD0520"/>
    <w:rsid w:val="22157E93"/>
    <w:rsid w:val="29A74106"/>
    <w:rsid w:val="2B485D2C"/>
    <w:rsid w:val="32760E03"/>
    <w:rsid w:val="39EB4927"/>
    <w:rsid w:val="3A63223A"/>
    <w:rsid w:val="44914150"/>
    <w:rsid w:val="45CF18F3"/>
    <w:rsid w:val="4AD02FA5"/>
    <w:rsid w:val="4AF911C0"/>
    <w:rsid w:val="4C4E16E2"/>
    <w:rsid w:val="4FB31CD0"/>
    <w:rsid w:val="4FDF1F0B"/>
    <w:rsid w:val="50C138E6"/>
    <w:rsid w:val="54007078"/>
    <w:rsid w:val="549873C3"/>
    <w:rsid w:val="576F0018"/>
    <w:rsid w:val="5CBC77F8"/>
    <w:rsid w:val="5D7E74AF"/>
    <w:rsid w:val="5DA160A9"/>
    <w:rsid w:val="5EA53D75"/>
    <w:rsid w:val="5FB534A0"/>
    <w:rsid w:val="60E86524"/>
    <w:rsid w:val="7197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adjustRightInd w:val="0"/>
      <w:snapToGrid w:val="0"/>
      <w:spacing w:line="240" w:lineRule="atLeast"/>
      <w:ind w:firstLine="200" w:firstLineChars="200"/>
      <w:jc w:val="left"/>
    </w:pPr>
    <w:rPr>
      <w:rFonts w:ascii="Times New Roman" w:hAnsi="Times New Roman" w:eastAsia="仿宋_GB2312" w:cs="Times New Roman"/>
      <w:sz w:val="18"/>
      <w:szCs w:val="18"/>
    </w:rPr>
  </w:style>
  <w:style w:type="paragraph" w:styleId="4">
    <w:name w:val="header"/>
    <w:basedOn w:val="1"/>
    <w:qFormat/>
    <w:uiPriority w:val="0"/>
    <w:pPr>
      <w:pBdr>
        <w:bottom w:val="single" w:color="auto" w:sz="6" w:space="1"/>
      </w:pBdr>
      <w:tabs>
        <w:tab w:val="center" w:pos="4153"/>
        <w:tab w:val="right" w:pos="8306"/>
      </w:tabs>
      <w:adjustRightInd w:val="0"/>
      <w:snapToGrid w:val="0"/>
      <w:spacing w:line="240" w:lineRule="atLeast"/>
      <w:ind w:firstLine="200" w:firstLineChars="200"/>
      <w:jc w:val="center"/>
    </w:pPr>
    <w:rPr>
      <w:rFonts w:ascii="Times New Roman" w:hAnsi="Times New Roman" w:eastAsia="仿宋_GB2312" w:cs="Times New Roman"/>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2672</Words>
  <Characters>2749</Characters>
  <Lines>0</Lines>
  <Paragraphs>0</Paragraphs>
  <TotalTime>12</TotalTime>
  <ScaleCrop>false</ScaleCrop>
  <LinksUpToDate>false</LinksUpToDate>
  <CharactersWithSpaces>2785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2022-04-24T06:36:00Z</dcterms:created>
  <dc:creator>Administrator</dc:creator>
  <cp:lastModifiedBy>Administrator</cp:lastModifiedBy>
  <dcterms:modified xsi:type="dcterms:W3CDTF">2022-04-28T08:04:45Z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D24879FE3673448BAC9912A9B379FAF3</vt:lpwstr>
  </property>
  <property fmtid="{D5CDD505-2E9C-101B-9397-08002B2CF9AE}" pid="4" name="commondata">
    <vt:lpwstr>eyJoZGlkIjoiY2M1MDI3NDhhYmEyYjczM2IxZWIyNGI1OGQ2MDU0YTEifQ==</vt:lpwstr>
  </property>
</Properties>
</file>