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36" w:beforeLines="100"/>
        <w:jc w:val="center"/>
        <w:rPr>
          <w:rFonts w:cs="宋体"/>
          <w:b/>
          <w:bCs/>
          <w:sz w:val="72"/>
          <w:szCs w:val="72"/>
          <w:highlight w:val="yellow"/>
        </w:rPr>
      </w:pPr>
      <w:bookmarkStart w:id="20" w:name="_GoBack"/>
      <w:bookmarkEnd w:id="20"/>
    </w:p>
    <w:p>
      <w:pPr>
        <w:spacing w:before="436" w:beforeLines="100" w:line="240" w:lineRule="auto"/>
        <w:jc w:val="center"/>
        <w:rPr>
          <w:rFonts w:cs="宋体"/>
          <w:b/>
          <w:bCs/>
          <w:sz w:val="72"/>
          <w:szCs w:val="72"/>
        </w:rPr>
      </w:pPr>
      <w:r>
        <w:rPr>
          <w:rFonts w:hint="eastAsia" w:cs="宋体"/>
          <w:b/>
          <w:bCs/>
          <w:sz w:val="72"/>
          <w:szCs w:val="72"/>
        </w:rPr>
        <w:t>建设项目环境影响报告表</w:t>
      </w:r>
    </w:p>
    <w:p>
      <w:pPr>
        <w:spacing w:line="240" w:lineRule="auto"/>
        <w:jc w:val="center"/>
        <w:rPr>
          <w:rFonts w:cs="宋体"/>
        </w:rPr>
      </w:pPr>
    </w:p>
    <w:p>
      <w:pPr>
        <w:spacing w:line="240" w:lineRule="auto"/>
        <w:jc w:val="center"/>
        <w:rPr>
          <w:rFonts w:cs="宋体"/>
        </w:rPr>
      </w:pPr>
    </w:p>
    <w:p>
      <w:pPr>
        <w:spacing w:line="240" w:lineRule="auto"/>
        <w:jc w:val="center"/>
        <w:rPr>
          <w:rFonts w:cs="宋体"/>
        </w:rPr>
      </w:pPr>
    </w:p>
    <w:p>
      <w:pPr>
        <w:spacing w:line="240" w:lineRule="auto"/>
        <w:jc w:val="center"/>
        <w:rPr>
          <w:rFonts w:cs="宋体"/>
        </w:rPr>
      </w:pPr>
    </w:p>
    <w:p>
      <w:pPr>
        <w:spacing w:line="240" w:lineRule="auto"/>
        <w:jc w:val="center"/>
        <w:rPr>
          <w:rFonts w:cs="宋体"/>
        </w:rPr>
      </w:pPr>
    </w:p>
    <w:p>
      <w:pPr>
        <w:spacing w:line="240" w:lineRule="auto"/>
        <w:jc w:val="center"/>
        <w:rPr>
          <w:rFonts w:cs="宋体"/>
        </w:rPr>
      </w:pPr>
    </w:p>
    <w:p>
      <w:pPr>
        <w:pStyle w:val="2"/>
        <w:spacing w:line="240" w:lineRule="auto"/>
      </w:pPr>
    </w:p>
    <w:p>
      <w:pPr>
        <w:spacing w:line="240" w:lineRule="auto"/>
        <w:jc w:val="right"/>
        <w:rPr>
          <w:rFonts w:cs="宋体"/>
          <w:highlight w:val="yellow"/>
        </w:rPr>
      </w:pPr>
    </w:p>
    <w:p>
      <w:pPr>
        <w:spacing w:line="240" w:lineRule="auto"/>
        <w:jc w:val="center"/>
        <w:rPr>
          <w:rFonts w:cs="宋体"/>
        </w:rPr>
      </w:pPr>
    </w:p>
    <w:p>
      <w:pPr>
        <w:spacing w:line="240" w:lineRule="auto"/>
        <w:ind w:left="2859" w:right="-106" w:rightChars="-44" w:hanging="2859" w:hangingChars="800"/>
        <w:rPr>
          <w:rFonts w:cs="宋体"/>
          <w:b/>
          <w:bCs/>
          <w:sz w:val="32"/>
          <w:szCs w:val="40"/>
          <w:u w:val="single"/>
        </w:rPr>
      </w:pPr>
      <w:r>
        <w:rPr>
          <w:rFonts w:hint="eastAsia" w:cs="宋体"/>
          <w:b/>
          <w:bCs/>
          <w:spacing w:val="8"/>
          <w:sz w:val="34"/>
        </w:rPr>
        <w:t>项</w:t>
      </w:r>
      <w:r>
        <w:rPr>
          <w:rFonts w:hint="eastAsia" w:cs="宋体"/>
          <w:b/>
          <w:bCs/>
          <w:spacing w:val="8"/>
          <w:sz w:val="34"/>
          <w:lang w:val="en-US" w:eastAsia="zh-CN"/>
        </w:rPr>
        <w:t xml:space="preserve"> </w:t>
      </w:r>
      <w:r>
        <w:rPr>
          <w:rFonts w:hint="eastAsia" w:cs="宋体"/>
          <w:b/>
          <w:bCs/>
          <w:spacing w:val="8"/>
          <w:sz w:val="34"/>
        </w:rPr>
        <w:t xml:space="preserve"> 目</w:t>
      </w:r>
      <w:r>
        <w:rPr>
          <w:rFonts w:hint="eastAsia" w:cs="宋体"/>
          <w:b/>
          <w:bCs/>
          <w:spacing w:val="8"/>
          <w:sz w:val="34"/>
          <w:lang w:val="en-US" w:eastAsia="zh-CN"/>
        </w:rPr>
        <w:t xml:space="preserve"> </w:t>
      </w:r>
      <w:r>
        <w:rPr>
          <w:rFonts w:hint="eastAsia" w:cs="宋体"/>
          <w:b/>
          <w:bCs/>
          <w:spacing w:val="8"/>
          <w:sz w:val="34"/>
        </w:rPr>
        <w:t xml:space="preserve"> 名 </w:t>
      </w:r>
      <w:r>
        <w:rPr>
          <w:rFonts w:hint="eastAsia" w:cs="宋体"/>
          <w:b/>
          <w:bCs/>
          <w:spacing w:val="8"/>
          <w:sz w:val="34"/>
          <w:lang w:val="en-US" w:eastAsia="zh-CN"/>
        </w:rPr>
        <w:t xml:space="preserve"> </w:t>
      </w:r>
      <w:r>
        <w:rPr>
          <w:rFonts w:hint="eastAsia" w:cs="宋体"/>
          <w:b/>
          <w:bCs/>
          <w:spacing w:val="8"/>
          <w:sz w:val="34"/>
        </w:rPr>
        <w:t>称</w:t>
      </w:r>
      <w:r>
        <w:rPr>
          <w:rFonts w:hint="eastAsia" w:cs="宋体"/>
          <w:sz w:val="34"/>
        </w:rPr>
        <w:t>：</w:t>
      </w:r>
      <w:r>
        <w:rPr>
          <w:rFonts w:hint="eastAsia" w:cs="宋体"/>
          <w:b/>
          <w:bCs/>
          <w:sz w:val="32"/>
          <w:szCs w:val="40"/>
          <w:u w:val="single"/>
        </w:rPr>
        <w:t>株洲（省级）经开区生物科技园示范园配套道路新建工程</w:t>
      </w:r>
    </w:p>
    <w:p>
      <w:pPr>
        <w:spacing w:line="240" w:lineRule="auto"/>
        <w:rPr>
          <w:rFonts w:cs="宋体"/>
          <w:sz w:val="34"/>
        </w:rPr>
      </w:pPr>
      <w:r>
        <w:rPr>
          <w:rFonts w:hint="eastAsia" w:cs="宋体"/>
          <w:b/>
          <w:bCs/>
          <w:sz w:val="34"/>
        </w:rPr>
        <w:t>建设单位（盖章）</w:t>
      </w:r>
      <w:r>
        <w:rPr>
          <w:rFonts w:hint="eastAsia" w:cs="宋体"/>
          <w:sz w:val="34"/>
        </w:rPr>
        <w:t>：</w:t>
      </w:r>
      <w:r>
        <w:rPr>
          <w:rFonts w:hint="eastAsia" w:cs="宋体"/>
          <w:b/>
          <w:bCs/>
          <w:sz w:val="32"/>
          <w:szCs w:val="40"/>
          <w:u w:val="single"/>
        </w:rPr>
        <w:t>株洲经开置业有限公司</w:t>
      </w:r>
      <w:r>
        <w:rPr>
          <w:rFonts w:hint="eastAsia" w:cs="宋体"/>
          <w:b/>
          <w:bCs/>
          <w:sz w:val="32"/>
          <w:szCs w:val="40"/>
          <w:u w:val="single"/>
          <w:lang w:val="en-US" w:eastAsia="zh-CN"/>
        </w:rPr>
        <w:t xml:space="preserve">  </w:t>
      </w:r>
      <w:r>
        <w:rPr>
          <w:rFonts w:hint="eastAsia" w:cs="宋体"/>
          <w:b/>
          <w:bCs/>
          <w:szCs w:val="32"/>
          <w:u w:val="single"/>
          <w:lang w:val="en-US" w:eastAsia="zh-CN"/>
        </w:rPr>
        <w:t xml:space="preserve">      </w:t>
      </w:r>
      <w:r>
        <w:rPr>
          <w:rFonts w:hint="eastAsia" w:cs="宋体"/>
          <w:b/>
          <w:bCs/>
          <w:szCs w:val="32"/>
          <w:u w:val="single"/>
        </w:rPr>
        <w:t xml:space="preserve"> </w:t>
      </w:r>
      <w:r>
        <w:rPr>
          <w:rFonts w:hint="eastAsia" w:cs="宋体"/>
          <w:b/>
          <w:bCs/>
          <w:szCs w:val="32"/>
          <w:u w:val="single"/>
          <w:lang w:val="en-US" w:eastAsia="zh-CN"/>
        </w:rPr>
        <w:t xml:space="preserve">       </w:t>
      </w:r>
    </w:p>
    <w:p>
      <w:pPr>
        <w:spacing w:line="240" w:lineRule="auto"/>
        <w:ind w:left="1176" w:hanging="1176" w:hangingChars="346"/>
        <w:rPr>
          <w:rFonts w:cs="宋体"/>
          <w:sz w:val="34"/>
          <w:u w:val="single"/>
        </w:rPr>
      </w:pPr>
    </w:p>
    <w:p>
      <w:pPr>
        <w:spacing w:line="240" w:lineRule="auto"/>
        <w:jc w:val="center"/>
        <w:rPr>
          <w:rFonts w:cs="宋体"/>
          <w:b/>
          <w:bCs/>
          <w:sz w:val="34"/>
        </w:rPr>
      </w:pPr>
    </w:p>
    <w:p>
      <w:pPr>
        <w:spacing w:line="240" w:lineRule="auto"/>
        <w:jc w:val="center"/>
        <w:rPr>
          <w:b/>
          <w:bCs/>
          <w:sz w:val="34"/>
        </w:rPr>
      </w:pPr>
      <w:r>
        <w:rPr>
          <w:b/>
          <w:bCs/>
          <w:sz w:val="34"/>
        </w:rPr>
        <w:t>编制日期：20</w:t>
      </w:r>
      <w:r>
        <w:rPr>
          <w:rFonts w:hint="eastAsia"/>
          <w:b/>
          <w:bCs/>
          <w:sz w:val="34"/>
          <w:lang w:val="en-US" w:eastAsia="zh-CN"/>
        </w:rPr>
        <w:t>20</w:t>
      </w:r>
      <w:r>
        <w:rPr>
          <w:b/>
          <w:bCs/>
          <w:sz w:val="34"/>
        </w:rPr>
        <w:t>年</w:t>
      </w:r>
      <w:r>
        <w:rPr>
          <w:rFonts w:hint="eastAsia"/>
          <w:b/>
          <w:bCs/>
          <w:sz w:val="34"/>
          <w:lang w:val="en-US" w:eastAsia="zh-CN"/>
        </w:rPr>
        <w:t>11</w:t>
      </w:r>
      <w:r>
        <w:rPr>
          <w:b/>
          <w:bCs/>
          <w:sz w:val="34"/>
        </w:rPr>
        <w:t>月</w:t>
      </w:r>
    </w:p>
    <w:p>
      <w:pPr>
        <w:spacing w:line="240" w:lineRule="auto"/>
        <w:jc w:val="center"/>
        <w:rPr>
          <w:b/>
          <w:bCs/>
          <w:sz w:val="34"/>
        </w:rPr>
      </w:pPr>
      <w:r>
        <w:rPr>
          <w:rFonts w:hint="eastAsia"/>
          <w:b/>
          <w:bCs/>
          <w:sz w:val="34"/>
          <w:lang w:eastAsia="zh-CN"/>
        </w:rPr>
        <w:t>生态环境部</w:t>
      </w:r>
      <w:r>
        <w:rPr>
          <w:b/>
          <w:bCs/>
          <w:sz w:val="34"/>
        </w:rPr>
        <w:t>制</w:t>
      </w:r>
    </w:p>
    <w:p>
      <w:pPr>
        <w:spacing w:line="240" w:lineRule="auto"/>
        <w:jc w:val="center"/>
        <w:rPr>
          <w:rFonts w:cs="宋体"/>
          <w:b/>
          <w:bCs/>
          <w:sz w:val="34"/>
          <w:highlight w:val="yellow"/>
        </w:rPr>
      </w:pPr>
    </w:p>
    <w:p>
      <w:pPr>
        <w:spacing w:line="240" w:lineRule="auto"/>
        <w:jc w:val="center"/>
        <w:rPr>
          <w:rFonts w:cs="宋体"/>
          <w:b/>
          <w:bCs/>
          <w:sz w:val="34"/>
          <w:highlight w:val="yellow"/>
        </w:rPr>
      </w:pPr>
    </w:p>
    <w:p>
      <w:pPr>
        <w:spacing w:line="240" w:lineRule="auto"/>
        <w:jc w:val="center"/>
        <w:rPr>
          <w:rFonts w:cs="宋体"/>
          <w:b/>
          <w:bCs/>
          <w:sz w:val="34"/>
          <w:highlight w:val="yellow"/>
        </w:rPr>
      </w:pPr>
    </w:p>
    <w:p>
      <w:pPr>
        <w:pStyle w:val="4"/>
        <w:spacing w:line="240" w:lineRule="auto"/>
        <w:ind w:firstLine="723" w:firstLineChars="200"/>
        <w:jc w:val="center"/>
        <w:rPr>
          <w:rFonts w:ascii="Times New Roman" w:cs="宋体"/>
          <w:b/>
          <w:sz w:val="36"/>
          <w:szCs w:val="36"/>
        </w:rPr>
      </w:pPr>
      <w:r>
        <w:rPr>
          <w:rFonts w:hint="eastAsia" w:ascii="Times New Roman" w:cs="宋体"/>
          <w:b/>
          <w:sz w:val="36"/>
          <w:szCs w:val="36"/>
        </w:rPr>
        <w:t>《建设项目环境影响报告表》编制说明</w:t>
      </w:r>
    </w:p>
    <w:p>
      <w:pPr>
        <w:spacing w:line="240" w:lineRule="auto"/>
      </w:pPr>
    </w:p>
    <w:p>
      <w:pPr>
        <w:pStyle w:val="3"/>
        <w:spacing w:line="240" w:lineRule="auto"/>
        <w:rPr>
          <w:rFonts w:ascii="宋体" w:hAnsi="宋体" w:cs="宋体" w:eastAsiaTheme="minorEastAsia"/>
          <w:szCs w:val="28"/>
        </w:rPr>
      </w:pPr>
      <w:r>
        <w:rPr>
          <w:rFonts w:hint="eastAsia" w:ascii="宋体" w:hAnsi="宋体" w:cs="宋体" w:eastAsiaTheme="minorEastAsia"/>
          <w:szCs w:val="28"/>
        </w:rPr>
        <w:t>《建设项目环境影响报告表》由具有从事环境影响评价工作资质的单位编制。</w:t>
      </w:r>
    </w:p>
    <w:p>
      <w:pPr>
        <w:pStyle w:val="3"/>
        <w:spacing w:line="240" w:lineRule="auto"/>
        <w:rPr>
          <w:rFonts w:ascii="宋体" w:hAnsi="宋体" w:cs="宋体" w:eastAsiaTheme="minorEastAsia"/>
          <w:szCs w:val="28"/>
        </w:rPr>
      </w:pPr>
      <w:r>
        <w:rPr>
          <w:rFonts w:hint="eastAsia" w:ascii="宋体" w:hAnsi="宋体" w:cs="宋体" w:eastAsiaTheme="minorEastAsia"/>
          <w:szCs w:val="28"/>
        </w:rPr>
        <w:t>1、项目名称—指项目立项批复时的名称，应不超过30个字(两个英文字段作一个汉字)。</w:t>
      </w:r>
    </w:p>
    <w:p>
      <w:pPr>
        <w:pStyle w:val="3"/>
        <w:spacing w:line="240" w:lineRule="auto"/>
        <w:rPr>
          <w:rFonts w:ascii="宋体" w:hAnsi="宋体" w:cs="宋体" w:eastAsiaTheme="minorEastAsia"/>
          <w:szCs w:val="28"/>
        </w:rPr>
      </w:pPr>
      <w:r>
        <w:rPr>
          <w:rFonts w:hint="eastAsia" w:ascii="宋体" w:hAnsi="宋体" w:cs="宋体" w:eastAsiaTheme="minorEastAsia"/>
          <w:szCs w:val="28"/>
        </w:rPr>
        <w:t>2、建设地点—指项目所在地详细地址、公路、铁路应填写起止地点。</w:t>
      </w:r>
    </w:p>
    <w:p>
      <w:pPr>
        <w:pStyle w:val="3"/>
        <w:spacing w:line="240" w:lineRule="auto"/>
        <w:rPr>
          <w:rFonts w:ascii="宋体" w:hAnsi="宋体" w:cs="宋体" w:eastAsiaTheme="minorEastAsia"/>
          <w:szCs w:val="28"/>
        </w:rPr>
      </w:pPr>
      <w:r>
        <w:rPr>
          <w:rFonts w:hint="eastAsia" w:ascii="宋体" w:hAnsi="宋体" w:cs="宋体" w:eastAsiaTheme="minorEastAsia"/>
          <w:szCs w:val="28"/>
        </w:rPr>
        <w:t>3、行业类别—按国标填写。</w:t>
      </w:r>
    </w:p>
    <w:p>
      <w:pPr>
        <w:pStyle w:val="3"/>
        <w:spacing w:line="240" w:lineRule="auto"/>
        <w:rPr>
          <w:rFonts w:ascii="宋体" w:hAnsi="宋体" w:cs="宋体" w:eastAsiaTheme="minorEastAsia"/>
          <w:szCs w:val="28"/>
        </w:rPr>
      </w:pPr>
      <w:r>
        <w:rPr>
          <w:rFonts w:hint="eastAsia" w:ascii="宋体" w:hAnsi="宋体" w:cs="宋体" w:eastAsiaTheme="minorEastAsia"/>
          <w:szCs w:val="28"/>
        </w:rPr>
        <w:t>4、总投资—指项目投资总额。</w:t>
      </w:r>
    </w:p>
    <w:p>
      <w:pPr>
        <w:pStyle w:val="3"/>
        <w:spacing w:line="240" w:lineRule="auto"/>
        <w:rPr>
          <w:rFonts w:ascii="宋体" w:hAnsi="宋体" w:cs="宋体" w:eastAsiaTheme="minorEastAsia"/>
          <w:szCs w:val="28"/>
        </w:rPr>
      </w:pPr>
      <w:r>
        <w:rPr>
          <w:rFonts w:hint="eastAsia" w:ascii="宋体" w:hAnsi="宋体" w:cs="宋体" w:eastAsiaTheme="minorEastAsia"/>
          <w:szCs w:val="28"/>
        </w:rPr>
        <w:t>5、主要环境保护目标—指项目区周围一定范围内集中居民住宅区、学校、医院、保护文物、风景名胜区、水源地和生态敏感点等，应尽可能给出保护目标、性质、规模和距厂界距离等。</w:t>
      </w:r>
    </w:p>
    <w:p>
      <w:pPr>
        <w:pStyle w:val="3"/>
        <w:spacing w:line="240" w:lineRule="auto"/>
        <w:rPr>
          <w:rFonts w:ascii="宋体" w:hAnsi="宋体" w:cs="宋体" w:eastAsiaTheme="minorEastAsia"/>
          <w:szCs w:val="28"/>
        </w:rPr>
      </w:pPr>
      <w:r>
        <w:rPr>
          <w:rFonts w:hint="eastAsia" w:ascii="宋体" w:hAnsi="宋体" w:cs="宋体" w:eastAsiaTheme="minorEastAsia"/>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pStyle w:val="3"/>
        <w:spacing w:line="240" w:lineRule="auto"/>
        <w:rPr>
          <w:rFonts w:ascii="宋体" w:hAnsi="宋体" w:cs="宋体" w:eastAsiaTheme="minorEastAsia"/>
          <w:szCs w:val="28"/>
        </w:rPr>
      </w:pPr>
      <w:r>
        <w:rPr>
          <w:rFonts w:hint="eastAsia" w:ascii="宋体" w:hAnsi="宋体" w:cs="宋体" w:eastAsiaTheme="minorEastAsia"/>
          <w:szCs w:val="28"/>
        </w:rPr>
        <w:t>7、预审意见—由行业主管部门填写答复意见，无主管部门项目，可不填。</w:t>
      </w:r>
    </w:p>
    <w:p>
      <w:pPr>
        <w:pStyle w:val="3"/>
        <w:spacing w:line="240" w:lineRule="auto"/>
        <w:rPr>
          <w:rFonts w:hint="eastAsia" w:ascii="宋体" w:hAnsi="宋体" w:cs="宋体" w:eastAsiaTheme="minorEastAsia"/>
          <w:szCs w:val="28"/>
        </w:rPr>
        <w:sectPr>
          <w:headerReference r:id="rId3" w:type="default"/>
          <w:footerReference r:id="rId4" w:type="default"/>
          <w:footerReference r:id="rId5" w:type="even"/>
          <w:pgSz w:w="11907" w:h="16840"/>
          <w:pgMar w:top="1440" w:right="1417" w:bottom="1440" w:left="1417" w:header="992" w:footer="850" w:gutter="0"/>
          <w:cols w:space="720" w:num="1"/>
          <w:docGrid w:type="lines" w:linePitch="436" w:charSpace="0"/>
        </w:sectPr>
      </w:pPr>
      <w:r>
        <w:rPr>
          <w:rFonts w:hint="eastAsia" w:ascii="宋体" w:hAnsi="宋体" w:cs="宋体" w:eastAsiaTheme="minorEastAsia"/>
          <w:szCs w:val="28"/>
        </w:rPr>
        <w:t>8、审批意见—由负责审批项目的环境保护行政主管部门批复。</w:t>
      </w:r>
    </w:p>
    <w:p>
      <w:pPr>
        <w:spacing w:line="540" w:lineRule="exact"/>
        <w:jc w:val="center"/>
        <w:rPr>
          <w:rFonts w:hint="eastAsia" w:eastAsia="仿宋_GB2312"/>
          <w:b/>
          <w:bCs/>
          <w:sz w:val="36"/>
          <w:szCs w:val="36"/>
          <w:lang w:eastAsia="zh-CN"/>
        </w:rPr>
      </w:pPr>
      <w:r>
        <w:rPr>
          <w:rFonts w:hint="eastAsia" w:eastAsia="仿宋_GB2312"/>
          <w:b/>
          <w:bCs/>
          <w:sz w:val="36"/>
          <w:szCs w:val="36"/>
          <w:lang w:eastAsia="zh-CN"/>
        </w:rPr>
        <w:t>修改清单</w:t>
      </w:r>
    </w:p>
    <w:p>
      <w:pPr>
        <w:bidi w:val="0"/>
        <w:ind w:firstLine="480" w:firstLineChars="200"/>
        <w:rPr>
          <w:rFonts w:hint="default"/>
          <w:lang w:val="en-US" w:eastAsia="zh-CN"/>
        </w:rPr>
      </w:pPr>
      <w:r>
        <w:rPr>
          <w:rFonts w:hint="eastAsia"/>
        </w:rPr>
        <w:t>1、完善项目建设的必要性和项目背景情况介绍，补充本项目建设与项目周边开发的相互关系及影响</w:t>
      </w:r>
      <w:r>
        <w:rPr>
          <w:rFonts w:hint="eastAsia"/>
          <w:lang w:eastAsia="zh-CN"/>
        </w:rPr>
        <w:t>。</w:t>
      </w:r>
      <w:r>
        <w:rPr>
          <w:rFonts w:hint="eastAsia"/>
          <w:lang w:val="en-US" w:eastAsia="zh-CN"/>
        </w:rPr>
        <w:t>P1-2</w:t>
      </w:r>
    </w:p>
    <w:p>
      <w:pPr>
        <w:bidi w:val="0"/>
        <w:ind w:firstLine="480" w:firstLineChars="200"/>
      </w:pPr>
      <w:r>
        <w:rPr>
          <w:rFonts w:hint="eastAsia"/>
        </w:rPr>
        <w:t>2</w:t>
      </w:r>
      <w:r>
        <w:t>、完善工程建设内容和工程分析</w:t>
      </w:r>
    </w:p>
    <w:p>
      <w:pPr>
        <w:bidi w:val="0"/>
        <w:ind w:firstLine="480" w:firstLineChars="200"/>
        <w:rPr>
          <w:rFonts w:hint="default"/>
          <w:lang w:val="en-US"/>
        </w:rPr>
      </w:pPr>
      <w:r>
        <w:t>1）核实工程建设内容（如管线种类、规格、长度等），核实完善项目原辅材料消耗、主要施工设备设施一览表。</w:t>
      </w:r>
      <w:r>
        <w:rPr>
          <w:rFonts w:hint="eastAsia"/>
          <w:lang w:val="en-US" w:eastAsia="zh-CN"/>
        </w:rPr>
        <w:t>P5-7，22-23</w:t>
      </w:r>
    </w:p>
    <w:p>
      <w:pPr>
        <w:bidi w:val="0"/>
        <w:ind w:firstLine="480" w:firstLineChars="200"/>
        <w:rPr>
          <w:rFonts w:hint="default" w:eastAsia="宋体"/>
          <w:lang w:val="en-US" w:eastAsia="zh-CN"/>
        </w:rPr>
      </w:pPr>
      <w:r>
        <w:t>2）核实工程临时用地情况（如施工设备、材料临时占地，表土临时堆存及面积等）。</w:t>
      </w:r>
      <w:r>
        <w:rPr>
          <w:rFonts w:hint="eastAsia"/>
          <w:lang w:val="en-US" w:eastAsia="zh-CN"/>
        </w:rPr>
        <w:t>P30-31</w:t>
      </w:r>
    </w:p>
    <w:p>
      <w:pPr>
        <w:bidi w:val="0"/>
        <w:ind w:firstLine="480" w:firstLineChars="200"/>
        <w:rPr>
          <w:rFonts w:hint="default" w:eastAsia="宋体"/>
          <w:lang w:val="en-US" w:eastAsia="zh-CN"/>
        </w:rPr>
      </w:pPr>
      <w:r>
        <w:t>3）结合本工程建设方案，核实施工期废水、废气、噪声等污染源源强。</w:t>
      </w:r>
      <w:r>
        <w:rPr>
          <w:rFonts w:hint="eastAsia"/>
          <w:lang w:val="en-US" w:eastAsia="zh-CN"/>
        </w:rPr>
        <w:t>P47-51</w:t>
      </w:r>
    </w:p>
    <w:p>
      <w:pPr>
        <w:bidi w:val="0"/>
        <w:ind w:firstLine="480" w:firstLineChars="200"/>
        <w:rPr>
          <w:rFonts w:hint="default" w:eastAsia="宋体"/>
          <w:lang w:val="en-US" w:eastAsia="zh-CN"/>
        </w:rPr>
      </w:pPr>
      <w:r>
        <w:t>4）</w:t>
      </w:r>
      <w:r>
        <w:rPr>
          <w:rFonts w:hint="eastAsia"/>
        </w:rPr>
        <w:t>根据用地现状标高和建设标高，</w:t>
      </w:r>
      <w:r>
        <w:t>核实土石方平衡，</w:t>
      </w:r>
      <w:r>
        <w:rPr>
          <w:rFonts w:hint="eastAsia"/>
        </w:rPr>
        <w:t>进一步强化借方运输路线的环境影响分析，据此提出优化借方来源及运输路线的方案，并对挖装及运输提出污染控制措施要求。</w:t>
      </w:r>
      <w:r>
        <w:rPr>
          <w:rFonts w:hint="eastAsia"/>
          <w:lang w:val="en-US" w:eastAsia="zh-CN"/>
        </w:rPr>
        <w:t>P30</w:t>
      </w:r>
    </w:p>
    <w:p>
      <w:pPr>
        <w:bidi w:val="0"/>
        <w:ind w:firstLine="480" w:firstLineChars="200"/>
        <w:rPr>
          <w:rFonts w:hint="default" w:eastAsia="宋体"/>
          <w:lang w:val="en-US" w:eastAsia="zh-CN"/>
        </w:rPr>
      </w:pPr>
      <w:r>
        <w:t>5）细化施工期废水（包括项目现有区域污水）、雨水排放途径，补充区域雨污管网建设情况及本工程雨污水管网与其对接情况</w:t>
      </w:r>
      <w:r>
        <w:rPr>
          <w:rFonts w:hint="eastAsia"/>
        </w:rPr>
        <w:t>，</w:t>
      </w:r>
      <w:r>
        <w:t>说明污水进入城市污水处理厂的路径</w:t>
      </w:r>
      <w:r>
        <w:rPr>
          <w:rFonts w:hint="eastAsia"/>
        </w:rPr>
        <w:t>，</w:t>
      </w:r>
      <w:r>
        <w:t>并从环保角度分析其合理性。</w:t>
      </w:r>
      <w:r>
        <w:rPr>
          <w:rFonts w:hint="eastAsia"/>
          <w:lang w:val="en-US" w:eastAsia="zh-CN"/>
        </w:rPr>
        <w:t>P17-19</w:t>
      </w:r>
    </w:p>
    <w:p>
      <w:pPr>
        <w:bidi w:val="0"/>
        <w:ind w:firstLine="480" w:firstLineChars="200"/>
        <w:rPr>
          <w:rFonts w:hint="eastAsia"/>
        </w:rPr>
      </w:pPr>
      <w:r>
        <w:rPr>
          <w:rFonts w:hint="eastAsia"/>
        </w:rPr>
        <w:t>3</w:t>
      </w:r>
      <w:r>
        <w:t>、</w:t>
      </w:r>
      <w:r>
        <w:rPr>
          <w:rFonts w:hint="eastAsia"/>
        </w:rPr>
        <w:t>完善环境质量现状调查与分析。</w:t>
      </w:r>
    </w:p>
    <w:p>
      <w:pPr>
        <w:bidi w:val="0"/>
        <w:ind w:firstLine="480" w:firstLineChars="200"/>
        <w:rPr>
          <w:rFonts w:hint="default" w:eastAsia="宋体"/>
          <w:lang w:val="en-US" w:eastAsia="zh-CN"/>
        </w:rPr>
      </w:pPr>
      <w:r>
        <w:rPr>
          <w:rFonts w:hint="eastAsia"/>
        </w:rPr>
        <w:t>1）空气质量为不达标区，应根据导则要求补充达标规划情况和区域采取的大气污染防治措施情况。</w:t>
      </w:r>
      <w:r>
        <w:rPr>
          <w:rFonts w:hint="eastAsia"/>
          <w:lang w:val="en-US" w:eastAsia="zh-CN"/>
        </w:rPr>
        <w:t>P39</w:t>
      </w:r>
    </w:p>
    <w:p>
      <w:pPr>
        <w:bidi w:val="0"/>
        <w:ind w:firstLine="480" w:firstLineChars="200"/>
        <w:rPr>
          <w:rFonts w:hint="default" w:eastAsia="宋体"/>
          <w:lang w:val="en-US" w:eastAsia="zh-CN"/>
        </w:rPr>
      </w:pPr>
      <w:r>
        <w:rPr>
          <w:rFonts w:hint="eastAsia"/>
        </w:rPr>
        <w:t>2）核实白石港水环境质量现状，至少应采用全年数据进行分析。</w:t>
      </w:r>
      <w:r>
        <w:rPr>
          <w:rFonts w:hint="eastAsia"/>
          <w:lang w:val="en-US" w:eastAsia="zh-CN"/>
        </w:rPr>
        <w:t>P40</w:t>
      </w:r>
    </w:p>
    <w:p>
      <w:pPr>
        <w:bidi w:val="0"/>
        <w:ind w:firstLine="480" w:firstLineChars="200"/>
      </w:pPr>
      <w:r>
        <w:rPr>
          <w:rFonts w:hint="eastAsia"/>
        </w:rPr>
        <w:t>4</w:t>
      </w:r>
      <w:r>
        <w:t>、强化工程环境影响预测与评价及环保措施可行性论证</w:t>
      </w:r>
    </w:p>
    <w:p>
      <w:pPr>
        <w:bidi w:val="0"/>
        <w:ind w:firstLine="480" w:firstLineChars="200"/>
        <w:rPr>
          <w:rFonts w:hint="default" w:eastAsia="宋体"/>
          <w:lang w:val="en-US" w:eastAsia="zh-CN"/>
        </w:rPr>
      </w:pPr>
      <w:r>
        <w:t>1）结合评价范围声环保目标分布和噪声源源强及分布，按噪声评价等级完善噪声对环保目标的影响预测与评价，进一步分析论证噪声控制措施的可行性</w:t>
      </w:r>
      <w:r>
        <w:rPr>
          <w:rFonts w:hint="eastAsia"/>
        </w:rPr>
        <w:t>。</w:t>
      </w:r>
      <w:r>
        <w:rPr>
          <w:rFonts w:hint="eastAsia"/>
          <w:lang w:val="en-US" w:eastAsia="zh-CN"/>
        </w:rPr>
        <w:t>P65,72-73,77</w:t>
      </w:r>
    </w:p>
    <w:p>
      <w:pPr>
        <w:bidi w:val="0"/>
        <w:ind w:firstLine="480" w:firstLineChars="200"/>
        <w:rPr>
          <w:rFonts w:hint="default" w:eastAsia="宋体"/>
          <w:lang w:val="en-US" w:eastAsia="zh-CN"/>
        </w:rPr>
      </w:pPr>
      <w:r>
        <w:rPr>
          <w:rFonts w:hint="eastAsia"/>
        </w:rPr>
        <w:t>2）</w:t>
      </w:r>
      <w:r>
        <w:t>结合道路沿线两侧耕地、林地、水塘的分布情况，</w:t>
      </w:r>
      <w:r>
        <w:rPr>
          <w:rFonts w:hint="eastAsia"/>
        </w:rPr>
        <w:t>明确施工期废水治理的隔油池、沉淀池的位置、处理规模，并论证其不外排的可行性</w:t>
      </w:r>
      <w:r>
        <w:t>。</w:t>
      </w:r>
      <w:r>
        <w:rPr>
          <w:rFonts w:hint="eastAsia"/>
          <w:lang w:val="en-US" w:eastAsia="zh-CN"/>
        </w:rPr>
        <w:t>P72</w:t>
      </w:r>
    </w:p>
    <w:p>
      <w:pPr>
        <w:bidi w:val="0"/>
        <w:ind w:firstLine="480" w:firstLineChars="200"/>
        <w:rPr>
          <w:rFonts w:hint="default" w:eastAsia="宋体"/>
          <w:lang w:val="en-US" w:eastAsia="zh-CN"/>
        </w:rPr>
      </w:pPr>
      <w:r>
        <w:rPr>
          <w:rFonts w:hint="eastAsia"/>
        </w:rPr>
        <w:t>3</w:t>
      </w:r>
      <w:r>
        <w:t>）</w:t>
      </w:r>
      <w:r>
        <w:rPr>
          <w:rFonts w:hint="eastAsia"/>
        </w:rPr>
        <w:t>进一步</w:t>
      </w:r>
      <w:r>
        <w:t>细化项目临时用地（施工设备、材料、废水处理、表土暂存等）选址的环境合理性。</w:t>
      </w:r>
      <w:r>
        <w:rPr>
          <w:rFonts w:hint="eastAsia"/>
          <w:lang w:val="en-US" w:eastAsia="zh-CN"/>
        </w:rPr>
        <w:t>P68-69</w:t>
      </w:r>
    </w:p>
    <w:p>
      <w:pPr>
        <w:bidi w:val="0"/>
        <w:ind w:firstLine="480" w:firstLineChars="200"/>
        <w:rPr>
          <w:rFonts w:hint="default" w:eastAsia="宋体"/>
          <w:lang w:val="en-US" w:eastAsia="zh-CN"/>
        </w:rPr>
      </w:pPr>
      <w:r>
        <w:rPr>
          <w:rFonts w:hint="eastAsia"/>
        </w:rPr>
        <w:t>4）进一步细化施工期扬尘污染防治措施分析，明确提出八个100%要求。</w:t>
      </w:r>
      <w:r>
        <w:rPr>
          <w:rFonts w:hint="eastAsia"/>
          <w:lang w:val="en-US" w:eastAsia="zh-CN"/>
        </w:rPr>
        <w:t>P63，69-71</w:t>
      </w:r>
    </w:p>
    <w:p>
      <w:pPr>
        <w:bidi w:val="0"/>
        <w:ind w:firstLine="480" w:firstLineChars="200"/>
        <w:rPr>
          <w:rFonts w:hint="default" w:eastAsia="宋体"/>
          <w:lang w:val="en-US" w:eastAsia="zh-CN"/>
        </w:rPr>
      </w:pPr>
      <w:r>
        <w:rPr>
          <w:rFonts w:hint="eastAsia"/>
          <w:lang w:val="en-US" w:eastAsia="zh-CN"/>
        </w:rPr>
        <w:t>5</w:t>
      </w:r>
      <w:r>
        <w:t>）补充对社会环境保护目标的保护措施。</w:t>
      </w:r>
      <w:r>
        <w:rPr>
          <w:rFonts w:hint="eastAsia"/>
          <w:lang w:val="en-US" w:eastAsia="zh-CN"/>
        </w:rPr>
        <w:t>P74-75</w:t>
      </w:r>
    </w:p>
    <w:p>
      <w:pPr>
        <w:bidi w:val="0"/>
        <w:ind w:firstLine="480" w:firstLineChars="200"/>
        <w:rPr>
          <w:rFonts w:hint="default" w:eastAsia="宋体"/>
          <w:lang w:val="en-US" w:eastAsia="zh-CN"/>
        </w:rPr>
      </w:pPr>
      <w:r>
        <w:rPr>
          <w:rFonts w:hint="eastAsia"/>
          <w:lang w:val="en-US" w:eastAsia="zh-CN"/>
        </w:rPr>
        <w:t>6</w:t>
      </w:r>
      <w:r>
        <w:t>）细化说明表土回用情况。</w:t>
      </w:r>
      <w:r>
        <w:rPr>
          <w:rFonts w:hint="eastAsia"/>
          <w:lang w:val="en-US" w:eastAsia="zh-CN"/>
        </w:rPr>
        <w:t>P66</w:t>
      </w:r>
    </w:p>
    <w:p>
      <w:pPr>
        <w:bidi w:val="0"/>
        <w:ind w:firstLine="480" w:firstLineChars="200"/>
        <w:rPr>
          <w:rFonts w:hint="default" w:eastAsia="宋体"/>
          <w:lang w:val="en-US" w:eastAsia="zh-CN"/>
        </w:rPr>
      </w:pPr>
      <w:r>
        <w:rPr>
          <w:rFonts w:hint="eastAsia"/>
          <w:lang w:val="en-US" w:eastAsia="zh-CN"/>
        </w:rPr>
        <w:t>7</w:t>
      </w:r>
      <w:r>
        <w:rPr>
          <w:rFonts w:hint="eastAsia"/>
        </w:rPr>
        <w:t>）补充运输路线环境保护措施分析。</w:t>
      </w:r>
      <w:r>
        <w:rPr>
          <w:rFonts w:hint="eastAsia"/>
          <w:lang w:val="en-US" w:eastAsia="zh-CN"/>
        </w:rPr>
        <w:t>P70-71</w:t>
      </w:r>
    </w:p>
    <w:p>
      <w:pPr>
        <w:bidi w:val="0"/>
        <w:ind w:firstLine="480" w:firstLineChars="200"/>
        <w:rPr>
          <w:rFonts w:hint="default" w:eastAsia="宋体"/>
          <w:lang w:val="en-US" w:eastAsia="zh-CN"/>
        </w:rPr>
      </w:pPr>
      <w:r>
        <w:rPr>
          <w:rFonts w:hint="eastAsia"/>
        </w:rPr>
        <w:t>5</w:t>
      </w:r>
      <w:r>
        <w:t>、核实环保投资估算，细化、完善工程环保“三同时”验收一览表及相关附件。</w:t>
      </w:r>
      <w:r>
        <w:rPr>
          <w:rFonts w:hint="eastAsia"/>
          <w:lang w:val="en-US" w:eastAsia="zh-CN"/>
        </w:rPr>
        <w:t>P90-91</w:t>
      </w:r>
    </w:p>
    <w:p>
      <w:pPr>
        <w:pStyle w:val="3"/>
        <w:spacing w:line="240" w:lineRule="auto"/>
        <w:rPr>
          <w:rFonts w:hint="eastAsia" w:ascii="宋体" w:hAnsi="宋体" w:cs="宋体" w:eastAsiaTheme="minorEastAsia"/>
          <w:szCs w:val="28"/>
        </w:rPr>
        <w:sectPr>
          <w:pgSz w:w="11907" w:h="16840"/>
          <w:pgMar w:top="1440" w:right="1417" w:bottom="1440" w:left="1417" w:header="992" w:footer="850" w:gutter="0"/>
          <w:cols w:space="720" w:num="1"/>
          <w:docGrid w:type="lines" w:linePitch="436" w:charSpace="0"/>
        </w:sectPr>
      </w:pPr>
    </w:p>
    <w:p>
      <w:pPr>
        <w:pStyle w:val="3"/>
        <w:spacing w:line="240" w:lineRule="auto"/>
        <w:ind w:left="0" w:leftChars="0" w:firstLine="0" w:firstLineChars="0"/>
        <w:jc w:val="center"/>
        <w:rPr>
          <w:rFonts w:hint="eastAsia" w:ascii="宋体" w:hAnsi="宋体" w:cs="宋体" w:eastAsiaTheme="minorEastAsia"/>
          <w:szCs w:val="28"/>
          <w:lang w:eastAsia="zh-CN"/>
        </w:rPr>
        <w:sectPr>
          <w:pgSz w:w="11907" w:h="16840"/>
          <w:pgMar w:top="1440" w:right="1417" w:bottom="1440" w:left="1417" w:header="992" w:footer="850" w:gutter="0"/>
          <w:cols w:space="720" w:num="1"/>
          <w:docGrid w:type="lines" w:linePitch="436" w:charSpace="0"/>
        </w:sectPr>
      </w:pPr>
      <w:r>
        <w:rPr>
          <w:rFonts w:hint="eastAsia" w:ascii="宋体" w:hAnsi="宋体" w:cs="宋体" w:eastAsiaTheme="minorEastAsia"/>
          <w:szCs w:val="28"/>
          <w:lang w:eastAsia="zh-CN"/>
        </w:rPr>
        <w:drawing>
          <wp:inline distT="0" distB="0" distL="114300" distR="114300">
            <wp:extent cx="5687695" cy="7783195"/>
            <wp:effectExtent l="0" t="0" r="8255" b="8255"/>
            <wp:docPr id="7" name="图片 7" descr="6、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资质"/>
                    <pic:cNvPicPr>
                      <a:picLocks noChangeAspect="1"/>
                    </pic:cNvPicPr>
                  </pic:nvPicPr>
                  <pic:blipFill>
                    <a:blip r:embed="rId8"/>
                    <a:srcRect l="6224" t="-653" r="5441" b="15458"/>
                    <a:stretch>
                      <a:fillRect/>
                    </a:stretch>
                  </pic:blipFill>
                  <pic:spPr>
                    <a:xfrm>
                      <a:off x="0" y="0"/>
                      <a:ext cx="5687695" cy="7783195"/>
                    </a:xfrm>
                    <a:prstGeom prst="rect">
                      <a:avLst/>
                    </a:prstGeom>
                  </pic:spPr>
                </pic:pic>
              </a:graphicData>
            </a:graphic>
          </wp:inline>
        </w:drawing>
      </w:r>
    </w:p>
    <w:p>
      <w:pPr>
        <w:jc w:val="left"/>
        <w:outlineLvl w:val="0"/>
        <w:rPr>
          <w:rFonts w:cs="宋体"/>
          <w:b/>
          <w:sz w:val="28"/>
        </w:rPr>
      </w:pPr>
      <w:r>
        <w:rPr>
          <w:rFonts w:hint="eastAsia" w:cs="宋体"/>
          <w:b/>
          <w:sz w:val="28"/>
        </w:rPr>
        <w:t>建设项目基本情况</w:t>
      </w:r>
    </w:p>
    <w:tbl>
      <w:tblPr>
        <w:tblStyle w:val="34"/>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2633"/>
        <w:gridCol w:w="127"/>
        <w:gridCol w:w="1364"/>
        <w:gridCol w:w="1455"/>
        <w:gridCol w:w="947"/>
        <w:gridCol w:w="422"/>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项目名称</w:t>
            </w:r>
          </w:p>
        </w:tc>
        <w:tc>
          <w:tcPr>
            <w:tcW w:w="8347" w:type="dxa"/>
            <w:gridSpan w:val="7"/>
            <w:vAlign w:val="center"/>
          </w:tcPr>
          <w:p>
            <w:pPr>
              <w:jc w:val="center"/>
              <w:rPr>
                <w:sz w:val="24"/>
              </w:rPr>
            </w:pPr>
            <w:r>
              <w:rPr>
                <w:rFonts w:hint="eastAsia"/>
                <w:sz w:val="24"/>
              </w:rPr>
              <w:t>株洲（省级）经开区生物科技园示范园配套道路新建工程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建设单位</w:t>
            </w:r>
          </w:p>
        </w:tc>
        <w:tc>
          <w:tcPr>
            <w:tcW w:w="8347" w:type="dxa"/>
            <w:gridSpan w:val="7"/>
            <w:vAlign w:val="center"/>
          </w:tcPr>
          <w:p>
            <w:pPr>
              <w:jc w:val="center"/>
              <w:rPr>
                <w:sz w:val="24"/>
              </w:rPr>
            </w:pPr>
            <w:r>
              <w:rPr>
                <w:rFonts w:hint="eastAsia"/>
                <w:sz w:val="24"/>
              </w:rPr>
              <w:t xml:space="preserve">株洲经开置业有限公司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法人代表</w:t>
            </w:r>
          </w:p>
        </w:tc>
        <w:tc>
          <w:tcPr>
            <w:tcW w:w="4124" w:type="dxa"/>
            <w:gridSpan w:val="3"/>
            <w:vAlign w:val="center"/>
          </w:tcPr>
          <w:p>
            <w:pPr>
              <w:jc w:val="center"/>
              <w:rPr>
                <w:sz w:val="24"/>
              </w:rPr>
            </w:pPr>
            <w:r>
              <w:rPr>
                <w:rFonts w:hint="eastAsia"/>
                <w:sz w:val="24"/>
              </w:rPr>
              <w:t xml:space="preserve">李 威 </w:t>
            </w:r>
          </w:p>
        </w:tc>
        <w:tc>
          <w:tcPr>
            <w:tcW w:w="1455" w:type="dxa"/>
            <w:vAlign w:val="center"/>
          </w:tcPr>
          <w:p>
            <w:pPr>
              <w:jc w:val="center"/>
              <w:rPr>
                <w:sz w:val="24"/>
              </w:rPr>
            </w:pPr>
            <w:r>
              <w:rPr>
                <w:sz w:val="24"/>
              </w:rPr>
              <w:t>联 系 人</w:t>
            </w:r>
          </w:p>
        </w:tc>
        <w:tc>
          <w:tcPr>
            <w:tcW w:w="2768" w:type="dxa"/>
            <w:gridSpan w:val="3"/>
            <w:vAlign w:val="center"/>
          </w:tcPr>
          <w:p>
            <w:pPr>
              <w:jc w:val="center"/>
              <w:rPr>
                <w:rFonts w:hint="default" w:eastAsia="宋体"/>
                <w:sz w:val="24"/>
                <w:lang w:val="en-US" w:eastAsia="zh-CN"/>
              </w:rPr>
            </w:pPr>
            <w:r>
              <w:rPr>
                <w:rFonts w:hint="eastAsia"/>
                <w:sz w:val="24"/>
                <w:lang w:eastAsia="zh-CN"/>
              </w:rPr>
              <w:t>刘奇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通讯地址</w:t>
            </w:r>
          </w:p>
        </w:tc>
        <w:tc>
          <w:tcPr>
            <w:tcW w:w="8347" w:type="dxa"/>
            <w:gridSpan w:val="7"/>
            <w:vAlign w:val="center"/>
          </w:tcPr>
          <w:p>
            <w:pPr>
              <w:jc w:val="center"/>
              <w:rPr>
                <w:sz w:val="24"/>
              </w:rPr>
            </w:pPr>
            <w:r>
              <w:rPr>
                <w:rFonts w:hint="eastAsia"/>
                <w:sz w:val="24"/>
              </w:rPr>
              <w:t xml:space="preserve">湖南省株洲市云龙示范区云龙大道88号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联系电话</w:t>
            </w:r>
          </w:p>
        </w:tc>
        <w:tc>
          <w:tcPr>
            <w:tcW w:w="2760" w:type="dxa"/>
            <w:gridSpan w:val="2"/>
            <w:vAlign w:val="center"/>
          </w:tcPr>
          <w:p>
            <w:pPr>
              <w:jc w:val="center"/>
              <w:rPr>
                <w:rFonts w:hint="default" w:eastAsia="宋体"/>
                <w:sz w:val="24"/>
                <w:highlight w:val="yellow"/>
                <w:lang w:val="en-US" w:eastAsia="zh-CN"/>
              </w:rPr>
            </w:pPr>
            <w:r>
              <w:rPr>
                <w:rFonts w:hint="eastAsia"/>
                <w:sz w:val="24"/>
                <w:highlight w:val="none"/>
                <w:lang w:val="en-US" w:eastAsia="zh-CN"/>
              </w:rPr>
              <w:t>15197318878</w:t>
            </w:r>
          </w:p>
        </w:tc>
        <w:tc>
          <w:tcPr>
            <w:tcW w:w="1364" w:type="dxa"/>
            <w:vAlign w:val="center"/>
          </w:tcPr>
          <w:p>
            <w:pPr>
              <w:jc w:val="center"/>
              <w:rPr>
                <w:sz w:val="24"/>
              </w:rPr>
            </w:pPr>
            <w:r>
              <w:rPr>
                <w:sz w:val="24"/>
              </w:rPr>
              <w:t>传真</w:t>
            </w:r>
          </w:p>
        </w:tc>
        <w:tc>
          <w:tcPr>
            <w:tcW w:w="1455" w:type="dxa"/>
            <w:vAlign w:val="center"/>
          </w:tcPr>
          <w:p>
            <w:pPr>
              <w:jc w:val="center"/>
              <w:rPr>
                <w:sz w:val="24"/>
              </w:rPr>
            </w:pPr>
            <w:r>
              <w:rPr>
                <w:sz w:val="24"/>
              </w:rPr>
              <w:t>/</w:t>
            </w:r>
          </w:p>
        </w:tc>
        <w:tc>
          <w:tcPr>
            <w:tcW w:w="947" w:type="dxa"/>
            <w:vAlign w:val="center"/>
          </w:tcPr>
          <w:p>
            <w:pPr>
              <w:jc w:val="center"/>
              <w:rPr>
                <w:sz w:val="24"/>
              </w:rPr>
            </w:pPr>
            <w:r>
              <w:rPr>
                <w:sz w:val="24"/>
              </w:rPr>
              <w:t>邮编</w:t>
            </w:r>
          </w:p>
        </w:tc>
        <w:tc>
          <w:tcPr>
            <w:tcW w:w="1821" w:type="dxa"/>
            <w:gridSpan w:val="2"/>
            <w:vAlign w:val="center"/>
          </w:tcPr>
          <w:p>
            <w:pPr>
              <w:jc w:val="left"/>
              <w:rPr>
                <w:sz w:val="24"/>
              </w:rPr>
            </w:pPr>
            <w:r>
              <w:rPr>
                <w:sz w:val="24"/>
              </w:rPr>
              <w:t>412000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建设地点</w:t>
            </w:r>
          </w:p>
        </w:tc>
        <w:tc>
          <w:tcPr>
            <w:tcW w:w="8347" w:type="dxa"/>
            <w:gridSpan w:val="7"/>
            <w:vAlign w:val="center"/>
          </w:tcPr>
          <w:p>
            <w:pPr>
              <w:jc w:val="center"/>
              <w:rPr>
                <w:sz w:val="24"/>
                <w:highlight w:val="yellow"/>
              </w:rPr>
            </w:pPr>
            <w:r>
              <w:rPr>
                <w:rFonts w:hint="default"/>
              </w:rPr>
              <w:t>株洲市</w:t>
            </w:r>
            <w:r>
              <w:t>云龙示范区</w:t>
            </w:r>
            <w:r>
              <w:rPr>
                <w:rFonts w:hint="eastAsia"/>
              </w:rPr>
              <w:t>云田镇马鞍社区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立项审批</w:t>
            </w:r>
          </w:p>
          <w:p>
            <w:pPr>
              <w:jc w:val="center"/>
              <w:rPr>
                <w:rFonts w:cs="宋体"/>
                <w:spacing w:val="-10"/>
                <w:sz w:val="24"/>
              </w:rPr>
            </w:pPr>
            <w:r>
              <w:rPr>
                <w:rFonts w:hint="eastAsia" w:cs="宋体"/>
                <w:sz w:val="24"/>
              </w:rPr>
              <w:t>部   门</w:t>
            </w:r>
          </w:p>
        </w:tc>
        <w:tc>
          <w:tcPr>
            <w:tcW w:w="4124" w:type="dxa"/>
            <w:gridSpan w:val="3"/>
            <w:vAlign w:val="center"/>
          </w:tcPr>
          <w:p>
            <w:pPr>
              <w:jc w:val="center"/>
              <w:rPr>
                <w:sz w:val="24"/>
              </w:rPr>
            </w:pPr>
          </w:p>
        </w:tc>
        <w:tc>
          <w:tcPr>
            <w:tcW w:w="1455" w:type="dxa"/>
            <w:vAlign w:val="center"/>
          </w:tcPr>
          <w:p>
            <w:pPr>
              <w:jc w:val="center"/>
              <w:rPr>
                <w:sz w:val="24"/>
              </w:rPr>
            </w:pPr>
            <w:r>
              <w:rPr>
                <w:sz w:val="24"/>
              </w:rPr>
              <w:t>批准文号</w:t>
            </w:r>
          </w:p>
        </w:tc>
        <w:tc>
          <w:tcPr>
            <w:tcW w:w="2768" w:type="dxa"/>
            <w:gridSpan w:val="3"/>
            <w:vAlign w:val="center"/>
          </w:tcPr>
          <w:p>
            <w:pPr>
              <w:jc w:val="center"/>
              <w:rPr>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建设性质</w:t>
            </w:r>
          </w:p>
        </w:tc>
        <w:tc>
          <w:tcPr>
            <w:tcW w:w="4124" w:type="dxa"/>
            <w:gridSpan w:val="3"/>
            <w:vAlign w:val="center"/>
          </w:tcPr>
          <w:p>
            <w:pPr>
              <w:bidi w:val="0"/>
              <w:jc w:val="center"/>
            </w:pPr>
            <w:r>
              <w:t>新建</w:t>
            </w:r>
          </w:p>
        </w:tc>
        <w:tc>
          <w:tcPr>
            <w:tcW w:w="1455" w:type="dxa"/>
            <w:vAlign w:val="center"/>
          </w:tcPr>
          <w:p>
            <w:pPr>
              <w:jc w:val="center"/>
              <w:rPr>
                <w:sz w:val="24"/>
              </w:rPr>
            </w:pPr>
            <w:r>
              <w:rPr>
                <w:sz w:val="24"/>
              </w:rPr>
              <w:t>行业类别</w:t>
            </w:r>
          </w:p>
          <w:p>
            <w:pPr>
              <w:jc w:val="center"/>
              <w:rPr>
                <w:sz w:val="24"/>
              </w:rPr>
            </w:pPr>
            <w:r>
              <w:rPr>
                <w:sz w:val="24"/>
              </w:rPr>
              <w:t>及代码</w:t>
            </w:r>
          </w:p>
        </w:tc>
        <w:tc>
          <w:tcPr>
            <w:tcW w:w="2768" w:type="dxa"/>
            <w:gridSpan w:val="3"/>
            <w:vAlign w:val="center"/>
          </w:tcPr>
          <w:p>
            <w:pPr>
              <w:jc w:val="center"/>
              <w:rPr>
                <w:sz w:val="24"/>
              </w:rPr>
            </w:pPr>
            <w:r>
              <w:rPr>
                <w:rFonts w:hint="eastAsia"/>
                <w:sz w:val="24"/>
              </w:rPr>
              <w:t>E4813市政道路工程建筑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占地面积</w:t>
            </w:r>
          </w:p>
          <w:p>
            <w:pPr>
              <w:jc w:val="center"/>
              <w:rPr>
                <w:rFonts w:cs="宋体"/>
                <w:sz w:val="24"/>
              </w:rPr>
            </w:pPr>
            <w:r>
              <w:rPr>
                <w:rFonts w:hint="eastAsia" w:cs="宋体"/>
                <w:sz w:val="24"/>
              </w:rPr>
              <w:t>(亩)</w:t>
            </w:r>
          </w:p>
        </w:tc>
        <w:tc>
          <w:tcPr>
            <w:tcW w:w="4124" w:type="dxa"/>
            <w:gridSpan w:val="3"/>
            <w:vAlign w:val="center"/>
          </w:tcPr>
          <w:p>
            <w:pPr>
              <w:jc w:val="center"/>
              <w:rPr>
                <w:rFonts w:hint="default" w:eastAsia="宋体"/>
                <w:sz w:val="24"/>
                <w:highlight w:val="yellow"/>
                <w:lang w:val="en-US" w:eastAsia="zh-CN"/>
              </w:rPr>
            </w:pPr>
            <w:r>
              <w:rPr>
                <w:rFonts w:hint="eastAsia"/>
                <w:sz w:val="24"/>
                <w:lang w:val="en-US" w:eastAsia="zh-CN"/>
              </w:rPr>
              <w:t>146.7</w:t>
            </w:r>
          </w:p>
        </w:tc>
        <w:tc>
          <w:tcPr>
            <w:tcW w:w="1455" w:type="dxa"/>
            <w:vAlign w:val="center"/>
          </w:tcPr>
          <w:p>
            <w:pPr>
              <w:jc w:val="center"/>
              <w:rPr>
                <w:sz w:val="24"/>
              </w:rPr>
            </w:pPr>
            <w:r>
              <w:rPr>
                <w:sz w:val="24"/>
              </w:rPr>
              <w:t>绿化面积</w:t>
            </w:r>
          </w:p>
          <w:p>
            <w:pPr>
              <w:jc w:val="center"/>
              <w:rPr>
                <w:sz w:val="24"/>
              </w:rPr>
            </w:pPr>
            <w:r>
              <w:rPr>
                <w:sz w:val="24"/>
              </w:rPr>
              <w:t>(平方米)</w:t>
            </w:r>
          </w:p>
        </w:tc>
        <w:tc>
          <w:tcPr>
            <w:tcW w:w="2768" w:type="dxa"/>
            <w:gridSpan w:val="3"/>
            <w:vAlign w:val="center"/>
          </w:tcPr>
          <w:p>
            <w:pPr>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总投资</w:t>
            </w:r>
          </w:p>
          <w:p>
            <w:pPr>
              <w:jc w:val="center"/>
              <w:rPr>
                <w:rFonts w:cs="宋体"/>
                <w:sz w:val="24"/>
              </w:rPr>
            </w:pPr>
            <w:r>
              <w:rPr>
                <w:rFonts w:hint="eastAsia" w:cs="宋体"/>
                <w:sz w:val="24"/>
              </w:rPr>
              <w:t>(万元)</w:t>
            </w:r>
          </w:p>
        </w:tc>
        <w:tc>
          <w:tcPr>
            <w:tcW w:w="2633" w:type="dxa"/>
            <w:vAlign w:val="center"/>
          </w:tcPr>
          <w:p>
            <w:pPr>
              <w:jc w:val="center"/>
              <w:rPr>
                <w:sz w:val="24"/>
                <w:highlight w:val="yellow"/>
              </w:rPr>
            </w:pPr>
            <w:r>
              <w:rPr>
                <w:rFonts w:hint="eastAsia"/>
                <w:sz w:val="24"/>
              </w:rPr>
              <w:t>23989.38</w:t>
            </w:r>
          </w:p>
        </w:tc>
        <w:tc>
          <w:tcPr>
            <w:tcW w:w="1491" w:type="dxa"/>
            <w:gridSpan w:val="2"/>
            <w:vAlign w:val="center"/>
          </w:tcPr>
          <w:p>
            <w:pPr>
              <w:jc w:val="left"/>
              <w:rPr>
                <w:sz w:val="24"/>
                <w:highlight w:val="yellow"/>
              </w:rPr>
            </w:pPr>
            <w:r>
              <w:rPr>
                <w:sz w:val="24"/>
              </w:rPr>
              <w:t>其中：环保投资(万元)</w:t>
            </w:r>
          </w:p>
        </w:tc>
        <w:tc>
          <w:tcPr>
            <w:tcW w:w="1455" w:type="dxa"/>
            <w:vAlign w:val="center"/>
          </w:tcPr>
          <w:p>
            <w:pPr>
              <w:jc w:val="center"/>
              <w:rPr>
                <w:rFonts w:hint="default" w:eastAsia="宋体"/>
                <w:sz w:val="24"/>
                <w:lang w:val="en-US" w:eastAsia="zh-CN"/>
              </w:rPr>
            </w:pPr>
            <w:r>
              <w:rPr>
                <w:rFonts w:hint="eastAsia"/>
                <w:sz w:val="24"/>
                <w:lang w:val="en-US" w:eastAsia="zh-CN"/>
              </w:rPr>
              <w:t>3831</w:t>
            </w:r>
          </w:p>
        </w:tc>
        <w:tc>
          <w:tcPr>
            <w:tcW w:w="1369" w:type="dxa"/>
            <w:gridSpan w:val="2"/>
            <w:vAlign w:val="center"/>
          </w:tcPr>
          <w:p>
            <w:pPr>
              <w:jc w:val="left"/>
              <w:rPr>
                <w:sz w:val="24"/>
              </w:rPr>
            </w:pPr>
            <w:r>
              <w:rPr>
                <w:sz w:val="24"/>
              </w:rPr>
              <w:t>环保投资占总投资比例(%)</w:t>
            </w:r>
          </w:p>
        </w:tc>
        <w:tc>
          <w:tcPr>
            <w:tcW w:w="1399" w:type="dxa"/>
            <w:vAlign w:val="center"/>
          </w:tcPr>
          <w:p>
            <w:pPr>
              <w:jc w:val="center"/>
              <w:rPr>
                <w:rFonts w:hint="default" w:eastAsia="宋体"/>
                <w:sz w:val="24"/>
                <w:lang w:val="en-US" w:eastAsia="zh-CN"/>
              </w:rPr>
            </w:pPr>
            <w:r>
              <w:rPr>
                <w:rFonts w:hint="eastAsia"/>
                <w:sz w:val="24"/>
                <w:lang w:val="en-US" w:eastAsia="zh-CN"/>
              </w:rPr>
              <w:t>15.97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9" w:type="dxa"/>
            <w:vAlign w:val="center"/>
          </w:tcPr>
          <w:p>
            <w:pPr>
              <w:jc w:val="center"/>
              <w:rPr>
                <w:rFonts w:cs="宋体"/>
                <w:sz w:val="24"/>
              </w:rPr>
            </w:pPr>
            <w:r>
              <w:rPr>
                <w:rFonts w:hint="eastAsia" w:cs="宋体"/>
                <w:sz w:val="24"/>
              </w:rPr>
              <w:t>评价经费</w:t>
            </w:r>
          </w:p>
          <w:p>
            <w:pPr>
              <w:jc w:val="center"/>
              <w:rPr>
                <w:rFonts w:cs="宋体"/>
                <w:sz w:val="24"/>
              </w:rPr>
            </w:pPr>
            <w:r>
              <w:rPr>
                <w:rFonts w:hint="eastAsia" w:cs="宋体"/>
                <w:sz w:val="24"/>
              </w:rPr>
              <w:t>(万元)</w:t>
            </w:r>
          </w:p>
        </w:tc>
        <w:tc>
          <w:tcPr>
            <w:tcW w:w="2633" w:type="dxa"/>
            <w:vAlign w:val="center"/>
          </w:tcPr>
          <w:p>
            <w:pPr>
              <w:jc w:val="center"/>
              <w:rPr>
                <w:sz w:val="24"/>
              </w:rPr>
            </w:pPr>
            <w:r>
              <w:rPr>
                <w:rFonts w:hint="eastAsia"/>
                <w:sz w:val="24"/>
              </w:rPr>
              <w:t>-</w:t>
            </w:r>
          </w:p>
        </w:tc>
        <w:tc>
          <w:tcPr>
            <w:tcW w:w="2946" w:type="dxa"/>
            <w:gridSpan w:val="3"/>
            <w:vAlign w:val="center"/>
          </w:tcPr>
          <w:p>
            <w:pPr>
              <w:jc w:val="center"/>
              <w:rPr>
                <w:sz w:val="24"/>
              </w:rPr>
            </w:pPr>
            <w:r>
              <w:rPr>
                <w:sz w:val="24"/>
              </w:rPr>
              <w:t>预期投产日期</w:t>
            </w:r>
          </w:p>
        </w:tc>
        <w:tc>
          <w:tcPr>
            <w:tcW w:w="2768" w:type="dxa"/>
            <w:gridSpan w:val="3"/>
            <w:vAlign w:val="center"/>
          </w:tcPr>
          <w:p>
            <w:pPr>
              <w:jc w:val="center"/>
              <w:rPr>
                <w:sz w:val="24"/>
              </w:rPr>
            </w:pPr>
            <w:r>
              <w:rPr>
                <w:sz w:val="24"/>
              </w:rPr>
              <w:t>202</w:t>
            </w:r>
            <w:r>
              <w:rPr>
                <w:rFonts w:hint="eastAsia"/>
                <w:sz w:val="24"/>
                <w:lang w:val="en-US" w:eastAsia="zh-CN"/>
              </w:rPr>
              <w:t>3</w:t>
            </w:r>
            <w:r>
              <w:rPr>
                <w:sz w:val="24"/>
              </w:rPr>
              <w:t>年</w:t>
            </w:r>
            <w:r>
              <w:rPr>
                <w:rFonts w:hint="eastAsia"/>
                <w:sz w:val="24"/>
                <w:lang w:val="en-US" w:eastAsia="zh-CN"/>
              </w:rPr>
              <w:t>7</w:t>
            </w:r>
            <w:r>
              <w:rPr>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776" w:type="dxa"/>
            <w:gridSpan w:val="8"/>
            <w:vAlign w:val="center"/>
          </w:tcPr>
          <w:p>
            <w:r>
              <w:rPr>
                <w:rFonts w:hint="eastAsia"/>
              </w:rPr>
              <w:t>工程内容及规模：</w:t>
            </w:r>
          </w:p>
          <w:p>
            <w:pPr>
              <w:pStyle w:val="3"/>
              <w:spacing w:line="240" w:lineRule="auto"/>
              <w:ind w:firstLine="560" w:firstLineChars="200"/>
            </w:pPr>
            <w:r>
              <w:t>1、</w:t>
            </w:r>
            <w:r>
              <w:rPr>
                <w:rFonts w:hint="eastAsia"/>
              </w:rPr>
              <w:t>建设单位介绍及</w:t>
            </w:r>
            <w:r>
              <w:t>项目建设背景</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株洲经开置业有限公司成立于</w:t>
            </w:r>
            <w:r>
              <w:rPr>
                <w:rFonts w:hint="default"/>
              </w:rPr>
              <w:t>2012</w:t>
            </w:r>
            <w:r>
              <w:t>年</w:t>
            </w:r>
            <w:r>
              <w:rPr>
                <w:rFonts w:hint="default"/>
              </w:rPr>
              <w:t xml:space="preserve">09 </w:t>
            </w:r>
            <w:r>
              <w:t>月</w:t>
            </w:r>
            <w:r>
              <w:rPr>
                <w:rFonts w:hint="default"/>
              </w:rPr>
              <w:t>11</w:t>
            </w:r>
            <w:r>
              <w:t>日</w:t>
            </w:r>
            <w:r>
              <w:rPr>
                <w:rFonts w:hint="eastAsia"/>
              </w:rPr>
              <w:t>，公司住所</w:t>
            </w:r>
            <w:r>
              <w:t xml:space="preserve">湖南省株洲市云龙示范区云龙大道88号 </w:t>
            </w:r>
            <w:r>
              <w:rPr>
                <w:rFonts w:hint="eastAsia"/>
                <w:lang w:eastAsia="zh-CN"/>
              </w:rPr>
              <w:t>。其</w:t>
            </w:r>
            <w:r>
              <w:t>经营范围</w:t>
            </w:r>
            <w:r>
              <w:rPr>
                <w:rFonts w:hint="eastAsia"/>
                <w:lang w:eastAsia="zh-CN"/>
              </w:rPr>
              <w:t>包括</w:t>
            </w:r>
            <w:r>
              <w:t>市政道路建设，公共设施建设，政策性保障房建设， 土地一级开发，房地产开发、经营，物业管理（以上项目凭资质证经营、涉及行政许可的凭有效许可证经营）；房屋租赁，商务信息咨询服务。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u w:val="single"/>
              </w:rPr>
            </w:pPr>
            <w:r>
              <w:rPr>
                <w:rFonts w:hint="eastAsia"/>
                <w:u w:val="single"/>
              </w:rPr>
              <w:t xml:space="preserve">株洲市经开区、云龙示范区位于株洲市北部，位于长株潭城市群东线重点发展轴上，毗邻长沙南部片区、湘潭东北部的三地中心地带。沪昆、长株两条高速在此交汇，连接长沙和株洲的城际干道云龙大道纵贯全境。规划范围《长株潭城市群“两型社会”示范区株洲云龙片区规划（2010-2030）》中所确定的规划范围，总面积 178.7 平方公里，包括学林街道办事处、云田乡、龙头铺镇、仙庾镇和明照乡的行政管辖范围。 </w:t>
            </w:r>
          </w:p>
          <w:p>
            <w:pPr>
              <w:ind w:firstLine="560"/>
              <w:rPr>
                <w:rFonts w:hint="default"/>
                <w:u w:val="single"/>
              </w:rPr>
            </w:pPr>
            <w:r>
              <w:rPr>
                <w:u w:val="single"/>
              </w:rPr>
              <w:t>云龙示范区规划形成</w:t>
            </w:r>
            <w:r>
              <w:rPr>
                <w:rFonts w:hint="eastAsia"/>
                <w:u w:val="single"/>
                <w:lang w:eastAsia="zh-CN"/>
              </w:rPr>
              <w:t>“</w:t>
            </w:r>
            <w:r>
              <w:rPr>
                <w:u w:val="single"/>
              </w:rPr>
              <w:t>一带两片多组团</w:t>
            </w:r>
            <w:r>
              <w:rPr>
                <w:rFonts w:hint="eastAsia"/>
                <w:u w:val="single"/>
                <w:lang w:eastAsia="zh-CN"/>
              </w:rPr>
              <w:t>”</w:t>
            </w:r>
            <w:r>
              <w:rPr>
                <w:u w:val="single"/>
              </w:rPr>
              <w:t>的空间结构</w:t>
            </w:r>
            <w:r>
              <w:rPr>
                <w:rFonts w:hint="eastAsia"/>
                <w:u w:val="single"/>
                <w:lang w:eastAsia="zh-CN"/>
              </w:rPr>
              <w:t>：</w:t>
            </w:r>
            <w:r>
              <w:rPr>
                <w:u w:val="single"/>
              </w:rPr>
              <w:t xml:space="preserve"> </w:t>
            </w:r>
          </w:p>
          <w:p>
            <w:pPr>
              <w:ind w:firstLine="560"/>
              <w:rPr>
                <w:rFonts w:hint="default"/>
                <w:u w:val="single"/>
              </w:rPr>
            </w:pPr>
            <w:r>
              <w:rPr>
                <w:u w:val="single"/>
              </w:rPr>
              <w:t xml:space="preserve">一带：沿龙母河形成整个云龙片区的核心发展带，承担景观带、功能带的职能，是云龙片区最具多元化景观特质的地区，同时也将云龙片区各主要功能片区连为一体。 </w:t>
            </w:r>
          </w:p>
          <w:p>
            <w:pPr>
              <w:ind w:firstLine="560"/>
              <w:rPr>
                <w:rFonts w:hint="default"/>
                <w:u w:val="single"/>
              </w:rPr>
            </w:pPr>
            <w:r>
              <w:rPr>
                <w:u w:val="single"/>
              </w:rPr>
              <w:t xml:space="preserve">两片：以沪昆高速为界，整个云龙片区分为南北两个发展片区。 北部片区承担株洲的区域服务功能，以旅游休闲、商务服务等临空型产业为重点。南部片区是株洲城市功能的拓展片区，以装备制造和科 教研发产业为重点； </w:t>
            </w:r>
          </w:p>
          <w:p>
            <w:pPr>
              <w:bidi w:val="0"/>
              <w:ind w:firstLine="480" w:firstLineChars="200"/>
              <w:rPr>
                <w:u w:val="single"/>
              </w:rPr>
            </w:pPr>
            <w:r>
              <w:rPr>
                <w:u w:val="single"/>
              </w:rPr>
              <w:t>多组团：云龙片区以龙湖和云湖两大水系为核心，形成多个功能组团，北部沿云湖水系形成区域服务功能组团，南部沿龙湖形成城市 拓展功能组团，同时东部和西部形成多个小型居住组团。</w:t>
            </w:r>
          </w:p>
          <w:p>
            <w:pPr>
              <w:ind w:firstLine="560"/>
              <w:rPr>
                <w:rFonts w:hint="eastAsia"/>
                <w:u w:val="single"/>
              </w:rPr>
            </w:pPr>
            <w:r>
              <w:rPr>
                <w:rFonts w:hint="default"/>
                <w:szCs w:val="28"/>
                <w:u w:val="single"/>
              </w:rPr>
              <w:t>《株洲城市总体规划（2006—2020）》中要求增加新的交通干线及大型对外交通设施与长、株、潭三市交通发展战略接轨；建立与现代化区域性大城市相适应的，完善、协调、高效的综合交通运输体系，提高公共交通服务水平，改善交通组织；对外交通以株洲为中心，实现与长、潭、衡三市城区“1小时出行圈”及市内交通“半小时出行圈”的目标。规划提出要加快城市快速路网与主要干道系统建设，切实加强支路特别是中心城区和工业组团支路的疏通建设，完善城市道路网络。加强对外交通与市内交通的衔接，建设客运换乘枢纽，提高交通系统的综合效率。《株洲市“十三五”交通规划》指出：“十三五”期间株洲市将“紧紧围绕建设资源节约型和环境友好型社会和湖南‘一部一带’的战略定位，立足服从和服务于长株潭城市群以及中部崛起社会经济发展战略，进一步整合全市交通资源，构建县县通高速，乡镇通省道，村组通三、四级路，主要节点有站场，实现三四级路连国省道，一二级路接高速，铁路纵横贯通；水路复兴；机场有点；形成网络结构科学合理，功能层次分明的各种交通运输的组合，打造市区30分钟、县域60分钟、市域90分钟的“369”快速交通圈，立足以升级版交通助推全市经济发展。</w:t>
            </w:r>
            <w:r>
              <w:rPr>
                <w:rFonts w:hint="eastAsia"/>
                <w:szCs w:val="28"/>
                <w:u w:val="single"/>
                <w:lang w:eastAsia="zh-CN"/>
              </w:rPr>
              <w:t>而且</w:t>
            </w:r>
            <w:r>
              <w:rPr>
                <w:rFonts w:hint="eastAsia"/>
                <w:u w:val="single"/>
              </w:rPr>
              <w:t>近年来，株洲市加大了基础设施建设力度，片区路网骨架急需拓展，新老片区之间、新区之间的联系需更加紧密，市政设施必须进一步完善。</w:t>
            </w:r>
          </w:p>
          <w:p>
            <w:pPr>
              <w:ind w:firstLine="560"/>
              <w:rPr>
                <w:rFonts w:hint="eastAsia"/>
                <w:u w:val="single"/>
                <w:lang w:eastAsia="zh-CN"/>
              </w:rPr>
            </w:pPr>
            <w:r>
              <w:rPr>
                <w:rFonts w:hint="eastAsia"/>
                <w:u w:val="single"/>
              </w:rPr>
              <w:t>本项目</w:t>
            </w:r>
            <w:r>
              <w:rPr>
                <w:rFonts w:hint="eastAsia"/>
                <w:u w:val="single"/>
                <w:lang w:eastAsia="zh-CN"/>
              </w:rPr>
              <w:t>位于</w:t>
            </w:r>
            <w:r>
              <w:rPr>
                <w:rFonts w:hint="default"/>
                <w:u w:val="single"/>
              </w:rPr>
              <w:t>株洲市</w:t>
            </w:r>
            <w:r>
              <w:rPr>
                <w:u w:val="single"/>
              </w:rPr>
              <w:t>云龙示范区</w:t>
            </w:r>
            <w:r>
              <w:rPr>
                <w:rFonts w:hint="eastAsia"/>
                <w:u w:val="single"/>
                <w:lang w:eastAsia="zh-CN"/>
              </w:rPr>
              <w:t>，包括有马鞍路（百合路-桃园路）、桃园路（马鞍路-纬四路）、纬四路（百合路-桃园路））、百合路（马鞍路-云龙大道）及百合路（云峰大道-马鞍路）。</w:t>
            </w:r>
            <w:r>
              <w:rPr>
                <w:u w:val="single"/>
              </w:rPr>
              <w:t>本项目建设符合国家产业政策和发展方向及株洲市发展的整体规划，</w:t>
            </w:r>
            <w:r>
              <w:rPr>
                <w:rFonts w:hint="eastAsia"/>
                <w:u w:val="single"/>
                <w:lang w:eastAsia="zh-CN"/>
              </w:rPr>
              <w:t>道路贯通性较好，连接云龙大道等多条城市主干路，</w:t>
            </w:r>
            <w:r>
              <w:rPr>
                <w:rFonts w:hint="default"/>
                <w:u w:val="single"/>
              </w:rPr>
              <w:t>可以促进沿线的开发建设和土地升值，拓展城市发展空间</w:t>
            </w:r>
            <w:r>
              <w:rPr>
                <w:rFonts w:hint="eastAsia"/>
                <w:u w:val="single"/>
                <w:lang w:eastAsia="zh-CN"/>
              </w:rPr>
              <w:t>，</w:t>
            </w:r>
            <w:r>
              <w:rPr>
                <w:rFonts w:hint="default"/>
                <w:u w:val="single"/>
              </w:rPr>
              <w:t>促进云龙示范区的发展建设</w:t>
            </w:r>
            <w:r>
              <w:rPr>
                <w:rFonts w:hint="eastAsia"/>
                <w:u w:val="single"/>
                <w:lang w:eastAsia="zh-CN"/>
              </w:rPr>
              <w:t>；有</w:t>
            </w:r>
            <w:r>
              <w:rPr>
                <w:rFonts w:hint="eastAsia"/>
                <w:u w:val="single"/>
              </w:rPr>
              <w:t>利于完善片区内道路网络结构，</w:t>
            </w:r>
            <w:r>
              <w:rPr>
                <w:rFonts w:hint="default"/>
                <w:u w:val="single"/>
              </w:rPr>
              <w:t>加强片区对外联系，片区</w:t>
            </w:r>
            <w:r>
              <w:rPr>
                <w:rFonts w:hint="eastAsia"/>
                <w:u w:val="single"/>
                <w:lang w:eastAsia="zh-CN"/>
              </w:rPr>
              <w:t>内</w:t>
            </w:r>
            <w:r>
              <w:rPr>
                <w:rFonts w:hint="default"/>
                <w:u w:val="single"/>
              </w:rPr>
              <w:t>道路成网成环，实现物流、人流的畅通</w:t>
            </w:r>
            <w:r>
              <w:rPr>
                <w:rFonts w:hint="eastAsia"/>
                <w:u w:val="single"/>
                <w:lang w:eastAsia="zh-CN"/>
              </w:rPr>
              <w:t>；还</w:t>
            </w:r>
            <w:r>
              <w:rPr>
                <w:rFonts w:hint="eastAsia"/>
                <w:u w:val="single"/>
              </w:rPr>
              <w:t>有利于</w:t>
            </w:r>
            <w:r>
              <w:rPr>
                <w:rFonts w:hint="eastAsia"/>
                <w:u w:val="single"/>
                <w:lang w:eastAsia="zh-CN"/>
              </w:rPr>
              <w:t>完善城市功能</w:t>
            </w:r>
            <w:r>
              <w:rPr>
                <w:rFonts w:hint="eastAsia"/>
                <w:u w:val="single"/>
              </w:rPr>
              <w:t>、提升株洲城市整体形象，对株洲市及云龙示范区的社会、经济发展起到十分积极的作用</w:t>
            </w:r>
          </w:p>
          <w:p>
            <w:pPr>
              <w:ind w:firstLine="480" w:firstLineChars="200"/>
              <w:rPr>
                <w:rFonts w:hint="eastAsia"/>
                <w:lang w:eastAsia="zh-CN"/>
              </w:rPr>
            </w:pPr>
            <w:r>
              <w:rPr>
                <w:rFonts w:hint="eastAsia"/>
              </w:rPr>
              <w:t>马鞍路起于学百合路，止于桃园路</w:t>
            </w:r>
            <w:r>
              <w:rPr>
                <w:rFonts w:hint="eastAsia"/>
                <w:lang w:eastAsia="zh-CN"/>
              </w:rPr>
              <w:t>，</w:t>
            </w:r>
            <w:r>
              <w:rPr>
                <w:rFonts w:hint="eastAsia"/>
              </w:rPr>
              <w:t>道路等级为城市次干路</w:t>
            </w:r>
            <w:r>
              <w:rPr>
                <w:rFonts w:hint="eastAsia"/>
                <w:lang w:eastAsia="zh-CN"/>
              </w:rPr>
              <w:t>，</w:t>
            </w:r>
            <w:r>
              <w:rPr>
                <w:rFonts w:hint="eastAsia"/>
              </w:rPr>
              <w:t>路幅</w:t>
            </w:r>
            <w:r>
              <w:rPr>
                <w:rFonts w:hint="eastAsia"/>
                <w:lang w:eastAsia="zh-CN"/>
              </w:rPr>
              <w:t>宽</w:t>
            </w:r>
            <w:r>
              <w:rPr>
                <w:rFonts w:hint="eastAsia"/>
              </w:rPr>
              <w:t>24m</w:t>
            </w:r>
            <w:r>
              <w:rPr>
                <w:rFonts w:hint="eastAsia"/>
                <w:lang w:eastAsia="zh-CN"/>
              </w:rPr>
              <w:t>，路线全长</w:t>
            </w:r>
            <w:r>
              <w:rPr>
                <w:rFonts w:hint="eastAsia"/>
              </w:rPr>
              <w:t>0.35km</w:t>
            </w:r>
            <w:r>
              <w:rPr>
                <w:rFonts w:hint="eastAsia"/>
                <w:lang w:eastAsia="zh-CN"/>
              </w:rPr>
              <w:t>；</w:t>
            </w:r>
            <w:r>
              <w:rPr>
                <w:rFonts w:hint="eastAsia"/>
              </w:rPr>
              <w:t>桃园路起于马鞍路，止于纬四路，道路等级为城市</w:t>
            </w:r>
            <w:r>
              <w:rPr>
                <w:rFonts w:hint="eastAsia"/>
                <w:lang w:eastAsia="zh-CN"/>
              </w:rPr>
              <w:t>主</w:t>
            </w:r>
            <w:r>
              <w:rPr>
                <w:rFonts w:hint="eastAsia"/>
              </w:rPr>
              <w:t>干路</w:t>
            </w:r>
            <w:r>
              <w:rPr>
                <w:rFonts w:hint="eastAsia"/>
                <w:lang w:eastAsia="zh-CN"/>
              </w:rPr>
              <w:t>，</w:t>
            </w:r>
            <w:r>
              <w:rPr>
                <w:rFonts w:hint="eastAsia"/>
              </w:rPr>
              <w:t>路幅宽40m，</w:t>
            </w:r>
            <w:r>
              <w:rPr>
                <w:rFonts w:hint="eastAsia"/>
                <w:lang w:eastAsia="zh-CN"/>
              </w:rPr>
              <w:t>路线全长</w:t>
            </w:r>
            <w:r>
              <w:rPr>
                <w:rFonts w:hint="eastAsia"/>
              </w:rPr>
              <w:t>0.57km</w:t>
            </w:r>
            <w:r>
              <w:rPr>
                <w:rFonts w:hint="eastAsia"/>
                <w:lang w:eastAsia="zh-CN"/>
              </w:rPr>
              <w:t>；</w:t>
            </w:r>
            <w:r>
              <w:rPr>
                <w:rFonts w:hint="eastAsia"/>
              </w:rPr>
              <w:t>纬四路起于百合路，止于桃园路，道路等级为城市</w:t>
            </w:r>
            <w:r>
              <w:rPr>
                <w:rFonts w:hint="eastAsia"/>
                <w:lang w:eastAsia="zh-CN"/>
              </w:rPr>
              <w:t>支</w:t>
            </w:r>
            <w:r>
              <w:rPr>
                <w:rFonts w:hint="eastAsia"/>
              </w:rPr>
              <w:t>路</w:t>
            </w:r>
            <w:r>
              <w:rPr>
                <w:rFonts w:hint="eastAsia"/>
                <w:lang w:eastAsia="zh-CN"/>
              </w:rPr>
              <w:t>，</w:t>
            </w:r>
            <w:r>
              <w:rPr>
                <w:rFonts w:hint="eastAsia"/>
              </w:rPr>
              <w:t>路幅宽13m，</w:t>
            </w:r>
            <w:r>
              <w:rPr>
                <w:rFonts w:hint="eastAsia"/>
                <w:lang w:eastAsia="zh-CN"/>
              </w:rPr>
              <w:t>路线全长</w:t>
            </w:r>
            <w:r>
              <w:rPr>
                <w:rFonts w:hint="eastAsia"/>
              </w:rPr>
              <w:t>0.38km</w:t>
            </w:r>
            <w:r>
              <w:rPr>
                <w:rFonts w:hint="eastAsia"/>
                <w:lang w:eastAsia="zh-CN"/>
              </w:rPr>
              <w:t>；</w:t>
            </w:r>
            <w:r>
              <w:rPr>
                <w:rFonts w:hint="eastAsia"/>
              </w:rPr>
              <w:t>百合路（马鞍路-云龙大道）一期工程起于马鞍路，止于纬四路，道路等级为城市次干路</w:t>
            </w:r>
            <w:r>
              <w:rPr>
                <w:rFonts w:hint="eastAsia"/>
                <w:lang w:eastAsia="zh-CN"/>
              </w:rPr>
              <w:t>，</w:t>
            </w:r>
            <w:r>
              <w:rPr>
                <w:rFonts w:hint="eastAsia"/>
              </w:rPr>
              <w:t>路幅宽24m</w:t>
            </w:r>
            <w:r>
              <w:rPr>
                <w:rFonts w:hint="eastAsia"/>
                <w:lang w:eastAsia="zh-CN"/>
              </w:rPr>
              <w:t>，路线全长</w:t>
            </w:r>
            <w:r>
              <w:rPr>
                <w:rFonts w:hint="eastAsia"/>
              </w:rPr>
              <w:t>0.47km；百合路（云峰大道-马鞍路）二期工程起于云峰大道，止于马鞍路，道路等级为城市次干路</w:t>
            </w:r>
            <w:r>
              <w:rPr>
                <w:rFonts w:hint="eastAsia"/>
                <w:lang w:eastAsia="zh-CN"/>
              </w:rPr>
              <w:t>，</w:t>
            </w:r>
            <w:r>
              <w:rPr>
                <w:rFonts w:hint="eastAsia"/>
              </w:rPr>
              <w:t>路幅宽24m，</w:t>
            </w:r>
            <w:r>
              <w:rPr>
                <w:rFonts w:hint="eastAsia"/>
                <w:lang w:eastAsia="zh-CN"/>
              </w:rPr>
              <w:t>路线全长</w:t>
            </w:r>
            <w:r>
              <w:rPr>
                <w:rFonts w:hint="eastAsia"/>
              </w:rPr>
              <w:t>0.77km。</w:t>
            </w:r>
          </w:p>
          <w:p>
            <w:pPr>
              <w:bidi w:val="0"/>
              <w:ind w:firstLine="480" w:firstLineChars="200"/>
            </w:pPr>
            <w:r>
              <w:rPr>
                <w:rFonts w:hint="eastAsia"/>
              </w:rPr>
              <w:t>根据《中华人民共和国环境保护法》、《中华人民共和国环境影响评价法》、《建设项目环境保护管理条例》的有关规定，受项目业主单位——株洲经开置业有限公司委托，我公司承担本项目的环境影响评价工作。在现场踏勘、资料收集和类比调查研究的基础上，我单位按照新的过江方案编制完成了《株洲（省级）经开区生物科技园示范园配套道路环境影响报告表》。</w:t>
            </w:r>
          </w:p>
          <w:p>
            <w:pPr>
              <w:ind w:firstLine="480" w:firstLineChars="200"/>
            </w:pPr>
            <w:r>
              <w:t>2、项目概况</w:t>
            </w:r>
          </w:p>
          <w:p>
            <w:pPr>
              <w:ind w:firstLine="480" w:firstLineChars="200"/>
            </w:pPr>
            <w:r>
              <w:t>2.1项目基本情况</w:t>
            </w:r>
          </w:p>
          <w:p>
            <w:pPr>
              <w:ind w:firstLine="480" w:firstLineChars="200"/>
            </w:pPr>
            <w:r>
              <w:t>（1）项目名称：</w:t>
            </w:r>
            <w:r>
              <w:rPr>
                <w:rFonts w:hint="eastAsia"/>
              </w:rPr>
              <w:t>株洲（省级）经开区生物科技园示范园配套道路新建工程</w:t>
            </w:r>
          </w:p>
          <w:p>
            <w:pPr>
              <w:ind w:firstLine="480" w:firstLineChars="200"/>
            </w:pPr>
            <w:r>
              <w:t>（2）建设单位：</w:t>
            </w:r>
            <w:r>
              <w:rPr>
                <w:rFonts w:hint="eastAsia"/>
              </w:rPr>
              <w:t xml:space="preserve">株洲经开置业有限公司 </w:t>
            </w:r>
          </w:p>
          <w:p>
            <w:pPr>
              <w:ind w:firstLine="480" w:firstLineChars="200"/>
              <w:rPr>
                <w:rFonts w:hint="eastAsia"/>
                <w:lang w:eastAsia="zh-CN"/>
              </w:rPr>
            </w:pPr>
            <w:r>
              <w:t>（3）建设地点：</w:t>
            </w:r>
            <w:r>
              <w:rPr>
                <w:rFonts w:hint="eastAsia"/>
              </w:rPr>
              <w:t>株洲市云龙示范区</w:t>
            </w:r>
          </w:p>
          <w:p>
            <w:pPr>
              <w:ind w:firstLine="480" w:firstLineChars="200"/>
            </w:pPr>
            <w:r>
              <w:t>（4）建设内容：</w:t>
            </w:r>
            <w:r>
              <w:rPr>
                <w:rFonts w:hint="eastAsia"/>
              </w:rPr>
              <w:t>道路工程、排水工程、管线综合工程、景观工程、照明工程及交通附属工程等。</w:t>
            </w:r>
          </w:p>
          <w:p>
            <w:pPr>
              <w:ind w:firstLine="480" w:firstLineChars="200"/>
              <w:rPr>
                <w:rFonts w:hint="eastAsia"/>
              </w:rPr>
            </w:pPr>
            <w:r>
              <w:t>（5）建设规模：</w:t>
            </w:r>
            <w:r>
              <w:rPr>
                <w:rFonts w:hint="eastAsia"/>
              </w:rPr>
              <w:t>本项目道路共包括马鞍路（百合路-桃园路）、桃园路（马鞍路-纬四路）、纬四路（百合路-桃园路））、百合路（马鞍路-云龙大道）及百合路（云峰大道-马鞍路），其中：</w:t>
            </w:r>
          </w:p>
          <w:p>
            <w:pPr>
              <w:ind w:firstLine="480" w:firstLineChars="200"/>
              <w:rPr>
                <w:rFonts w:hint="eastAsia"/>
              </w:rPr>
            </w:pPr>
            <w:r>
              <w:rPr>
                <w:rFonts w:hint="eastAsia"/>
              </w:rPr>
              <w:t>①马鞍路总用地面积23.60亩，起于学百合路，止于桃园路，道路设计长度0.35km，道路规划路幅24m，设计双向四车道，设计车速为40km/h。</w:t>
            </w:r>
          </w:p>
          <w:p>
            <w:pPr>
              <w:ind w:firstLine="480" w:firstLineChars="200"/>
              <w:rPr>
                <w:rFonts w:hint="eastAsia"/>
              </w:rPr>
            </w:pPr>
            <w:r>
              <w:rPr>
                <w:rFonts w:hint="eastAsia"/>
              </w:rPr>
              <w:t>②桃园路总用地面积54.10亩，起于马鞍路，止于纬四路，道路设计长度0.57km，规划路幅宽度40m，设计双向六车道，设计车速为50km/h。</w:t>
            </w:r>
          </w:p>
          <w:p>
            <w:pPr>
              <w:ind w:firstLine="480" w:firstLineChars="200"/>
              <w:rPr>
                <w:rFonts w:hint="eastAsia"/>
              </w:rPr>
            </w:pPr>
            <w:r>
              <w:rPr>
                <w:rFonts w:hint="eastAsia"/>
              </w:rPr>
              <w:t>③纬四路总用地面积18.80亩，起于百合路，止于桃园路，道路设计长度0.38km，规划路幅宽度13m，设计双向两车道，设计车速为30km/h。</w:t>
            </w:r>
          </w:p>
          <w:p>
            <w:pPr>
              <w:ind w:firstLine="480" w:firstLineChars="200"/>
            </w:pPr>
            <w:r>
              <w:rPr>
                <w:rFonts w:hint="eastAsia"/>
              </w:rPr>
              <w:t>④百合路分两期建设，其中一期工程百合路（马鞍路-云龙大道）总用地面积19.90亩，起于马鞍路，止于纬四路，道路设计长度0.47km，规划路幅宽度24m，设计双向四车道，设计车速为40km/h；二期工程百合路（云峰大道-马鞍路）总用地面30.30亩，起于云峰大道，止于马鞍路，道路设计长度0.77km，规划路幅宽度24m，设计双向四车道，设计车速为40km/h。</w:t>
            </w:r>
          </w:p>
          <w:p>
            <w:pPr>
              <w:numPr>
                <w:ilvl w:val="0"/>
                <w:numId w:val="1"/>
              </w:numPr>
              <w:ind w:firstLine="480" w:firstLineChars="200"/>
              <w:rPr>
                <w:rFonts w:hint="eastAsia"/>
              </w:rPr>
            </w:pPr>
            <w:r>
              <w:rPr>
                <w:rFonts w:hint="eastAsia"/>
              </w:rPr>
              <w:t>建设性质：新建。</w:t>
            </w:r>
          </w:p>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1" w:hRule="atLeast"/>
          <w:jc w:val="center"/>
        </w:trPr>
        <w:tc>
          <w:tcPr>
            <w:tcW w:w="9776" w:type="dxa"/>
            <w:gridSpan w:val="8"/>
            <w:tcBorders>
              <w:bottom w:val="single" w:color="auto" w:sz="4" w:space="0"/>
            </w:tcBorders>
          </w:tcPr>
          <w:p>
            <w:pPr>
              <w:spacing w:line="240" w:lineRule="auto"/>
              <w:ind w:left="-530" w:leftChars="-221" w:firstLine="480" w:firstLineChars="200"/>
              <w:jc w:val="center"/>
              <w:rPr>
                <w:sz w:val="24"/>
              </w:rPr>
            </w:pPr>
            <w:r>
              <w:drawing>
                <wp:inline distT="0" distB="0" distL="0" distR="0">
                  <wp:extent cx="5436235" cy="3401060"/>
                  <wp:effectExtent l="0" t="0" r="12065" b="8890"/>
                  <wp:docPr id="16"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7"/>
                          <pic:cNvPicPr>
                            <a:picLocks noChangeAspect="1" noChangeArrowheads="1"/>
                          </pic:cNvPicPr>
                        </pic:nvPicPr>
                        <pic:blipFill>
                          <a:blip r:embed="rId9"/>
                          <a:srcRect/>
                          <a:stretch>
                            <a:fillRect/>
                          </a:stretch>
                        </pic:blipFill>
                        <pic:spPr>
                          <a:xfrm>
                            <a:off x="0" y="0"/>
                            <a:ext cx="5436235" cy="3401060"/>
                          </a:xfrm>
                          <a:prstGeom prst="rect">
                            <a:avLst/>
                          </a:prstGeom>
                          <a:noFill/>
                          <a:ln w="9525">
                            <a:noFill/>
                            <a:miter lim="800000"/>
                            <a:headEnd/>
                            <a:tailEnd/>
                          </a:ln>
                        </pic:spPr>
                      </pic:pic>
                    </a:graphicData>
                  </a:graphic>
                </wp:inline>
              </w:drawing>
            </w:r>
          </w:p>
          <w:p>
            <w:pPr>
              <w:jc w:val="center"/>
              <w:rPr>
                <w:b/>
                <w:bCs/>
                <w:sz w:val="24"/>
              </w:rPr>
            </w:pPr>
            <w:r>
              <w:rPr>
                <w:b/>
                <w:bCs/>
                <w:sz w:val="24"/>
              </w:rPr>
              <w:t xml:space="preserve">图1  </w:t>
            </w:r>
            <w:r>
              <w:rPr>
                <w:rFonts w:hint="eastAsia"/>
                <w:b/>
                <w:bCs/>
                <w:sz w:val="24"/>
              </w:rPr>
              <w:t xml:space="preserve"> </w:t>
            </w:r>
            <w:r>
              <w:rPr>
                <w:b/>
                <w:bCs/>
                <w:sz w:val="24"/>
              </w:rPr>
              <w:t xml:space="preserve"> </w:t>
            </w:r>
            <w:r>
              <w:rPr>
                <w:rFonts w:hint="eastAsia"/>
                <w:b/>
                <w:bCs/>
                <w:sz w:val="24"/>
              </w:rPr>
              <w:t>本</w:t>
            </w:r>
            <w:r>
              <w:rPr>
                <w:b/>
                <w:bCs/>
                <w:sz w:val="24"/>
              </w:rPr>
              <w:t>项目</w:t>
            </w:r>
            <w:r>
              <w:rPr>
                <w:rFonts w:hint="eastAsia"/>
                <w:b/>
                <w:bCs/>
                <w:sz w:val="24"/>
              </w:rPr>
              <w:t>区位</w:t>
            </w:r>
            <w:r>
              <w:rPr>
                <w:b/>
                <w:bCs/>
                <w:sz w:val="24"/>
              </w:rPr>
              <w:t>图</w:t>
            </w:r>
          </w:p>
          <w:p>
            <w:pPr>
              <w:ind w:firstLine="482" w:firstLineChars="200"/>
              <w:rPr>
                <w:b/>
                <w:bCs/>
                <w:sz w:val="24"/>
              </w:rPr>
            </w:pPr>
            <w:r>
              <w:rPr>
                <w:b/>
                <w:bCs/>
                <w:sz w:val="24"/>
              </w:rPr>
              <w:t>2.2工程主要技术指标</w:t>
            </w:r>
          </w:p>
          <w:p>
            <w:pPr>
              <w:jc w:val="center"/>
              <w:rPr>
                <w:b/>
                <w:bCs/>
                <w:sz w:val="24"/>
              </w:rPr>
            </w:pPr>
            <w:r>
              <w:rPr>
                <w:b/>
                <w:bCs/>
                <w:sz w:val="24"/>
              </w:rPr>
              <w:t>表1    本项目主要经济技术指标表</w:t>
            </w:r>
          </w:p>
          <w:tbl>
            <w:tblPr>
              <w:tblStyle w:val="34"/>
              <w:tblW w:w="9222" w:type="dxa"/>
              <w:jc w:val="center"/>
              <w:tblLayout w:type="fixed"/>
              <w:tblCellMar>
                <w:top w:w="15" w:type="dxa"/>
                <w:left w:w="15" w:type="dxa"/>
                <w:bottom w:w="15" w:type="dxa"/>
                <w:right w:w="15" w:type="dxa"/>
              </w:tblCellMar>
            </w:tblPr>
            <w:tblGrid>
              <w:gridCol w:w="510"/>
              <w:gridCol w:w="1304"/>
              <w:gridCol w:w="567"/>
              <w:gridCol w:w="1294"/>
              <w:gridCol w:w="1320"/>
              <w:gridCol w:w="1335"/>
              <w:gridCol w:w="1458"/>
              <w:gridCol w:w="1434"/>
            </w:tblGrid>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序号</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类别</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单位</w:t>
                  </w:r>
                </w:p>
              </w:tc>
              <w:tc>
                <w:tcPr>
                  <w:tcW w:w="12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马鞍路</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桃园路</w:t>
                  </w:r>
                </w:p>
              </w:tc>
              <w:tc>
                <w:tcPr>
                  <w:tcW w:w="13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纬四路</w:t>
                  </w:r>
                </w:p>
              </w:tc>
              <w:tc>
                <w:tcPr>
                  <w:tcW w:w="14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百合路（马鞍路-云龙大道）</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百合路（云峰大道-马鞍路）</w:t>
                  </w:r>
                </w:p>
              </w:tc>
            </w:tr>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1</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道路等级</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p>
              </w:tc>
              <w:tc>
                <w:tcPr>
                  <w:tcW w:w="12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城市次干道</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城市主干道</w:t>
                  </w:r>
                </w:p>
              </w:tc>
              <w:tc>
                <w:tcPr>
                  <w:tcW w:w="13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城市支路</w:t>
                  </w:r>
                </w:p>
              </w:tc>
              <w:tc>
                <w:tcPr>
                  <w:tcW w:w="14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城市次干道</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城市次干道</w:t>
                  </w:r>
                </w:p>
              </w:tc>
            </w:tr>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2</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路线长度</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k</w:t>
                  </w:r>
                  <w:r>
                    <w:rPr>
                      <w:rFonts w:hint="default" w:eastAsia="宋体"/>
                      <w:bCs/>
                      <w:sz w:val="21"/>
                      <w:szCs w:val="20"/>
                    </w:rPr>
                    <w:t>m</w:t>
                  </w:r>
                </w:p>
              </w:tc>
              <w:tc>
                <w:tcPr>
                  <w:tcW w:w="12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0.35</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0.57</w:t>
                  </w:r>
                </w:p>
              </w:tc>
              <w:tc>
                <w:tcPr>
                  <w:tcW w:w="13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0.38</w:t>
                  </w:r>
                </w:p>
              </w:tc>
              <w:tc>
                <w:tcPr>
                  <w:tcW w:w="14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0.47</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0.77</w:t>
                  </w:r>
                </w:p>
              </w:tc>
            </w:tr>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3</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路幅</w:t>
                  </w:r>
                  <w:r>
                    <w:rPr>
                      <w:rFonts w:hint="default" w:eastAsia="宋体"/>
                      <w:bCs/>
                      <w:sz w:val="21"/>
                      <w:szCs w:val="20"/>
                    </w:rPr>
                    <w:t>宽度</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m</w:t>
                  </w:r>
                </w:p>
              </w:tc>
              <w:tc>
                <w:tcPr>
                  <w:tcW w:w="12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24</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40</w:t>
                  </w:r>
                </w:p>
              </w:tc>
              <w:tc>
                <w:tcPr>
                  <w:tcW w:w="13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13</w:t>
                  </w:r>
                </w:p>
              </w:tc>
              <w:tc>
                <w:tcPr>
                  <w:tcW w:w="14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24</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24</w:t>
                  </w:r>
                </w:p>
              </w:tc>
            </w:tr>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4</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设计速度</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km/h</w:t>
                  </w:r>
                </w:p>
              </w:tc>
              <w:tc>
                <w:tcPr>
                  <w:tcW w:w="12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40</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60</w:t>
                  </w:r>
                </w:p>
              </w:tc>
              <w:tc>
                <w:tcPr>
                  <w:tcW w:w="13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30</w:t>
                  </w:r>
                </w:p>
              </w:tc>
              <w:tc>
                <w:tcPr>
                  <w:tcW w:w="14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40</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40</w:t>
                  </w:r>
                </w:p>
              </w:tc>
            </w:tr>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5</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路面结构的设计使用年限</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年</w:t>
                  </w:r>
                </w:p>
              </w:tc>
              <w:tc>
                <w:tcPr>
                  <w:tcW w:w="12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15</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15</w:t>
                  </w:r>
                </w:p>
              </w:tc>
              <w:tc>
                <w:tcPr>
                  <w:tcW w:w="13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20</w:t>
                  </w:r>
                </w:p>
              </w:tc>
              <w:tc>
                <w:tcPr>
                  <w:tcW w:w="14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15</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15</w:t>
                  </w:r>
                </w:p>
              </w:tc>
            </w:tr>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6</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排水体制</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w:t>
                  </w:r>
                </w:p>
              </w:tc>
              <w:tc>
                <w:tcPr>
                  <w:tcW w:w="12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雨污分流</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雨污分流</w:t>
                  </w:r>
                </w:p>
              </w:tc>
              <w:tc>
                <w:tcPr>
                  <w:tcW w:w="13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雨污分流</w:t>
                  </w:r>
                </w:p>
              </w:tc>
              <w:tc>
                <w:tcPr>
                  <w:tcW w:w="14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420"/>
                    <w:jc w:val="center"/>
                    <w:textAlignment w:val="auto"/>
                    <w:rPr>
                      <w:rFonts w:hint="default" w:eastAsia="宋体"/>
                      <w:bCs/>
                      <w:sz w:val="21"/>
                      <w:szCs w:val="20"/>
                    </w:rPr>
                  </w:pPr>
                  <w:r>
                    <w:rPr>
                      <w:rFonts w:hint="default" w:eastAsia="宋体"/>
                      <w:bCs/>
                      <w:sz w:val="21"/>
                      <w:szCs w:val="20"/>
                    </w:rPr>
                    <w:t>雨污分流</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420"/>
                    <w:jc w:val="center"/>
                    <w:textAlignment w:val="auto"/>
                    <w:rPr>
                      <w:rFonts w:hint="default" w:eastAsia="宋体"/>
                      <w:bCs/>
                      <w:sz w:val="21"/>
                      <w:szCs w:val="20"/>
                    </w:rPr>
                  </w:pPr>
                  <w:r>
                    <w:rPr>
                      <w:rFonts w:hint="default" w:eastAsia="宋体"/>
                      <w:bCs/>
                      <w:sz w:val="21"/>
                      <w:szCs w:val="20"/>
                    </w:rPr>
                    <w:t>雨污分流</w:t>
                  </w:r>
                </w:p>
              </w:tc>
            </w:tr>
            <w:tr>
              <w:tblPrEx>
                <w:tblCellMar>
                  <w:top w:w="15" w:type="dxa"/>
                  <w:left w:w="15" w:type="dxa"/>
                  <w:bottom w:w="15" w:type="dxa"/>
                  <w:right w:w="15" w:type="dxa"/>
                </w:tblCellMar>
              </w:tblPrEx>
              <w:trPr>
                <w:trHeight w:val="397"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7</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排水方式</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w:t>
                  </w:r>
                </w:p>
              </w:tc>
              <w:tc>
                <w:tcPr>
                  <w:tcW w:w="12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城市管道排水+生态排水沟</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城市管道排水+生态排水沟</w:t>
                  </w:r>
                </w:p>
              </w:tc>
              <w:tc>
                <w:tcPr>
                  <w:tcW w:w="13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城市管道排水+生态排水沟</w:t>
                  </w:r>
                </w:p>
              </w:tc>
              <w:tc>
                <w:tcPr>
                  <w:tcW w:w="14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城市管道排水+生态排水沟</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城市管道排水+生态排水沟</w:t>
                  </w:r>
                </w:p>
              </w:tc>
            </w:tr>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8</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雨水重现期</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年</w:t>
                  </w:r>
                </w:p>
              </w:tc>
              <w:tc>
                <w:tcPr>
                  <w:tcW w:w="129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3</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hint="default" w:eastAsia="宋体"/>
                      <w:bCs/>
                      <w:sz w:val="21"/>
                      <w:szCs w:val="20"/>
                    </w:rPr>
                    <w:t>3</w:t>
                  </w:r>
                </w:p>
              </w:tc>
              <w:tc>
                <w:tcPr>
                  <w:tcW w:w="13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3</w:t>
                  </w:r>
                </w:p>
              </w:tc>
              <w:tc>
                <w:tcPr>
                  <w:tcW w:w="14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3</w:t>
                  </w:r>
                </w:p>
              </w:tc>
              <w:tc>
                <w:tcPr>
                  <w:tcW w:w="1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3</w:t>
                  </w:r>
                </w:p>
              </w:tc>
            </w:tr>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eastAsia" w:eastAsia="宋体"/>
                      <w:bCs/>
                      <w:sz w:val="21"/>
                      <w:szCs w:val="20"/>
                      <w:lang w:eastAsia="zh-CN"/>
                    </w:rPr>
                  </w:pPr>
                  <w:r>
                    <w:rPr>
                      <w:rFonts w:hint="eastAsia"/>
                      <w:bCs/>
                      <w:sz w:val="21"/>
                      <w:szCs w:val="20"/>
                      <w:lang w:val="en-US" w:eastAsia="zh-CN"/>
                    </w:rPr>
                    <w:t>9</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总投资</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万元</w:t>
                  </w:r>
                </w:p>
              </w:tc>
              <w:tc>
                <w:tcPr>
                  <w:tcW w:w="6841"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23989.38</w:t>
                  </w:r>
                </w:p>
              </w:tc>
            </w:tr>
            <w:tr>
              <w:tblPrEx>
                <w:tblCellMar>
                  <w:top w:w="15" w:type="dxa"/>
                  <w:left w:w="15" w:type="dxa"/>
                  <w:bottom w:w="15" w:type="dxa"/>
                  <w:right w:w="15" w:type="dxa"/>
                </w:tblCellMar>
              </w:tblPrEx>
              <w:trPr>
                <w:trHeight w:val="454" w:hRule="atLeast"/>
                <w:jc w:val="center"/>
              </w:trPr>
              <w:tc>
                <w:tcPr>
                  <w:tcW w:w="5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lang w:val="en-US" w:eastAsia="zh-CN"/>
                    </w:rPr>
                  </w:pPr>
                  <w:r>
                    <w:rPr>
                      <w:rFonts w:hint="eastAsia"/>
                      <w:bCs/>
                      <w:sz w:val="21"/>
                      <w:szCs w:val="20"/>
                      <w:lang w:val="en-US" w:eastAsia="zh-CN"/>
                    </w:rPr>
                    <w:t>10</w:t>
                  </w:r>
                </w:p>
              </w:tc>
              <w:tc>
                <w:tcPr>
                  <w:tcW w:w="130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工期</w:t>
                  </w:r>
                </w:p>
              </w:tc>
              <w:tc>
                <w:tcPr>
                  <w:tcW w:w="5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eastAsia="宋体"/>
                      <w:bCs/>
                      <w:sz w:val="21"/>
                      <w:szCs w:val="20"/>
                    </w:rPr>
                  </w:pPr>
                  <w:r>
                    <w:rPr>
                      <w:rFonts w:eastAsia="宋体"/>
                      <w:bCs/>
                      <w:sz w:val="21"/>
                      <w:szCs w:val="20"/>
                    </w:rPr>
                    <w:t>月</w:t>
                  </w:r>
                </w:p>
              </w:tc>
              <w:tc>
                <w:tcPr>
                  <w:tcW w:w="6841"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eastAsia="宋体"/>
                      <w:bCs/>
                      <w:sz w:val="21"/>
                      <w:szCs w:val="20"/>
                    </w:rPr>
                  </w:pPr>
                  <w:r>
                    <w:rPr>
                      <w:rFonts w:eastAsia="宋体"/>
                      <w:bCs/>
                      <w:sz w:val="21"/>
                      <w:szCs w:val="20"/>
                    </w:rPr>
                    <w:t>28</w:t>
                  </w:r>
                </w:p>
              </w:tc>
            </w:tr>
          </w:tbl>
          <w:p>
            <w:pPr>
              <w:ind w:firstLine="482" w:firstLineChars="200"/>
              <w:rPr>
                <w:b/>
                <w:bCs/>
                <w:sz w:val="24"/>
              </w:rPr>
            </w:pPr>
            <w:r>
              <w:rPr>
                <w:b/>
                <w:bCs/>
                <w:sz w:val="24"/>
              </w:rPr>
              <w:t>2.3项目建设内容</w:t>
            </w:r>
          </w:p>
          <w:p>
            <w:pPr>
              <w:ind w:firstLine="480" w:firstLineChars="200"/>
              <w:rPr>
                <w:rFonts w:hint="eastAsia"/>
                <w:sz w:val="24"/>
                <w:lang w:eastAsia="zh-CN"/>
              </w:rPr>
            </w:pPr>
            <w:r>
              <w:rPr>
                <w:rFonts w:hint="eastAsia"/>
                <w:sz w:val="24"/>
              </w:rPr>
              <w:t>株洲（省级）经开区生物科技园示范园配套道路新建工程</w:t>
            </w:r>
            <w:r>
              <w:rPr>
                <w:rFonts w:hint="eastAsia"/>
                <w:sz w:val="24"/>
                <w:lang w:eastAsia="zh-CN"/>
              </w:rPr>
              <w:t>，</w:t>
            </w:r>
            <w:r>
              <w:rPr>
                <w:rFonts w:hint="eastAsia"/>
                <w:sz w:val="24"/>
              </w:rPr>
              <w:t>包括</w:t>
            </w:r>
            <w:r>
              <w:rPr>
                <w:rFonts w:hint="eastAsia"/>
                <w:sz w:val="24"/>
                <w:lang w:val="en-US" w:eastAsia="zh-CN"/>
              </w:rPr>
              <w:t>3条城市次干道</w:t>
            </w:r>
            <w:r>
              <w:rPr>
                <w:rFonts w:hint="eastAsia"/>
                <w:sz w:val="24"/>
              </w:rPr>
              <w:t>马鞍路、百合路（马鞍路-云龙大道）及百合路（云峰大道-马鞍路）</w:t>
            </w:r>
            <w:r>
              <w:rPr>
                <w:rFonts w:hint="eastAsia"/>
                <w:sz w:val="24"/>
                <w:lang w:eastAsia="zh-CN"/>
              </w:rPr>
              <w:t>，</w:t>
            </w:r>
            <w:r>
              <w:rPr>
                <w:rFonts w:hint="eastAsia"/>
                <w:sz w:val="24"/>
                <w:lang w:val="en-US" w:eastAsia="zh-CN"/>
              </w:rPr>
              <w:t>1条城市主干道</w:t>
            </w:r>
            <w:r>
              <w:rPr>
                <w:rFonts w:hint="eastAsia"/>
                <w:sz w:val="24"/>
              </w:rPr>
              <w:t>桃园路</w:t>
            </w:r>
            <w:r>
              <w:rPr>
                <w:rFonts w:hint="eastAsia"/>
                <w:sz w:val="24"/>
                <w:lang w:eastAsia="zh-CN"/>
              </w:rPr>
              <w:t>，</w:t>
            </w:r>
            <w:r>
              <w:rPr>
                <w:rFonts w:hint="eastAsia"/>
                <w:sz w:val="24"/>
                <w:lang w:val="en-US" w:eastAsia="zh-CN"/>
              </w:rPr>
              <w:t>1条城市支路</w:t>
            </w:r>
            <w:r>
              <w:rPr>
                <w:rFonts w:hint="eastAsia"/>
                <w:sz w:val="24"/>
              </w:rPr>
              <w:t>纬四路</w:t>
            </w:r>
            <w:r>
              <w:rPr>
                <w:rFonts w:hint="eastAsia"/>
                <w:sz w:val="24"/>
                <w:lang w:eastAsia="zh-CN"/>
              </w:rPr>
              <w:t>。</w:t>
            </w:r>
          </w:p>
          <w:p>
            <w:pPr>
              <w:ind w:firstLine="480" w:firstLineChars="200"/>
              <w:rPr>
                <w:rFonts w:hint="eastAsia"/>
                <w:sz w:val="24"/>
                <w:lang w:eastAsia="zh-CN"/>
              </w:rPr>
            </w:pPr>
            <w:r>
              <w:rPr>
                <w:rFonts w:hint="eastAsia"/>
                <w:sz w:val="24"/>
              </w:rPr>
              <w:t>马鞍路</w:t>
            </w:r>
            <w:r>
              <w:rPr>
                <w:rFonts w:hint="eastAsia"/>
                <w:sz w:val="24"/>
                <w:lang w:eastAsia="zh-CN"/>
              </w:rPr>
              <w:t>，城市次干道，</w:t>
            </w:r>
            <w:r>
              <w:rPr>
                <w:rFonts w:hint="eastAsia"/>
                <w:sz w:val="24"/>
              </w:rPr>
              <w:t>起于学百合路，止于桃园路，</w:t>
            </w:r>
            <w:r>
              <w:rPr>
                <w:rFonts w:hint="eastAsia"/>
                <w:sz w:val="24"/>
                <w:lang w:eastAsia="zh-CN"/>
              </w:rPr>
              <w:t>全长约</w:t>
            </w:r>
            <w:r>
              <w:rPr>
                <w:rFonts w:hint="eastAsia"/>
                <w:sz w:val="24"/>
              </w:rPr>
              <w:t>0.35km，</w:t>
            </w:r>
            <w:r>
              <w:rPr>
                <w:rFonts w:hint="eastAsia"/>
                <w:sz w:val="24"/>
                <w:lang w:eastAsia="zh-CN"/>
              </w:rPr>
              <w:t>路面宽度</w:t>
            </w:r>
            <w:r>
              <w:rPr>
                <w:rFonts w:hint="eastAsia"/>
                <w:sz w:val="24"/>
              </w:rPr>
              <w:t>24m，总用地面积23.60亩</w:t>
            </w:r>
            <w:r>
              <w:rPr>
                <w:rFonts w:hint="eastAsia"/>
                <w:sz w:val="24"/>
                <w:lang w:eastAsia="zh-CN"/>
              </w:rPr>
              <w:t>。</w:t>
            </w:r>
            <w:r>
              <w:rPr>
                <w:rFonts w:hint="eastAsia"/>
                <w:sz w:val="24"/>
              </w:rPr>
              <w:t>设计车速40km/h</w:t>
            </w:r>
            <w:r>
              <w:rPr>
                <w:rFonts w:hint="eastAsia"/>
                <w:sz w:val="24"/>
                <w:lang w:eastAsia="zh-CN"/>
              </w:rPr>
              <w:t>。</w:t>
            </w:r>
          </w:p>
          <w:p>
            <w:pPr>
              <w:ind w:firstLine="480" w:firstLineChars="200"/>
              <w:rPr>
                <w:rFonts w:hint="eastAsia"/>
                <w:sz w:val="24"/>
                <w:lang w:eastAsia="zh-CN"/>
              </w:rPr>
            </w:pPr>
            <w:r>
              <w:rPr>
                <w:rFonts w:hint="eastAsia"/>
                <w:sz w:val="24"/>
              </w:rPr>
              <w:t>桃园路</w:t>
            </w:r>
            <w:r>
              <w:rPr>
                <w:rFonts w:hint="eastAsia"/>
                <w:sz w:val="24"/>
                <w:lang w:eastAsia="zh-CN"/>
              </w:rPr>
              <w:t>，城市主干道，</w:t>
            </w:r>
            <w:r>
              <w:rPr>
                <w:rFonts w:hint="eastAsia"/>
                <w:sz w:val="24"/>
              </w:rPr>
              <w:t>起于马鞍路，止于纬四路，</w:t>
            </w:r>
            <w:r>
              <w:rPr>
                <w:rFonts w:hint="eastAsia"/>
                <w:sz w:val="24"/>
                <w:lang w:eastAsia="zh-CN"/>
              </w:rPr>
              <w:t>全长约</w:t>
            </w:r>
            <w:r>
              <w:rPr>
                <w:rFonts w:hint="eastAsia"/>
                <w:sz w:val="24"/>
              </w:rPr>
              <w:t>0.57km，</w:t>
            </w:r>
            <w:r>
              <w:rPr>
                <w:rFonts w:hint="eastAsia"/>
                <w:sz w:val="24"/>
                <w:lang w:eastAsia="zh-CN"/>
              </w:rPr>
              <w:t>路面宽度</w:t>
            </w:r>
            <w:r>
              <w:rPr>
                <w:rFonts w:hint="eastAsia"/>
                <w:sz w:val="24"/>
              </w:rPr>
              <w:t>40m，总用地面积54.10亩</w:t>
            </w:r>
            <w:r>
              <w:rPr>
                <w:rFonts w:hint="eastAsia"/>
                <w:sz w:val="24"/>
                <w:lang w:eastAsia="zh-CN"/>
              </w:rPr>
              <w:t>。</w:t>
            </w:r>
            <w:r>
              <w:rPr>
                <w:rFonts w:hint="eastAsia"/>
                <w:sz w:val="24"/>
              </w:rPr>
              <w:t>设计车速50km/h</w:t>
            </w:r>
            <w:r>
              <w:rPr>
                <w:rFonts w:hint="eastAsia"/>
                <w:sz w:val="24"/>
                <w:lang w:eastAsia="zh-CN"/>
              </w:rPr>
              <w:t>。</w:t>
            </w:r>
          </w:p>
          <w:p>
            <w:pPr>
              <w:ind w:firstLine="480" w:firstLineChars="200"/>
              <w:rPr>
                <w:rFonts w:hint="eastAsia"/>
                <w:sz w:val="24"/>
                <w:lang w:eastAsia="zh-CN"/>
              </w:rPr>
            </w:pPr>
            <w:r>
              <w:rPr>
                <w:rFonts w:hint="eastAsia"/>
                <w:sz w:val="24"/>
              </w:rPr>
              <w:t>纬四路</w:t>
            </w:r>
            <w:r>
              <w:rPr>
                <w:rFonts w:hint="eastAsia"/>
                <w:sz w:val="24"/>
                <w:lang w:eastAsia="zh-CN"/>
              </w:rPr>
              <w:t>，城市支路，</w:t>
            </w:r>
            <w:r>
              <w:rPr>
                <w:rFonts w:hint="eastAsia"/>
                <w:sz w:val="24"/>
              </w:rPr>
              <w:t>起于百合路，止于桃园路，</w:t>
            </w:r>
            <w:r>
              <w:rPr>
                <w:rFonts w:hint="eastAsia"/>
                <w:sz w:val="24"/>
                <w:lang w:eastAsia="zh-CN"/>
              </w:rPr>
              <w:t>全长约</w:t>
            </w:r>
            <w:r>
              <w:rPr>
                <w:rFonts w:hint="eastAsia"/>
                <w:sz w:val="24"/>
              </w:rPr>
              <w:t>0.38km，</w:t>
            </w:r>
            <w:r>
              <w:rPr>
                <w:rFonts w:hint="eastAsia"/>
                <w:sz w:val="24"/>
                <w:lang w:eastAsia="zh-CN"/>
              </w:rPr>
              <w:t>路面宽</w:t>
            </w:r>
            <w:r>
              <w:rPr>
                <w:rFonts w:hint="eastAsia"/>
                <w:sz w:val="24"/>
              </w:rPr>
              <w:t>度13m，总用地面积18.80亩</w:t>
            </w:r>
            <w:r>
              <w:rPr>
                <w:rFonts w:hint="eastAsia"/>
                <w:sz w:val="24"/>
                <w:lang w:eastAsia="zh-CN"/>
              </w:rPr>
              <w:t>。</w:t>
            </w:r>
            <w:r>
              <w:rPr>
                <w:rFonts w:hint="eastAsia"/>
                <w:sz w:val="24"/>
              </w:rPr>
              <w:t>设计车速30km/h</w:t>
            </w:r>
            <w:r>
              <w:rPr>
                <w:rFonts w:hint="eastAsia"/>
                <w:sz w:val="24"/>
                <w:lang w:eastAsia="zh-CN"/>
              </w:rPr>
              <w:t>。</w:t>
            </w:r>
          </w:p>
          <w:p>
            <w:pPr>
              <w:ind w:firstLine="480" w:firstLineChars="200"/>
              <w:rPr>
                <w:rFonts w:hint="eastAsia" w:eastAsia="宋体"/>
                <w:sz w:val="24"/>
                <w:lang w:eastAsia="zh-CN"/>
              </w:rPr>
            </w:pPr>
            <w:r>
              <w:rPr>
                <w:rFonts w:hint="eastAsia"/>
                <w:sz w:val="24"/>
              </w:rPr>
              <w:t>百合路（马鞍路-云龙大道）一期工程</w:t>
            </w:r>
            <w:r>
              <w:rPr>
                <w:rFonts w:hint="eastAsia"/>
                <w:sz w:val="24"/>
                <w:lang w:eastAsia="zh-CN"/>
              </w:rPr>
              <w:t>，城市次干道，</w:t>
            </w:r>
            <w:r>
              <w:rPr>
                <w:rFonts w:hint="eastAsia"/>
                <w:sz w:val="24"/>
              </w:rPr>
              <w:t>起于马鞍路，止于纬四路，</w:t>
            </w:r>
            <w:r>
              <w:rPr>
                <w:rFonts w:hint="eastAsia"/>
                <w:sz w:val="24"/>
                <w:lang w:eastAsia="zh-CN"/>
              </w:rPr>
              <w:t>全长约</w:t>
            </w:r>
            <w:r>
              <w:rPr>
                <w:rFonts w:hint="eastAsia"/>
                <w:sz w:val="24"/>
              </w:rPr>
              <w:t>0.47km，</w:t>
            </w:r>
            <w:r>
              <w:rPr>
                <w:rFonts w:hint="eastAsia"/>
                <w:sz w:val="24"/>
                <w:lang w:eastAsia="zh-CN"/>
              </w:rPr>
              <w:t>路面宽度</w:t>
            </w:r>
            <w:r>
              <w:rPr>
                <w:rFonts w:hint="eastAsia"/>
                <w:sz w:val="24"/>
              </w:rPr>
              <w:t>24m，总用地面积19.90亩</w:t>
            </w:r>
            <w:r>
              <w:rPr>
                <w:rFonts w:hint="eastAsia"/>
                <w:sz w:val="24"/>
                <w:lang w:eastAsia="zh-CN"/>
              </w:rPr>
              <w:t>。</w:t>
            </w:r>
            <w:r>
              <w:rPr>
                <w:rFonts w:hint="eastAsia"/>
                <w:sz w:val="24"/>
              </w:rPr>
              <w:t>设计车速40km/h</w:t>
            </w:r>
            <w:r>
              <w:rPr>
                <w:rFonts w:hint="eastAsia"/>
                <w:sz w:val="24"/>
                <w:lang w:eastAsia="zh-CN"/>
              </w:rPr>
              <w:t>。</w:t>
            </w:r>
          </w:p>
          <w:p>
            <w:pPr>
              <w:ind w:firstLine="480" w:firstLineChars="200"/>
              <w:rPr>
                <w:rFonts w:hint="eastAsia" w:eastAsia="宋体"/>
                <w:sz w:val="24"/>
                <w:lang w:eastAsia="zh-CN"/>
              </w:rPr>
            </w:pPr>
            <w:r>
              <w:rPr>
                <w:rFonts w:hint="eastAsia"/>
                <w:sz w:val="24"/>
              </w:rPr>
              <w:t>百合路（云峰大道-马鞍路）二期工程</w:t>
            </w:r>
            <w:r>
              <w:rPr>
                <w:rFonts w:hint="eastAsia"/>
                <w:sz w:val="24"/>
                <w:lang w:eastAsia="zh-CN"/>
              </w:rPr>
              <w:t>，城市次干道，</w:t>
            </w:r>
            <w:r>
              <w:rPr>
                <w:rFonts w:hint="eastAsia"/>
                <w:sz w:val="24"/>
              </w:rPr>
              <w:t>起于云峰大道，止于马鞍路，</w:t>
            </w:r>
            <w:r>
              <w:rPr>
                <w:rFonts w:hint="eastAsia"/>
                <w:sz w:val="24"/>
                <w:lang w:eastAsia="zh-CN"/>
              </w:rPr>
              <w:t>全长约</w:t>
            </w:r>
            <w:r>
              <w:rPr>
                <w:rFonts w:hint="eastAsia"/>
                <w:sz w:val="24"/>
              </w:rPr>
              <w:t>0.77km，</w:t>
            </w:r>
            <w:r>
              <w:rPr>
                <w:rFonts w:hint="eastAsia"/>
                <w:sz w:val="24"/>
                <w:lang w:eastAsia="zh-CN"/>
              </w:rPr>
              <w:t>路面宽度</w:t>
            </w:r>
            <w:r>
              <w:rPr>
                <w:rFonts w:hint="eastAsia"/>
                <w:sz w:val="24"/>
              </w:rPr>
              <w:t>24m，总用地面30.30亩</w:t>
            </w:r>
            <w:r>
              <w:rPr>
                <w:rFonts w:hint="eastAsia"/>
                <w:sz w:val="24"/>
                <w:lang w:eastAsia="zh-CN"/>
              </w:rPr>
              <w:t>。</w:t>
            </w:r>
            <w:r>
              <w:rPr>
                <w:rFonts w:hint="eastAsia"/>
                <w:sz w:val="24"/>
              </w:rPr>
              <w:t>设计车速40km/h。</w:t>
            </w:r>
          </w:p>
          <w:p>
            <w:pPr>
              <w:ind w:firstLine="480" w:firstLineChars="200"/>
              <w:rPr>
                <w:sz w:val="24"/>
              </w:rPr>
            </w:pPr>
            <w:r>
              <w:rPr>
                <w:rFonts w:hint="eastAsia"/>
                <w:sz w:val="24"/>
              </w:rPr>
              <w:t>建设内容包括道路工程、排水工程、管线综合工程、景观工程、照明工程及交通附属工程等。</w:t>
            </w:r>
          </w:p>
          <w:p>
            <w:pPr>
              <w:ind w:firstLine="480" w:firstLineChars="200"/>
              <w:rPr>
                <w:sz w:val="24"/>
              </w:rPr>
            </w:pPr>
            <w:r>
              <w:rPr>
                <w:rFonts w:hint="eastAsia"/>
                <w:sz w:val="24"/>
              </w:rPr>
              <w:t>工程主要建设内容见表2。</w:t>
            </w:r>
          </w:p>
          <w:p>
            <w:pPr>
              <w:jc w:val="center"/>
              <w:rPr>
                <w:b/>
                <w:bCs/>
                <w:sz w:val="24"/>
                <w:highlight w:val="none"/>
              </w:rPr>
            </w:pPr>
            <w:r>
              <w:rPr>
                <w:rFonts w:hint="eastAsia"/>
                <w:b/>
                <w:bCs/>
                <w:sz w:val="24"/>
                <w:highlight w:val="none"/>
              </w:rPr>
              <w:t>表2</w:t>
            </w:r>
            <w:r>
              <w:rPr>
                <w:b/>
                <w:bCs/>
                <w:sz w:val="24"/>
                <w:highlight w:val="none"/>
              </w:rPr>
              <w:t xml:space="preserve">  </w:t>
            </w:r>
            <w:r>
              <w:rPr>
                <w:rFonts w:hint="eastAsia"/>
                <w:b/>
                <w:bCs/>
                <w:sz w:val="24"/>
                <w:highlight w:val="none"/>
              </w:rPr>
              <w:t>项目建设内容一览表</w:t>
            </w:r>
          </w:p>
          <w:tbl>
            <w:tblPr>
              <w:tblStyle w:val="34"/>
              <w:tblW w:w="9727"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680"/>
              <w:gridCol w:w="682"/>
              <w:gridCol w:w="532"/>
              <w:gridCol w:w="860"/>
              <w:gridCol w:w="6973"/>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80" w:type="dxa"/>
                  <w:shd w:val="clear" w:color="auto" w:fill="auto"/>
                  <w:vAlign w:val="center"/>
                </w:tcPr>
                <w:p>
                  <w:pPr>
                    <w:bidi w:val="0"/>
                    <w:spacing w:line="240" w:lineRule="auto"/>
                    <w:jc w:val="center"/>
                    <w:rPr>
                      <w:sz w:val="21"/>
                      <w:szCs w:val="21"/>
                      <w:u w:val="single"/>
                    </w:rPr>
                  </w:pPr>
                  <w:r>
                    <w:rPr>
                      <w:rFonts w:hint="eastAsia"/>
                      <w:sz w:val="21"/>
                      <w:szCs w:val="21"/>
                      <w:u w:val="single"/>
                    </w:rPr>
                    <w:t>序号</w:t>
                  </w:r>
                </w:p>
              </w:tc>
              <w:tc>
                <w:tcPr>
                  <w:tcW w:w="2074" w:type="dxa"/>
                  <w:gridSpan w:val="3"/>
                  <w:shd w:val="clear" w:color="auto" w:fill="auto"/>
                  <w:vAlign w:val="center"/>
                </w:tcPr>
                <w:p>
                  <w:pPr>
                    <w:bidi w:val="0"/>
                    <w:spacing w:line="240" w:lineRule="auto"/>
                    <w:jc w:val="center"/>
                    <w:rPr>
                      <w:sz w:val="21"/>
                      <w:szCs w:val="21"/>
                      <w:u w:val="single"/>
                    </w:rPr>
                  </w:pPr>
                  <w:r>
                    <w:rPr>
                      <w:rFonts w:hint="eastAsia"/>
                      <w:sz w:val="21"/>
                      <w:szCs w:val="21"/>
                      <w:u w:val="single"/>
                    </w:rPr>
                    <w:t>项目类型</w:t>
                  </w:r>
                </w:p>
              </w:tc>
              <w:tc>
                <w:tcPr>
                  <w:tcW w:w="6973" w:type="dxa"/>
                  <w:shd w:val="clear" w:color="auto" w:fill="auto"/>
                  <w:vAlign w:val="center"/>
                </w:tcPr>
                <w:p>
                  <w:pPr>
                    <w:bidi w:val="0"/>
                    <w:spacing w:line="240" w:lineRule="auto"/>
                    <w:jc w:val="center"/>
                    <w:rPr>
                      <w:sz w:val="21"/>
                      <w:szCs w:val="21"/>
                      <w:u w:val="single"/>
                    </w:rPr>
                  </w:pPr>
                  <w:r>
                    <w:rPr>
                      <w:rFonts w:hint="eastAsia"/>
                      <w:sz w:val="21"/>
                      <w:szCs w:val="21"/>
                      <w:u w:val="single"/>
                    </w:rPr>
                    <w:t>工程内容</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680" w:type="dxa"/>
                  <w:vMerge w:val="restart"/>
                  <w:shd w:val="clear" w:color="auto" w:fill="auto"/>
                  <w:vAlign w:val="center"/>
                </w:tcPr>
                <w:p>
                  <w:pPr>
                    <w:bidi w:val="0"/>
                    <w:spacing w:line="240" w:lineRule="auto"/>
                    <w:jc w:val="center"/>
                    <w:rPr>
                      <w:sz w:val="21"/>
                      <w:szCs w:val="21"/>
                      <w:u w:val="single"/>
                    </w:rPr>
                  </w:pPr>
                  <w:r>
                    <w:rPr>
                      <w:rFonts w:hint="eastAsia"/>
                      <w:sz w:val="21"/>
                      <w:szCs w:val="21"/>
                      <w:u w:val="single"/>
                    </w:rPr>
                    <w:t>1</w:t>
                  </w:r>
                </w:p>
              </w:tc>
              <w:tc>
                <w:tcPr>
                  <w:tcW w:w="682" w:type="dxa"/>
                  <w:vMerge w:val="restart"/>
                  <w:shd w:val="clear" w:color="auto" w:fill="auto"/>
                  <w:vAlign w:val="center"/>
                </w:tcPr>
                <w:p>
                  <w:pPr>
                    <w:bidi w:val="0"/>
                    <w:spacing w:line="240" w:lineRule="auto"/>
                    <w:jc w:val="center"/>
                    <w:rPr>
                      <w:sz w:val="21"/>
                      <w:szCs w:val="21"/>
                      <w:u w:val="single"/>
                    </w:rPr>
                  </w:pPr>
                  <w:r>
                    <w:rPr>
                      <w:rFonts w:hint="eastAsia"/>
                      <w:sz w:val="21"/>
                      <w:szCs w:val="21"/>
                      <w:u w:val="single"/>
                    </w:rPr>
                    <w:t>主体工程</w:t>
                  </w:r>
                </w:p>
              </w:tc>
              <w:tc>
                <w:tcPr>
                  <w:tcW w:w="532" w:type="dxa"/>
                  <w:vMerge w:val="restart"/>
                  <w:shd w:val="clear" w:color="auto" w:fill="auto"/>
                  <w:vAlign w:val="center"/>
                </w:tcPr>
                <w:p>
                  <w:pPr>
                    <w:bidi w:val="0"/>
                    <w:spacing w:line="240" w:lineRule="auto"/>
                    <w:jc w:val="center"/>
                    <w:rPr>
                      <w:rFonts w:hint="eastAsia"/>
                      <w:sz w:val="21"/>
                      <w:szCs w:val="21"/>
                      <w:u w:val="single"/>
                      <w:lang w:eastAsia="zh-CN"/>
                    </w:rPr>
                  </w:pPr>
                  <w:r>
                    <w:rPr>
                      <w:rFonts w:hint="eastAsia"/>
                      <w:sz w:val="21"/>
                      <w:szCs w:val="21"/>
                      <w:u w:val="single"/>
                      <w:lang w:eastAsia="zh-CN"/>
                    </w:rPr>
                    <w:t>马鞍路</w:t>
                  </w:r>
                </w:p>
              </w:tc>
              <w:tc>
                <w:tcPr>
                  <w:tcW w:w="860" w:type="dxa"/>
                  <w:vMerge w:val="restart"/>
                  <w:shd w:val="clear" w:color="auto" w:fill="auto"/>
                  <w:vAlign w:val="center"/>
                </w:tcPr>
                <w:p>
                  <w:pPr>
                    <w:bidi w:val="0"/>
                    <w:spacing w:line="240" w:lineRule="auto"/>
                    <w:jc w:val="center"/>
                    <w:rPr>
                      <w:rFonts w:hint="eastAsia"/>
                      <w:sz w:val="21"/>
                      <w:szCs w:val="21"/>
                      <w:u w:val="single"/>
                    </w:rPr>
                  </w:pPr>
                  <w:r>
                    <w:rPr>
                      <w:rFonts w:hint="eastAsia"/>
                      <w:sz w:val="21"/>
                      <w:szCs w:val="21"/>
                      <w:u w:val="single"/>
                    </w:rPr>
                    <w:t>道路工程</w:t>
                  </w:r>
                </w:p>
              </w:tc>
              <w:tc>
                <w:tcPr>
                  <w:tcW w:w="6973" w:type="dxa"/>
                  <w:shd w:val="clear" w:color="auto" w:fill="auto"/>
                  <w:vAlign w:val="center"/>
                </w:tcPr>
                <w:p>
                  <w:pPr>
                    <w:bidi w:val="0"/>
                    <w:spacing w:line="240" w:lineRule="auto"/>
                    <w:jc w:val="center"/>
                    <w:rPr>
                      <w:sz w:val="21"/>
                      <w:szCs w:val="21"/>
                      <w:u w:val="single"/>
                    </w:rPr>
                  </w:pPr>
                  <w:r>
                    <w:rPr>
                      <w:rFonts w:hint="eastAsia"/>
                      <w:sz w:val="21"/>
                      <w:szCs w:val="21"/>
                      <w:u w:val="single"/>
                    </w:rPr>
                    <w:t>起于百合路，止于桃园路，道路设计长度0.35km</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sz w:val="21"/>
                      <w:szCs w:val="21"/>
                      <w:u w:val="single"/>
                    </w:rPr>
                  </w:pPr>
                </w:p>
              </w:tc>
              <w:tc>
                <w:tcPr>
                  <w:tcW w:w="860" w:type="dxa"/>
                  <w:vMerge w:val="continue"/>
                  <w:shd w:val="clear" w:color="auto" w:fill="auto"/>
                  <w:vAlign w:val="center"/>
                </w:tcPr>
                <w:p>
                  <w:pPr>
                    <w:bidi w:val="0"/>
                    <w:spacing w:line="240" w:lineRule="auto"/>
                    <w:jc w:val="center"/>
                    <w:rPr>
                      <w:sz w:val="21"/>
                      <w:szCs w:val="21"/>
                      <w:u w:val="single"/>
                    </w:rPr>
                  </w:pPr>
                </w:p>
              </w:tc>
              <w:tc>
                <w:tcPr>
                  <w:tcW w:w="6973" w:type="dxa"/>
                  <w:shd w:val="clear" w:color="auto" w:fill="auto"/>
                  <w:vAlign w:val="center"/>
                </w:tcPr>
                <w:p>
                  <w:pPr>
                    <w:bidi w:val="0"/>
                    <w:spacing w:line="240" w:lineRule="auto"/>
                    <w:jc w:val="center"/>
                    <w:rPr>
                      <w:sz w:val="21"/>
                      <w:szCs w:val="21"/>
                      <w:u w:val="single"/>
                    </w:rPr>
                  </w:pPr>
                  <w:r>
                    <w:rPr>
                      <w:sz w:val="21"/>
                      <w:szCs w:val="21"/>
                      <w:u w:val="single"/>
                    </w:rPr>
                    <w:t>标准路幅</w:t>
                  </w:r>
                  <w:r>
                    <w:rPr>
                      <w:rFonts w:hint="eastAsia"/>
                      <w:sz w:val="21"/>
                      <w:szCs w:val="21"/>
                      <w:u w:val="single"/>
                    </w:rPr>
                    <w:t>红线宽度24m，双向四车道，设计车速为40km/h</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sz w:val="21"/>
                      <w:szCs w:val="21"/>
                      <w:u w:val="single"/>
                    </w:rPr>
                  </w:pPr>
                </w:p>
              </w:tc>
              <w:tc>
                <w:tcPr>
                  <w:tcW w:w="860" w:type="dxa"/>
                  <w:vMerge w:val="continue"/>
                  <w:shd w:val="clear" w:color="auto" w:fill="auto"/>
                  <w:vAlign w:val="center"/>
                </w:tcPr>
                <w:p>
                  <w:pPr>
                    <w:bidi w:val="0"/>
                    <w:spacing w:line="240" w:lineRule="auto"/>
                    <w:jc w:val="center"/>
                    <w:rPr>
                      <w:sz w:val="21"/>
                      <w:szCs w:val="21"/>
                      <w:u w:val="single"/>
                    </w:rPr>
                  </w:pPr>
                </w:p>
              </w:tc>
              <w:tc>
                <w:tcPr>
                  <w:tcW w:w="6973" w:type="dxa"/>
                  <w:shd w:val="clear" w:color="auto" w:fill="auto"/>
                  <w:vAlign w:val="center"/>
                </w:tcPr>
                <w:p>
                  <w:pPr>
                    <w:bidi w:val="0"/>
                    <w:spacing w:line="240" w:lineRule="auto"/>
                    <w:jc w:val="center"/>
                    <w:rPr>
                      <w:sz w:val="21"/>
                      <w:szCs w:val="21"/>
                      <w:u w:val="single"/>
                    </w:rPr>
                  </w:pPr>
                  <w:r>
                    <w:rPr>
                      <w:rFonts w:hint="eastAsia"/>
                      <w:sz w:val="21"/>
                      <w:szCs w:val="21"/>
                      <w:u w:val="single"/>
                    </w:rPr>
                    <w:t>最大纵坡为2.37%，最小纵坡为0.31%</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sz w:val="21"/>
                      <w:szCs w:val="21"/>
                      <w:u w:val="single"/>
                    </w:rPr>
                  </w:pPr>
                </w:p>
              </w:tc>
              <w:tc>
                <w:tcPr>
                  <w:tcW w:w="860" w:type="dxa"/>
                  <w:vMerge w:val="continue"/>
                  <w:shd w:val="clear" w:color="auto" w:fill="auto"/>
                  <w:vAlign w:val="center"/>
                </w:tcPr>
                <w:p>
                  <w:pPr>
                    <w:bidi w:val="0"/>
                    <w:spacing w:line="240" w:lineRule="auto"/>
                    <w:jc w:val="center"/>
                    <w:rPr>
                      <w:sz w:val="21"/>
                      <w:szCs w:val="21"/>
                      <w:u w:val="single"/>
                    </w:rPr>
                  </w:pPr>
                </w:p>
              </w:tc>
              <w:tc>
                <w:tcPr>
                  <w:tcW w:w="6973" w:type="dxa"/>
                  <w:shd w:val="clear" w:color="auto" w:fill="auto"/>
                  <w:vAlign w:val="center"/>
                </w:tcPr>
                <w:p>
                  <w:pPr>
                    <w:bidi w:val="0"/>
                    <w:spacing w:line="240" w:lineRule="auto"/>
                    <w:jc w:val="center"/>
                    <w:rPr>
                      <w:sz w:val="21"/>
                      <w:szCs w:val="21"/>
                      <w:u w:val="single"/>
                    </w:rPr>
                  </w:pPr>
                  <w:r>
                    <w:rPr>
                      <w:rFonts w:hint="eastAsia"/>
                      <w:sz w:val="21"/>
                      <w:szCs w:val="21"/>
                      <w:u w:val="single"/>
                    </w:rPr>
                    <w:t>平面</w:t>
                  </w:r>
                  <w:r>
                    <w:rPr>
                      <w:rFonts w:hint="eastAsia"/>
                      <w:sz w:val="21"/>
                      <w:szCs w:val="21"/>
                      <w:u w:val="single"/>
                      <w:lang w:eastAsia="zh-CN"/>
                    </w:rPr>
                    <w:t>十字型</w:t>
                  </w:r>
                  <w:r>
                    <w:rPr>
                      <w:sz w:val="21"/>
                      <w:szCs w:val="21"/>
                      <w:u w:val="single"/>
                    </w:rPr>
                    <w:t>交叉共</w:t>
                  </w:r>
                  <w:r>
                    <w:rPr>
                      <w:rFonts w:hint="eastAsia"/>
                      <w:sz w:val="21"/>
                      <w:szCs w:val="21"/>
                      <w:u w:val="single"/>
                      <w:lang w:val="en-US" w:eastAsia="zh-CN"/>
                    </w:rPr>
                    <w:t>2</w:t>
                  </w:r>
                  <w:r>
                    <w:rPr>
                      <w:sz w:val="21"/>
                      <w:szCs w:val="21"/>
                      <w:u w:val="single"/>
                    </w:rPr>
                    <w:t>处</w:t>
                  </w:r>
                  <w:r>
                    <w:rPr>
                      <w:rFonts w:hint="eastAsia"/>
                      <w:sz w:val="21"/>
                      <w:szCs w:val="21"/>
                      <w:u w:val="single"/>
                      <w:lang w:eastAsia="zh-CN"/>
                    </w:rPr>
                    <w:t>口</w:t>
                  </w:r>
                  <w:r>
                    <w:rPr>
                      <w:rFonts w:hint="eastAsia"/>
                      <w:sz w:val="21"/>
                      <w:szCs w:val="21"/>
                      <w:u w:val="single"/>
                    </w:rPr>
                    <w:t>，T形交叉</w:t>
                  </w:r>
                  <w:r>
                    <w:rPr>
                      <w:rFonts w:hint="eastAsia"/>
                      <w:sz w:val="21"/>
                      <w:szCs w:val="21"/>
                      <w:u w:val="single"/>
                      <w:lang w:eastAsia="zh-CN"/>
                    </w:rPr>
                    <w:t>口</w:t>
                  </w:r>
                  <w:r>
                    <w:rPr>
                      <w:rFonts w:hint="eastAsia"/>
                      <w:sz w:val="21"/>
                      <w:szCs w:val="21"/>
                      <w:u w:val="single"/>
                      <w:lang w:val="en-US" w:eastAsia="zh-CN"/>
                    </w:rPr>
                    <w:t>1处</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304" w:hRule="exac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sz w:val="21"/>
                      <w:szCs w:val="21"/>
                      <w:u w:val="single"/>
                    </w:rPr>
                  </w:pPr>
                </w:p>
              </w:tc>
              <w:tc>
                <w:tcPr>
                  <w:tcW w:w="860"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管线综合工程</w:t>
                  </w:r>
                </w:p>
              </w:tc>
              <w:tc>
                <w:tcPr>
                  <w:tcW w:w="6973" w:type="dxa"/>
                  <w:shd w:val="clear" w:color="auto" w:fill="auto"/>
                  <w:vAlign w:val="center"/>
                </w:tcPr>
                <w:p>
                  <w:pPr>
                    <w:bidi w:val="0"/>
                    <w:spacing w:line="240" w:lineRule="auto"/>
                    <w:jc w:val="center"/>
                    <w:rPr>
                      <w:sz w:val="21"/>
                      <w:szCs w:val="21"/>
                      <w:u w:val="single"/>
                    </w:rPr>
                  </w:pPr>
                  <w:r>
                    <w:rPr>
                      <w:rFonts w:hint="eastAsia"/>
                      <w:sz w:val="21"/>
                      <w:szCs w:val="21"/>
                      <w:u w:val="single"/>
                    </w:rPr>
                    <w:t>本次规划所有管线除路灯外均为单侧布置。</w:t>
                  </w:r>
                  <w:r>
                    <w:rPr>
                      <w:rFonts w:hint="eastAsia"/>
                      <w:sz w:val="21"/>
                      <w:szCs w:val="21"/>
                      <w:u w:val="single"/>
                      <w:lang w:eastAsia="zh-CN"/>
                    </w:rPr>
                    <w:t>污</w:t>
                  </w:r>
                  <w:r>
                    <w:rPr>
                      <w:rFonts w:hint="eastAsia"/>
                      <w:sz w:val="21"/>
                      <w:szCs w:val="21"/>
                      <w:u w:val="single"/>
                    </w:rPr>
                    <w:t>水</w:t>
                  </w:r>
                  <w:r>
                    <w:rPr>
                      <w:rFonts w:hint="eastAsia"/>
                      <w:sz w:val="21"/>
                      <w:szCs w:val="21"/>
                      <w:u w:val="single"/>
                      <w:lang w:eastAsia="zh-CN"/>
                    </w:rPr>
                    <w:t>（DN400）</w:t>
                  </w:r>
                  <w:r>
                    <w:rPr>
                      <w:rFonts w:hint="eastAsia"/>
                      <w:sz w:val="21"/>
                      <w:szCs w:val="21"/>
                      <w:u w:val="single"/>
                    </w:rPr>
                    <w:t>、燃气</w:t>
                  </w:r>
                  <w:r>
                    <w:rPr>
                      <w:rFonts w:hint="eastAsia"/>
                      <w:sz w:val="21"/>
                      <w:szCs w:val="21"/>
                      <w:u w:val="single"/>
                      <w:lang w:eastAsia="zh-CN"/>
                    </w:rPr>
                    <w:t>（DN200）</w:t>
                  </w:r>
                  <w:r>
                    <w:rPr>
                      <w:rFonts w:hint="eastAsia"/>
                      <w:sz w:val="21"/>
                      <w:szCs w:val="21"/>
                      <w:u w:val="single"/>
                    </w:rPr>
                    <w:t>、通信设置于道路</w:t>
                  </w:r>
                  <w:r>
                    <w:rPr>
                      <w:rFonts w:hint="eastAsia"/>
                      <w:sz w:val="21"/>
                      <w:szCs w:val="21"/>
                      <w:u w:val="single"/>
                      <w:lang w:eastAsia="zh-CN"/>
                    </w:rPr>
                    <w:t>北</w:t>
                  </w:r>
                  <w:r>
                    <w:rPr>
                      <w:rFonts w:hint="eastAsia"/>
                      <w:sz w:val="21"/>
                      <w:szCs w:val="21"/>
                      <w:u w:val="single"/>
                    </w:rPr>
                    <w:t>侧；电力、</w:t>
                  </w:r>
                  <w:r>
                    <w:rPr>
                      <w:rFonts w:hint="eastAsia"/>
                      <w:sz w:val="21"/>
                      <w:szCs w:val="21"/>
                      <w:u w:val="single"/>
                      <w:lang w:eastAsia="zh-CN"/>
                    </w:rPr>
                    <w:t>雨</w:t>
                  </w:r>
                  <w:r>
                    <w:rPr>
                      <w:rFonts w:hint="eastAsia"/>
                      <w:sz w:val="21"/>
                      <w:szCs w:val="21"/>
                      <w:u w:val="single"/>
                    </w:rPr>
                    <w:t>水</w:t>
                  </w:r>
                  <w:r>
                    <w:rPr>
                      <w:rFonts w:hint="eastAsia"/>
                      <w:sz w:val="21"/>
                      <w:szCs w:val="21"/>
                      <w:u w:val="single"/>
                      <w:lang w:eastAsia="zh-CN"/>
                    </w:rPr>
                    <w:t>（DN500~d1000）、给水（DN300）</w:t>
                  </w:r>
                  <w:r>
                    <w:rPr>
                      <w:rFonts w:hint="eastAsia"/>
                      <w:sz w:val="21"/>
                      <w:szCs w:val="21"/>
                      <w:u w:val="single"/>
                    </w:rPr>
                    <w:t>设置于道路</w:t>
                  </w:r>
                  <w:r>
                    <w:rPr>
                      <w:rFonts w:hint="eastAsia"/>
                      <w:sz w:val="21"/>
                      <w:szCs w:val="21"/>
                      <w:u w:val="single"/>
                      <w:lang w:eastAsia="zh-CN"/>
                    </w:rPr>
                    <w:t>南</w:t>
                  </w:r>
                  <w:r>
                    <w:rPr>
                      <w:rFonts w:hint="eastAsia"/>
                      <w:sz w:val="21"/>
                      <w:szCs w:val="21"/>
                      <w:u w:val="single"/>
                    </w:rPr>
                    <w:t>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restart"/>
                  <w:shd w:val="clear" w:color="auto" w:fill="auto"/>
                  <w:vAlign w:val="center"/>
                </w:tcPr>
                <w:p>
                  <w:pPr>
                    <w:bidi w:val="0"/>
                    <w:spacing w:line="240" w:lineRule="auto"/>
                    <w:jc w:val="center"/>
                    <w:rPr>
                      <w:rFonts w:hint="eastAsia"/>
                      <w:sz w:val="21"/>
                      <w:szCs w:val="21"/>
                      <w:u w:val="single"/>
                      <w:lang w:eastAsia="zh-CN"/>
                    </w:rPr>
                  </w:pPr>
                  <w:r>
                    <w:rPr>
                      <w:rFonts w:hint="eastAsia"/>
                      <w:sz w:val="21"/>
                      <w:szCs w:val="21"/>
                      <w:u w:val="single"/>
                      <w:lang w:eastAsia="zh-CN"/>
                    </w:rPr>
                    <w:t>桃园路</w:t>
                  </w:r>
                </w:p>
              </w:tc>
              <w:tc>
                <w:tcPr>
                  <w:tcW w:w="860" w:type="dxa"/>
                  <w:vMerge w:val="restart"/>
                  <w:shd w:val="clear" w:color="auto" w:fill="auto"/>
                  <w:vAlign w:val="center"/>
                </w:tcPr>
                <w:p>
                  <w:pPr>
                    <w:bidi w:val="0"/>
                    <w:spacing w:line="240" w:lineRule="auto"/>
                    <w:jc w:val="center"/>
                    <w:rPr>
                      <w:sz w:val="21"/>
                      <w:szCs w:val="21"/>
                      <w:u w:val="single"/>
                    </w:rPr>
                  </w:pPr>
                  <w:r>
                    <w:rPr>
                      <w:rFonts w:hint="eastAsia"/>
                      <w:sz w:val="21"/>
                      <w:szCs w:val="21"/>
                      <w:u w:val="single"/>
                    </w:rPr>
                    <w:t>道路工程</w:t>
                  </w: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起于马鞍路，止于纬四路，道路设计长度0.57km</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sz w:val="21"/>
                      <w:szCs w:val="21"/>
                      <w:u w:val="single"/>
                    </w:rPr>
                  </w:pPr>
                </w:p>
              </w:tc>
              <w:tc>
                <w:tcPr>
                  <w:tcW w:w="860" w:type="dxa"/>
                  <w:vMerge w:val="continue"/>
                  <w:shd w:val="clear" w:color="auto" w:fill="auto"/>
                  <w:vAlign w:val="center"/>
                </w:tcPr>
                <w:p>
                  <w:pPr>
                    <w:bidi w:val="0"/>
                    <w:spacing w:line="240" w:lineRule="auto"/>
                    <w:jc w:val="center"/>
                    <w:rPr>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rPr>
                  </w:pPr>
                  <w:r>
                    <w:rPr>
                      <w:sz w:val="21"/>
                      <w:szCs w:val="21"/>
                      <w:u w:val="single"/>
                    </w:rPr>
                    <w:t>标准路幅</w:t>
                  </w:r>
                  <w:r>
                    <w:rPr>
                      <w:rFonts w:hint="eastAsia"/>
                      <w:sz w:val="21"/>
                      <w:szCs w:val="21"/>
                      <w:u w:val="single"/>
                    </w:rPr>
                    <w:t>红线宽度40m，双向六车道，设计车速为50km/h</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rFonts w:hint="eastAsia"/>
                      <w:sz w:val="21"/>
                      <w:szCs w:val="21"/>
                      <w:u w:val="single"/>
                    </w:rPr>
                  </w:pPr>
                </w:p>
              </w:tc>
              <w:tc>
                <w:tcPr>
                  <w:tcW w:w="682" w:type="dxa"/>
                  <w:vMerge w:val="continue"/>
                  <w:shd w:val="clear" w:color="auto" w:fill="auto"/>
                  <w:vAlign w:val="center"/>
                </w:tcPr>
                <w:p>
                  <w:pPr>
                    <w:bidi w:val="0"/>
                    <w:spacing w:line="240" w:lineRule="auto"/>
                    <w:jc w:val="center"/>
                    <w:rPr>
                      <w:rFonts w:hint="eastAsia"/>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rPr>
                  </w:pPr>
                </w:p>
              </w:tc>
              <w:tc>
                <w:tcPr>
                  <w:tcW w:w="860" w:type="dxa"/>
                  <w:vMerge w:val="continue"/>
                  <w:shd w:val="clear" w:color="auto" w:fill="auto"/>
                  <w:vAlign w:val="center"/>
                </w:tcPr>
                <w:p>
                  <w:pPr>
                    <w:bidi w:val="0"/>
                    <w:spacing w:line="240" w:lineRule="auto"/>
                    <w:jc w:val="center"/>
                    <w:rPr>
                      <w:rFonts w:hint="eastAsia"/>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最大纵坡为1.38%，最小纵坡为0.38%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rFonts w:hint="eastAsia"/>
                      <w:sz w:val="21"/>
                      <w:szCs w:val="21"/>
                      <w:u w:val="single"/>
                    </w:rPr>
                  </w:pPr>
                </w:p>
              </w:tc>
              <w:tc>
                <w:tcPr>
                  <w:tcW w:w="682" w:type="dxa"/>
                  <w:vMerge w:val="continue"/>
                  <w:shd w:val="clear" w:color="auto" w:fill="auto"/>
                  <w:vAlign w:val="center"/>
                </w:tcPr>
                <w:p>
                  <w:pPr>
                    <w:bidi w:val="0"/>
                    <w:spacing w:line="240" w:lineRule="auto"/>
                    <w:jc w:val="center"/>
                    <w:rPr>
                      <w:rFonts w:hint="eastAsia"/>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rPr>
                  </w:pPr>
                </w:p>
              </w:tc>
              <w:tc>
                <w:tcPr>
                  <w:tcW w:w="860" w:type="dxa"/>
                  <w:vMerge w:val="continue"/>
                  <w:shd w:val="clear" w:color="auto" w:fill="auto"/>
                  <w:vAlign w:val="center"/>
                </w:tcPr>
                <w:p>
                  <w:pPr>
                    <w:bidi w:val="0"/>
                    <w:spacing w:line="240" w:lineRule="auto"/>
                    <w:jc w:val="center"/>
                    <w:rPr>
                      <w:rFonts w:hint="eastAsia"/>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lang w:val="en-US" w:eastAsia="zh-CN"/>
                    </w:rPr>
                  </w:pPr>
                  <w:r>
                    <w:rPr>
                      <w:rFonts w:hint="eastAsia"/>
                      <w:sz w:val="21"/>
                      <w:szCs w:val="21"/>
                      <w:u w:val="single"/>
                    </w:rPr>
                    <w:t>平面</w:t>
                  </w:r>
                  <w:r>
                    <w:rPr>
                      <w:rFonts w:hint="eastAsia"/>
                      <w:sz w:val="21"/>
                      <w:szCs w:val="21"/>
                      <w:u w:val="single"/>
                      <w:lang w:eastAsia="zh-CN"/>
                    </w:rPr>
                    <w:t>十字型</w:t>
                  </w:r>
                  <w:r>
                    <w:rPr>
                      <w:sz w:val="21"/>
                      <w:szCs w:val="21"/>
                      <w:u w:val="single"/>
                    </w:rPr>
                    <w:t>交叉</w:t>
                  </w:r>
                  <w:r>
                    <w:rPr>
                      <w:rFonts w:hint="eastAsia"/>
                      <w:sz w:val="21"/>
                      <w:szCs w:val="21"/>
                      <w:u w:val="single"/>
                      <w:lang w:eastAsia="zh-CN"/>
                    </w:rPr>
                    <w:t>口</w:t>
                  </w:r>
                  <w:r>
                    <w:rPr>
                      <w:sz w:val="21"/>
                      <w:szCs w:val="21"/>
                      <w:u w:val="single"/>
                    </w:rPr>
                    <w:t>共</w:t>
                  </w:r>
                  <w:r>
                    <w:rPr>
                      <w:rFonts w:hint="eastAsia"/>
                      <w:sz w:val="21"/>
                      <w:szCs w:val="21"/>
                      <w:u w:val="single"/>
                      <w:lang w:val="en-US" w:eastAsia="zh-CN"/>
                    </w:rPr>
                    <w:t>2</w:t>
                  </w:r>
                  <w:r>
                    <w:rPr>
                      <w:sz w:val="21"/>
                      <w:szCs w:val="21"/>
                      <w:u w:val="single"/>
                    </w:rPr>
                    <w:t>处</w:t>
                  </w:r>
                  <w:r>
                    <w:rPr>
                      <w:rFonts w:hint="eastAsia"/>
                      <w:sz w:val="21"/>
                      <w:szCs w:val="21"/>
                      <w:u w:val="single"/>
                    </w:rPr>
                    <w:t>，T形交叉</w:t>
                  </w:r>
                  <w:r>
                    <w:rPr>
                      <w:rFonts w:hint="eastAsia"/>
                      <w:sz w:val="21"/>
                      <w:szCs w:val="21"/>
                      <w:u w:val="single"/>
                      <w:lang w:eastAsia="zh-CN"/>
                    </w:rPr>
                    <w:t>口</w:t>
                  </w:r>
                  <w:r>
                    <w:rPr>
                      <w:rFonts w:hint="eastAsia"/>
                      <w:sz w:val="21"/>
                      <w:szCs w:val="21"/>
                      <w:u w:val="single"/>
                      <w:lang w:val="en-US" w:eastAsia="zh-CN"/>
                    </w:rPr>
                    <w:t>1处，2</w:t>
                  </w:r>
                  <w:r>
                    <w:rPr>
                      <w:rFonts w:hint="eastAsia"/>
                      <w:sz w:val="21"/>
                      <w:szCs w:val="21"/>
                      <w:u w:val="single"/>
                    </w:rPr>
                    <w:t>对公交停靠站</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rFonts w:hint="eastAsia"/>
                      <w:sz w:val="21"/>
                      <w:szCs w:val="21"/>
                      <w:u w:val="single"/>
                    </w:rPr>
                  </w:pPr>
                </w:p>
              </w:tc>
              <w:tc>
                <w:tcPr>
                  <w:tcW w:w="682" w:type="dxa"/>
                  <w:vMerge w:val="continue"/>
                  <w:shd w:val="clear" w:color="auto" w:fill="auto"/>
                  <w:vAlign w:val="center"/>
                </w:tcPr>
                <w:p>
                  <w:pPr>
                    <w:bidi w:val="0"/>
                    <w:spacing w:line="240" w:lineRule="auto"/>
                    <w:jc w:val="center"/>
                    <w:rPr>
                      <w:rFonts w:hint="eastAsia"/>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rPr>
                  </w:pPr>
                </w:p>
              </w:tc>
              <w:tc>
                <w:tcPr>
                  <w:tcW w:w="860" w:type="dxa"/>
                  <w:vMerge w:val="continue"/>
                  <w:shd w:val="clear" w:color="auto" w:fill="auto"/>
                  <w:vAlign w:val="center"/>
                </w:tcPr>
                <w:p>
                  <w:pPr>
                    <w:bidi w:val="0"/>
                    <w:spacing w:line="240" w:lineRule="auto"/>
                    <w:jc w:val="center"/>
                    <w:rPr>
                      <w:rFonts w:hint="eastAsia"/>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1对公交停靠站，距离公交站 10m 靠近交叉口一侧布设公共自行车租赁点</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lang w:eastAsia="zh-CN"/>
                    </w:rPr>
                  </w:pPr>
                </w:p>
              </w:tc>
              <w:tc>
                <w:tcPr>
                  <w:tcW w:w="860" w:type="dxa"/>
                  <w:shd w:val="clear" w:color="auto" w:fill="auto"/>
                  <w:vAlign w:val="center"/>
                </w:tcPr>
                <w:p>
                  <w:pPr>
                    <w:bidi w:val="0"/>
                    <w:spacing w:line="240" w:lineRule="auto"/>
                    <w:jc w:val="center"/>
                    <w:rPr>
                      <w:sz w:val="21"/>
                      <w:szCs w:val="21"/>
                      <w:u w:val="single"/>
                    </w:rPr>
                  </w:pPr>
                  <w:r>
                    <w:rPr>
                      <w:rFonts w:hint="eastAsia"/>
                      <w:sz w:val="21"/>
                      <w:szCs w:val="21"/>
                      <w:u w:val="single"/>
                    </w:rPr>
                    <w:t>管线综合工程</w:t>
                  </w: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本次规划所有管线除路灯外均为单侧布置。</w:t>
                  </w:r>
                  <w:r>
                    <w:rPr>
                      <w:rFonts w:hint="eastAsia"/>
                      <w:sz w:val="21"/>
                      <w:szCs w:val="21"/>
                      <w:u w:val="single"/>
                      <w:lang w:eastAsia="zh-CN"/>
                    </w:rPr>
                    <w:t>雨</w:t>
                  </w:r>
                  <w:r>
                    <w:rPr>
                      <w:rFonts w:hint="eastAsia"/>
                      <w:sz w:val="21"/>
                      <w:szCs w:val="21"/>
                      <w:u w:val="single"/>
                    </w:rPr>
                    <w:t>水</w:t>
                  </w:r>
                  <w:r>
                    <w:rPr>
                      <w:rFonts w:hint="eastAsia"/>
                      <w:sz w:val="21"/>
                      <w:szCs w:val="21"/>
                      <w:u w:val="single"/>
                      <w:lang w:eastAsia="zh-CN"/>
                    </w:rPr>
                    <w:t>（DN500~d1200）</w:t>
                  </w:r>
                  <w:r>
                    <w:rPr>
                      <w:rFonts w:hint="eastAsia"/>
                      <w:sz w:val="21"/>
                      <w:szCs w:val="21"/>
                      <w:u w:val="single"/>
                    </w:rPr>
                    <w:t>、燃气、</w:t>
                  </w:r>
                  <w:r>
                    <w:rPr>
                      <w:rFonts w:hint="eastAsia"/>
                      <w:sz w:val="21"/>
                      <w:szCs w:val="21"/>
                      <w:u w:val="single"/>
                      <w:lang w:eastAsia="zh-CN"/>
                    </w:rPr>
                    <w:t>（DN300）</w:t>
                  </w:r>
                  <w:r>
                    <w:rPr>
                      <w:rFonts w:hint="eastAsia"/>
                      <w:sz w:val="21"/>
                      <w:szCs w:val="21"/>
                      <w:u w:val="single"/>
                    </w:rPr>
                    <w:t>通信设置于道路</w:t>
                  </w:r>
                  <w:r>
                    <w:rPr>
                      <w:rFonts w:hint="eastAsia"/>
                      <w:sz w:val="21"/>
                      <w:szCs w:val="21"/>
                      <w:u w:val="single"/>
                      <w:lang w:eastAsia="zh-CN"/>
                    </w:rPr>
                    <w:t>东</w:t>
                  </w:r>
                  <w:r>
                    <w:rPr>
                      <w:rFonts w:hint="eastAsia"/>
                      <w:sz w:val="21"/>
                      <w:szCs w:val="21"/>
                      <w:u w:val="single"/>
                    </w:rPr>
                    <w:t>侧；电力、</w:t>
                  </w:r>
                  <w:r>
                    <w:rPr>
                      <w:rFonts w:hint="eastAsia"/>
                      <w:sz w:val="21"/>
                      <w:szCs w:val="21"/>
                      <w:u w:val="single"/>
                      <w:lang w:eastAsia="zh-CN"/>
                    </w:rPr>
                    <w:t>污</w:t>
                  </w:r>
                  <w:r>
                    <w:rPr>
                      <w:rFonts w:hint="eastAsia"/>
                      <w:sz w:val="21"/>
                      <w:szCs w:val="21"/>
                      <w:u w:val="single"/>
                    </w:rPr>
                    <w:t>水</w:t>
                  </w:r>
                  <w:r>
                    <w:rPr>
                      <w:rFonts w:hint="eastAsia"/>
                      <w:sz w:val="21"/>
                      <w:szCs w:val="21"/>
                      <w:u w:val="single"/>
                      <w:lang w:eastAsia="zh-CN"/>
                    </w:rPr>
                    <w:t>（DN400～DN600）、给水（DN600）</w:t>
                  </w:r>
                  <w:r>
                    <w:rPr>
                      <w:rFonts w:hint="eastAsia"/>
                      <w:sz w:val="21"/>
                      <w:szCs w:val="21"/>
                      <w:u w:val="single"/>
                    </w:rPr>
                    <w:t>设置于道路</w:t>
                  </w:r>
                  <w:r>
                    <w:rPr>
                      <w:rFonts w:hint="eastAsia"/>
                      <w:sz w:val="21"/>
                      <w:szCs w:val="21"/>
                      <w:u w:val="single"/>
                      <w:lang w:eastAsia="zh-CN"/>
                    </w:rPr>
                    <w:t>西</w:t>
                  </w:r>
                  <w:r>
                    <w:rPr>
                      <w:rFonts w:hint="eastAsia"/>
                      <w:sz w:val="21"/>
                      <w:szCs w:val="21"/>
                      <w:u w:val="single"/>
                    </w:rPr>
                    <w:t>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restart"/>
                  <w:shd w:val="clear" w:color="auto" w:fill="auto"/>
                  <w:vAlign w:val="center"/>
                </w:tcPr>
                <w:p>
                  <w:pPr>
                    <w:bidi w:val="0"/>
                    <w:spacing w:line="240" w:lineRule="auto"/>
                    <w:jc w:val="center"/>
                    <w:rPr>
                      <w:rFonts w:hint="eastAsia"/>
                      <w:sz w:val="21"/>
                      <w:szCs w:val="21"/>
                      <w:u w:val="single"/>
                      <w:lang w:eastAsia="zh-CN"/>
                    </w:rPr>
                  </w:pPr>
                  <w:r>
                    <w:rPr>
                      <w:rFonts w:hint="eastAsia"/>
                      <w:sz w:val="21"/>
                      <w:szCs w:val="21"/>
                      <w:u w:val="single"/>
                      <w:lang w:eastAsia="zh-CN"/>
                    </w:rPr>
                    <w:t>纬四路</w:t>
                  </w:r>
                </w:p>
              </w:tc>
              <w:tc>
                <w:tcPr>
                  <w:tcW w:w="860" w:type="dxa"/>
                  <w:vMerge w:val="restart"/>
                  <w:shd w:val="clear" w:color="auto" w:fill="auto"/>
                  <w:vAlign w:val="center"/>
                </w:tcPr>
                <w:p>
                  <w:pPr>
                    <w:bidi w:val="0"/>
                    <w:spacing w:line="240" w:lineRule="auto"/>
                    <w:jc w:val="center"/>
                    <w:rPr>
                      <w:sz w:val="21"/>
                      <w:szCs w:val="21"/>
                      <w:u w:val="single"/>
                    </w:rPr>
                  </w:pPr>
                  <w:r>
                    <w:rPr>
                      <w:rFonts w:hint="eastAsia"/>
                      <w:sz w:val="21"/>
                      <w:szCs w:val="21"/>
                      <w:u w:val="single"/>
                    </w:rPr>
                    <w:t>道路工程</w:t>
                  </w: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起于百合路，止于桃园路，道路设计长度0.38km</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sz w:val="21"/>
                      <w:szCs w:val="21"/>
                      <w:u w:val="single"/>
                    </w:rPr>
                  </w:pPr>
                </w:p>
              </w:tc>
              <w:tc>
                <w:tcPr>
                  <w:tcW w:w="860" w:type="dxa"/>
                  <w:vMerge w:val="continue"/>
                  <w:shd w:val="clear" w:color="auto" w:fill="auto"/>
                  <w:vAlign w:val="center"/>
                </w:tcPr>
                <w:p>
                  <w:pPr>
                    <w:bidi w:val="0"/>
                    <w:spacing w:line="240" w:lineRule="auto"/>
                    <w:jc w:val="center"/>
                    <w:rPr>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rPr>
                  </w:pPr>
                  <w:r>
                    <w:rPr>
                      <w:sz w:val="21"/>
                      <w:szCs w:val="21"/>
                      <w:u w:val="single"/>
                    </w:rPr>
                    <w:t>标准路幅</w:t>
                  </w:r>
                  <w:r>
                    <w:rPr>
                      <w:rFonts w:hint="eastAsia"/>
                      <w:sz w:val="21"/>
                      <w:szCs w:val="21"/>
                      <w:u w:val="single"/>
                    </w:rPr>
                    <w:t>红线宽度13m，双向两车道，设计车速为30km/h</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rFonts w:hint="eastAsia"/>
                      <w:sz w:val="21"/>
                      <w:szCs w:val="21"/>
                      <w:u w:val="single"/>
                    </w:rPr>
                  </w:pPr>
                </w:p>
              </w:tc>
              <w:tc>
                <w:tcPr>
                  <w:tcW w:w="682" w:type="dxa"/>
                  <w:vMerge w:val="continue"/>
                  <w:shd w:val="clear" w:color="auto" w:fill="auto"/>
                  <w:vAlign w:val="center"/>
                </w:tcPr>
                <w:p>
                  <w:pPr>
                    <w:bidi w:val="0"/>
                    <w:spacing w:line="240" w:lineRule="auto"/>
                    <w:jc w:val="center"/>
                    <w:rPr>
                      <w:rFonts w:hint="eastAsia"/>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rPr>
                  </w:pPr>
                </w:p>
              </w:tc>
              <w:tc>
                <w:tcPr>
                  <w:tcW w:w="860" w:type="dxa"/>
                  <w:vMerge w:val="continue"/>
                  <w:shd w:val="clear" w:color="auto" w:fill="auto"/>
                  <w:vAlign w:val="center"/>
                </w:tcPr>
                <w:p>
                  <w:pPr>
                    <w:bidi w:val="0"/>
                    <w:spacing w:line="240" w:lineRule="auto"/>
                    <w:jc w:val="center"/>
                    <w:rPr>
                      <w:rFonts w:hint="eastAsia"/>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纬四路道路纵坡为0.86%，坡长350m</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rFonts w:hint="eastAsia"/>
                      <w:sz w:val="21"/>
                      <w:szCs w:val="21"/>
                      <w:u w:val="single"/>
                    </w:rPr>
                  </w:pPr>
                </w:p>
              </w:tc>
              <w:tc>
                <w:tcPr>
                  <w:tcW w:w="682" w:type="dxa"/>
                  <w:vMerge w:val="continue"/>
                  <w:shd w:val="clear" w:color="auto" w:fill="auto"/>
                  <w:vAlign w:val="center"/>
                </w:tcPr>
                <w:p>
                  <w:pPr>
                    <w:bidi w:val="0"/>
                    <w:spacing w:line="240" w:lineRule="auto"/>
                    <w:jc w:val="center"/>
                    <w:rPr>
                      <w:rFonts w:hint="eastAsia"/>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rPr>
                  </w:pPr>
                </w:p>
              </w:tc>
              <w:tc>
                <w:tcPr>
                  <w:tcW w:w="860" w:type="dxa"/>
                  <w:vMerge w:val="continue"/>
                  <w:shd w:val="clear" w:color="auto" w:fill="auto"/>
                  <w:vAlign w:val="center"/>
                </w:tcPr>
                <w:p>
                  <w:pPr>
                    <w:bidi w:val="0"/>
                    <w:spacing w:line="240" w:lineRule="auto"/>
                    <w:jc w:val="center"/>
                    <w:rPr>
                      <w:rFonts w:hint="eastAsia"/>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T形交叉</w:t>
                  </w:r>
                  <w:r>
                    <w:rPr>
                      <w:rFonts w:hint="eastAsia"/>
                      <w:sz w:val="21"/>
                      <w:szCs w:val="21"/>
                      <w:u w:val="single"/>
                      <w:lang w:eastAsia="zh-CN"/>
                    </w:rPr>
                    <w:t>口</w:t>
                  </w:r>
                  <w:r>
                    <w:rPr>
                      <w:rFonts w:hint="eastAsia"/>
                      <w:sz w:val="21"/>
                      <w:szCs w:val="21"/>
                      <w:u w:val="single"/>
                      <w:lang w:val="en-US" w:eastAsia="zh-CN"/>
                    </w:rPr>
                    <w:t>2处</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304" w:hRule="exac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lang w:eastAsia="zh-CN"/>
                    </w:rPr>
                  </w:pPr>
                </w:p>
              </w:tc>
              <w:tc>
                <w:tcPr>
                  <w:tcW w:w="860" w:type="dxa"/>
                  <w:shd w:val="clear" w:color="auto" w:fill="auto"/>
                  <w:vAlign w:val="center"/>
                </w:tcPr>
                <w:p>
                  <w:pPr>
                    <w:bidi w:val="0"/>
                    <w:spacing w:line="240" w:lineRule="auto"/>
                    <w:jc w:val="center"/>
                    <w:rPr>
                      <w:sz w:val="21"/>
                      <w:szCs w:val="21"/>
                      <w:u w:val="single"/>
                    </w:rPr>
                  </w:pPr>
                  <w:r>
                    <w:rPr>
                      <w:rFonts w:hint="eastAsia"/>
                      <w:sz w:val="21"/>
                      <w:szCs w:val="21"/>
                      <w:u w:val="single"/>
                    </w:rPr>
                    <w:t>管线综合工程</w:t>
                  </w: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本次规划所有管线除路灯外均为单侧布置。</w:t>
                  </w:r>
                  <w:r>
                    <w:rPr>
                      <w:rFonts w:hint="eastAsia"/>
                      <w:sz w:val="21"/>
                      <w:szCs w:val="21"/>
                      <w:u w:val="single"/>
                      <w:lang w:eastAsia="zh-CN"/>
                    </w:rPr>
                    <w:t>污</w:t>
                  </w:r>
                  <w:r>
                    <w:rPr>
                      <w:rFonts w:hint="eastAsia"/>
                      <w:sz w:val="21"/>
                      <w:szCs w:val="21"/>
                      <w:u w:val="single"/>
                    </w:rPr>
                    <w:t>水</w:t>
                  </w:r>
                  <w:r>
                    <w:rPr>
                      <w:rFonts w:hint="eastAsia"/>
                      <w:sz w:val="21"/>
                      <w:szCs w:val="21"/>
                      <w:u w:val="single"/>
                      <w:lang w:eastAsia="zh-CN"/>
                    </w:rPr>
                    <w:t>（DN600）</w:t>
                  </w:r>
                  <w:r>
                    <w:rPr>
                      <w:rFonts w:hint="eastAsia"/>
                      <w:sz w:val="21"/>
                      <w:szCs w:val="21"/>
                      <w:u w:val="single"/>
                    </w:rPr>
                    <w:t>、燃气</w:t>
                  </w:r>
                  <w:r>
                    <w:rPr>
                      <w:rFonts w:hint="eastAsia"/>
                      <w:sz w:val="21"/>
                      <w:szCs w:val="21"/>
                      <w:u w:val="single"/>
                      <w:lang w:eastAsia="zh-CN"/>
                    </w:rPr>
                    <w:t>（DN200）</w:t>
                  </w:r>
                  <w:r>
                    <w:rPr>
                      <w:rFonts w:hint="eastAsia"/>
                      <w:sz w:val="21"/>
                      <w:szCs w:val="21"/>
                      <w:u w:val="single"/>
                    </w:rPr>
                    <w:t>、通信设置于道路</w:t>
                  </w:r>
                  <w:r>
                    <w:rPr>
                      <w:rFonts w:hint="eastAsia"/>
                      <w:sz w:val="21"/>
                      <w:szCs w:val="21"/>
                      <w:u w:val="single"/>
                      <w:lang w:eastAsia="zh-CN"/>
                    </w:rPr>
                    <w:t>北</w:t>
                  </w:r>
                  <w:r>
                    <w:rPr>
                      <w:rFonts w:hint="eastAsia"/>
                      <w:sz w:val="21"/>
                      <w:szCs w:val="21"/>
                      <w:u w:val="single"/>
                    </w:rPr>
                    <w:t>侧；电力、</w:t>
                  </w:r>
                  <w:r>
                    <w:rPr>
                      <w:rFonts w:hint="eastAsia"/>
                      <w:sz w:val="21"/>
                      <w:szCs w:val="21"/>
                      <w:u w:val="single"/>
                      <w:lang w:eastAsia="zh-CN"/>
                    </w:rPr>
                    <w:t>雨</w:t>
                  </w:r>
                  <w:r>
                    <w:rPr>
                      <w:rFonts w:hint="eastAsia"/>
                      <w:sz w:val="21"/>
                      <w:szCs w:val="21"/>
                      <w:u w:val="single"/>
                    </w:rPr>
                    <w:t>水</w:t>
                  </w:r>
                  <w:r>
                    <w:rPr>
                      <w:rFonts w:hint="eastAsia"/>
                      <w:sz w:val="21"/>
                      <w:szCs w:val="21"/>
                      <w:u w:val="single"/>
                      <w:lang w:eastAsia="zh-CN"/>
                    </w:rPr>
                    <w:t>（DN500~DN800）、给水（DN300）</w:t>
                  </w:r>
                  <w:r>
                    <w:rPr>
                      <w:rFonts w:hint="eastAsia"/>
                      <w:sz w:val="21"/>
                      <w:szCs w:val="21"/>
                      <w:u w:val="single"/>
                    </w:rPr>
                    <w:t>设置于道路</w:t>
                  </w:r>
                  <w:r>
                    <w:rPr>
                      <w:rFonts w:hint="eastAsia"/>
                      <w:sz w:val="21"/>
                      <w:szCs w:val="21"/>
                      <w:u w:val="single"/>
                      <w:lang w:eastAsia="zh-CN"/>
                    </w:rPr>
                    <w:t>南</w:t>
                  </w:r>
                  <w:r>
                    <w:rPr>
                      <w:rFonts w:hint="eastAsia"/>
                      <w:sz w:val="21"/>
                      <w:szCs w:val="21"/>
                      <w:u w:val="single"/>
                    </w:rPr>
                    <w:t>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restart"/>
                  <w:shd w:val="clear" w:color="auto" w:fill="auto"/>
                  <w:vAlign w:val="center"/>
                </w:tcPr>
                <w:p>
                  <w:pPr>
                    <w:bidi w:val="0"/>
                    <w:spacing w:line="240" w:lineRule="auto"/>
                    <w:jc w:val="center"/>
                    <w:rPr>
                      <w:rFonts w:hint="eastAsia"/>
                      <w:sz w:val="21"/>
                      <w:szCs w:val="21"/>
                      <w:u w:val="single"/>
                      <w:lang w:eastAsia="zh-CN"/>
                    </w:rPr>
                  </w:pPr>
                  <w:r>
                    <w:rPr>
                      <w:rFonts w:hint="eastAsia"/>
                      <w:sz w:val="21"/>
                      <w:szCs w:val="21"/>
                      <w:u w:val="single"/>
                      <w:lang w:eastAsia="zh-CN"/>
                    </w:rPr>
                    <w:t>百合路</w:t>
                  </w:r>
                </w:p>
              </w:tc>
              <w:tc>
                <w:tcPr>
                  <w:tcW w:w="860" w:type="dxa"/>
                  <w:vMerge w:val="restart"/>
                  <w:shd w:val="clear" w:color="auto" w:fill="auto"/>
                  <w:vAlign w:val="center"/>
                </w:tcPr>
                <w:p>
                  <w:pPr>
                    <w:bidi w:val="0"/>
                    <w:spacing w:line="240" w:lineRule="auto"/>
                    <w:jc w:val="center"/>
                    <w:rPr>
                      <w:sz w:val="21"/>
                      <w:szCs w:val="21"/>
                      <w:u w:val="single"/>
                    </w:rPr>
                  </w:pPr>
                  <w:r>
                    <w:rPr>
                      <w:rFonts w:hint="eastAsia"/>
                      <w:sz w:val="21"/>
                      <w:szCs w:val="21"/>
                      <w:u w:val="single"/>
                    </w:rPr>
                    <w:t>道路工程</w:t>
                  </w:r>
                </w:p>
              </w:tc>
              <w:tc>
                <w:tcPr>
                  <w:tcW w:w="6973" w:type="dxa"/>
                  <w:shd w:val="clear" w:color="auto" w:fill="auto"/>
                  <w:vAlign w:val="center"/>
                </w:tcPr>
                <w:p>
                  <w:pPr>
                    <w:bidi w:val="0"/>
                    <w:spacing w:line="240" w:lineRule="auto"/>
                    <w:jc w:val="center"/>
                    <w:rPr>
                      <w:rFonts w:hint="eastAsia"/>
                      <w:sz w:val="21"/>
                      <w:szCs w:val="21"/>
                      <w:u w:val="single"/>
                      <w:lang w:eastAsia="zh-CN"/>
                    </w:rPr>
                  </w:pPr>
                  <w:r>
                    <w:rPr>
                      <w:rFonts w:hint="eastAsia"/>
                      <w:sz w:val="21"/>
                      <w:szCs w:val="21"/>
                      <w:u w:val="single"/>
                    </w:rPr>
                    <w:t>起于云峰大道</w:t>
                  </w:r>
                  <w:r>
                    <w:rPr>
                      <w:rFonts w:hint="eastAsia"/>
                      <w:sz w:val="21"/>
                      <w:szCs w:val="21"/>
                      <w:u w:val="single"/>
                      <w:lang w:eastAsia="zh-CN"/>
                    </w:rPr>
                    <w:t>，止于云龙大道，</w:t>
                  </w:r>
                  <w:r>
                    <w:rPr>
                      <w:rFonts w:hint="eastAsia"/>
                      <w:sz w:val="21"/>
                      <w:szCs w:val="21"/>
                      <w:u w:val="single"/>
                    </w:rPr>
                    <w:t>道路设计长度</w:t>
                  </w:r>
                  <w:r>
                    <w:rPr>
                      <w:rFonts w:hint="eastAsia"/>
                      <w:sz w:val="21"/>
                      <w:szCs w:val="21"/>
                      <w:u w:val="single"/>
                      <w:lang w:val="en-US" w:eastAsia="zh-CN"/>
                    </w:rPr>
                    <w:t>1.24</w:t>
                  </w:r>
                  <w:r>
                    <w:rPr>
                      <w:rFonts w:hint="eastAsia"/>
                      <w:sz w:val="21"/>
                      <w:szCs w:val="21"/>
                      <w:u w:val="single"/>
                    </w:rPr>
                    <w:t>km</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sz w:val="21"/>
                      <w:szCs w:val="21"/>
                      <w:u w:val="single"/>
                    </w:rPr>
                  </w:pPr>
                </w:p>
              </w:tc>
              <w:tc>
                <w:tcPr>
                  <w:tcW w:w="860" w:type="dxa"/>
                  <w:vMerge w:val="continue"/>
                  <w:shd w:val="clear" w:color="auto" w:fill="auto"/>
                  <w:vAlign w:val="center"/>
                </w:tcPr>
                <w:p>
                  <w:pPr>
                    <w:bidi w:val="0"/>
                    <w:spacing w:line="240" w:lineRule="auto"/>
                    <w:jc w:val="center"/>
                    <w:rPr>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rPr>
                  </w:pPr>
                  <w:r>
                    <w:rPr>
                      <w:sz w:val="21"/>
                      <w:szCs w:val="21"/>
                      <w:u w:val="single"/>
                    </w:rPr>
                    <w:t>标准路幅</w:t>
                  </w:r>
                  <w:r>
                    <w:rPr>
                      <w:rFonts w:hint="eastAsia"/>
                      <w:sz w:val="21"/>
                      <w:szCs w:val="21"/>
                      <w:u w:val="single"/>
                    </w:rPr>
                    <w:t>红线宽度24m，双向四车道，设计车速为40km/h</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rFonts w:hint="eastAsia"/>
                      <w:sz w:val="21"/>
                      <w:szCs w:val="21"/>
                      <w:u w:val="single"/>
                    </w:rPr>
                  </w:pPr>
                </w:p>
              </w:tc>
              <w:tc>
                <w:tcPr>
                  <w:tcW w:w="682" w:type="dxa"/>
                  <w:vMerge w:val="continue"/>
                  <w:shd w:val="clear" w:color="auto" w:fill="auto"/>
                  <w:vAlign w:val="center"/>
                </w:tcPr>
                <w:p>
                  <w:pPr>
                    <w:bidi w:val="0"/>
                    <w:spacing w:line="240" w:lineRule="auto"/>
                    <w:jc w:val="center"/>
                    <w:rPr>
                      <w:rFonts w:hint="eastAsia"/>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rPr>
                  </w:pPr>
                </w:p>
              </w:tc>
              <w:tc>
                <w:tcPr>
                  <w:tcW w:w="860" w:type="dxa"/>
                  <w:vMerge w:val="continue"/>
                  <w:shd w:val="clear" w:color="auto" w:fill="auto"/>
                  <w:vAlign w:val="center"/>
                </w:tcPr>
                <w:p>
                  <w:pPr>
                    <w:bidi w:val="0"/>
                    <w:spacing w:line="240" w:lineRule="auto"/>
                    <w:jc w:val="center"/>
                    <w:rPr>
                      <w:rFonts w:hint="eastAsia"/>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共设置变坡点2个，道路路段最大纵坡为1.57%，最小纵坡0.77%，</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80" w:type="dxa"/>
                  <w:vMerge w:val="continue"/>
                  <w:shd w:val="clear" w:color="auto" w:fill="auto"/>
                  <w:vAlign w:val="center"/>
                </w:tcPr>
                <w:p>
                  <w:pPr>
                    <w:bidi w:val="0"/>
                    <w:spacing w:line="240" w:lineRule="auto"/>
                    <w:jc w:val="center"/>
                    <w:rPr>
                      <w:rFonts w:hint="eastAsia"/>
                      <w:sz w:val="21"/>
                      <w:szCs w:val="21"/>
                      <w:u w:val="single"/>
                    </w:rPr>
                  </w:pPr>
                </w:p>
              </w:tc>
              <w:tc>
                <w:tcPr>
                  <w:tcW w:w="682" w:type="dxa"/>
                  <w:vMerge w:val="continue"/>
                  <w:shd w:val="clear" w:color="auto" w:fill="auto"/>
                  <w:vAlign w:val="center"/>
                </w:tcPr>
                <w:p>
                  <w:pPr>
                    <w:bidi w:val="0"/>
                    <w:spacing w:line="240" w:lineRule="auto"/>
                    <w:jc w:val="center"/>
                    <w:rPr>
                      <w:rFonts w:hint="eastAsia"/>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rPr>
                  </w:pPr>
                </w:p>
              </w:tc>
              <w:tc>
                <w:tcPr>
                  <w:tcW w:w="860" w:type="dxa"/>
                  <w:vMerge w:val="continue"/>
                  <w:shd w:val="clear" w:color="auto" w:fill="auto"/>
                  <w:vAlign w:val="center"/>
                </w:tcPr>
                <w:p>
                  <w:pPr>
                    <w:bidi w:val="0"/>
                    <w:spacing w:line="240" w:lineRule="auto"/>
                    <w:jc w:val="center"/>
                    <w:rPr>
                      <w:rFonts w:hint="eastAsia"/>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lang w:eastAsia="zh-CN"/>
                    </w:rPr>
                  </w:pPr>
                  <w:r>
                    <w:rPr>
                      <w:rFonts w:hint="eastAsia"/>
                      <w:sz w:val="21"/>
                      <w:szCs w:val="21"/>
                      <w:u w:val="single"/>
                    </w:rPr>
                    <w:t>平面</w:t>
                  </w:r>
                  <w:r>
                    <w:rPr>
                      <w:rFonts w:hint="eastAsia"/>
                      <w:sz w:val="21"/>
                      <w:szCs w:val="21"/>
                      <w:u w:val="single"/>
                      <w:lang w:eastAsia="zh-CN"/>
                    </w:rPr>
                    <w:t>十字型</w:t>
                  </w:r>
                  <w:r>
                    <w:rPr>
                      <w:sz w:val="21"/>
                      <w:szCs w:val="21"/>
                      <w:u w:val="single"/>
                    </w:rPr>
                    <w:t>交叉</w:t>
                  </w:r>
                  <w:r>
                    <w:rPr>
                      <w:rFonts w:hint="eastAsia"/>
                      <w:sz w:val="21"/>
                      <w:szCs w:val="21"/>
                      <w:u w:val="single"/>
                      <w:lang w:eastAsia="zh-CN"/>
                    </w:rPr>
                    <w:t>口</w:t>
                  </w:r>
                  <w:r>
                    <w:rPr>
                      <w:sz w:val="21"/>
                      <w:szCs w:val="21"/>
                      <w:u w:val="single"/>
                    </w:rPr>
                    <w:t>共</w:t>
                  </w:r>
                  <w:r>
                    <w:rPr>
                      <w:rFonts w:hint="eastAsia"/>
                      <w:sz w:val="21"/>
                      <w:szCs w:val="21"/>
                      <w:u w:val="single"/>
                      <w:lang w:val="en-US" w:eastAsia="zh-CN"/>
                    </w:rPr>
                    <w:t>4</w:t>
                  </w:r>
                  <w:r>
                    <w:rPr>
                      <w:sz w:val="21"/>
                      <w:szCs w:val="21"/>
                      <w:u w:val="single"/>
                    </w:rPr>
                    <w:t>处</w:t>
                  </w:r>
                  <w:r>
                    <w:rPr>
                      <w:rFonts w:hint="eastAsia"/>
                      <w:sz w:val="21"/>
                      <w:szCs w:val="21"/>
                      <w:u w:val="single"/>
                    </w:rPr>
                    <w:t>，T形交叉</w:t>
                  </w:r>
                  <w:r>
                    <w:rPr>
                      <w:rFonts w:hint="eastAsia"/>
                      <w:sz w:val="21"/>
                      <w:szCs w:val="21"/>
                      <w:u w:val="single"/>
                      <w:lang w:eastAsia="zh-CN"/>
                    </w:rPr>
                    <w:t>口</w:t>
                  </w:r>
                  <w:r>
                    <w:rPr>
                      <w:rFonts w:hint="eastAsia"/>
                      <w:sz w:val="21"/>
                      <w:szCs w:val="21"/>
                      <w:u w:val="single"/>
                      <w:lang w:val="en-US" w:eastAsia="zh-CN"/>
                    </w:rPr>
                    <w:t>3处，</w:t>
                  </w:r>
                  <w:r>
                    <w:rPr>
                      <w:rFonts w:hint="eastAsia"/>
                      <w:sz w:val="21"/>
                      <w:szCs w:val="21"/>
                      <w:u w:val="single"/>
                    </w:rPr>
                    <w:t>1对公交停靠站</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361" w:hRule="exac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532" w:type="dxa"/>
                  <w:vMerge w:val="continue"/>
                  <w:shd w:val="clear" w:color="auto" w:fill="auto"/>
                  <w:vAlign w:val="center"/>
                </w:tcPr>
                <w:p>
                  <w:pPr>
                    <w:bidi w:val="0"/>
                    <w:spacing w:line="240" w:lineRule="auto"/>
                    <w:jc w:val="center"/>
                    <w:rPr>
                      <w:rFonts w:hint="eastAsia"/>
                      <w:sz w:val="21"/>
                      <w:szCs w:val="21"/>
                      <w:u w:val="single"/>
                      <w:lang w:eastAsia="zh-CN"/>
                    </w:rPr>
                  </w:pPr>
                </w:p>
              </w:tc>
              <w:tc>
                <w:tcPr>
                  <w:tcW w:w="860" w:type="dxa"/>
                  <w:shd w:val="clear" w:color="auto" w:fill="auto"/>
                  <w:vAlign w:val="center"/>
                </w:tcPr>
                <w:p>
                  <w:pPr>
                    <w:bidi w:val="0"/>
                    <w:spacing w:line="240" w:lineRule="auto"/>
                    <w:jc w:val="center"/>
                    <w:rPr>
                      <w:sz w:val="21"/>
                      <w:szCs w:val="21"/>
                      <w:u w:val="single"/>
                    </w:rPr>
                  </w:pPr>
                  <w:r>
                    <w:rPr>
                      <w:rFonts w:hint="eastAsia"/>
                      <w:sz w:val="21"/>
                      <w:szCs w:val="21"/>
                      <w:u w:val="single"/>
                    </w:rPr>
                    <w:t>管线综合工程</w:t>
                  </w:r>
                </w:p>
              </w:tc>
              <w:tc>
                <w:tcPr>
                  <w:tcW w:w="6973" w:type="dxa"/>
                  <w:shd w:val="clear" w:color="auto" w:fill="auto"/>
                  <w:vAlign w:val="center"/>
                </w:tcPr>
                <w:p>
                  <w:pPr>
                    <w:bidi w:val="0"/>
                    <w:spacing w:line="240" w:lineRule="auto"/>
                    <w:jc w:val="center"/>
                    <w:rPr>
                      <w:rFonts w:hint="eastAsia"/>
                      <w:sz w:val="21"/>
                      <w:szCs w:val="21"/>
                      <w:u w:val="single"/>
                      <w:lang w:eastAsia="zh-CN"/>
                    </w:rPr>
                  </w:pPr>
                  <w:r>
                    <w:rPr>
                      <w:rFonts w:hint="eastAsia"/>
                      <w:sz w:val="21"/>
                      <w:szCs w:val="21"/>
                      <w:u w:val="single"/>
                    </w:rPr>
                    <w:t>本次规划所有管线除路灯外均为单侧布置。</w:t>
                  </w:r>
                  <w:r>
                    <w:rPr>
                      <w:rFonts w:hint="eastAsia"/>
                      <w:sz w:val="21"/>
                      <w:szCs w:val="21"/>
                      <w:u w:val="single"/>
                      <w:lang w:eastAsia="zh-CN"/>
                    </w:rPr>
                    <w:t>污</w:t>
                  </w:r>
                  <w:r>
                    <w:rPr>
                      <w:rFonts w:hint="eastAsia"/>
                      <w:sz w:val="21"/>
                      <w:szCs w:val="21"/>
                      <w:u w:val="single"/>
                    </w:rPr>
                    <w:t>水</w:t>
                  </w:r>
                  <w:r>
                    <w:rPr>
                      <w:rFonts w:hint="eastAsia"/>
                      <w:sz w:val="21"/>
                      <w:szCs w:val="21"/>
                      <w:u w:val="single"/>
                      <w:lang w:eastAsia="zh-CN"/>
                    </w:rPr>
                    <w:t>（DN400～DN600）</w:t>
                  </w:r>
                  <w:r>
                    <w:rPr>
                      <w:rFonts w:hint="eastAsia"/>
                      <w:sz w:val="21"/>
                      <w:szCs w:val="21"/>
                      <w:u w:val="single"/>
                    </w:rPr>
                    <w:t>、燃气</w:t>
                  </w:r>
                  <w:r>
                    <w:rPr>
                      <w:rFonts w:hint="eastAsia"/>
                      <w:sz w:val="21"/>
                      <w:szCs w:val="21"/>
                      <w:u w:val="single"/>
                      <w:lang w:eastAsia="zh-CN"/>
                    </w:rPr>
                    <w:t>（DN200）</w:t>
                  </w:r>
                  <w:r>
                    <w:rPr>
                      <w:rFonts w:hint="eastAsia"/>
                      <w:sz w:val="21"/>
                      <w:szCs w:val="21"/>
                      <w:u w:val="single"/>
                    </w:rPr>
                    <w:t>、通信设置于道路</w:t>
                  </w:r>
                  <w:r>
                    <w:rPr>
                      <w:rFonts w:hint="eastAsia"/>
                      <w:sz w:val="21"/>
                      <w:szCs w:val="21"/>
                      <w:u w:val="single"/>
                      <w:lang w:eastAsia="zh-CN"/>
                    </w:rPr>
                    <w:t>南</w:t>
                  </w:r>
                  <w:r>
                    <w:rPr>
                      <w:rFonts w:hint="eastAsia"/>
                      <w:sz w:val="21"/>
                      <w:szCs w:val="21"/>
                      <w:u w:val="single"/>
                    </w:rPr>
                    <w:t>侧；电力、</w:t>
                  </w:r>
                  <w:r>
                    <w:rPr>
                      <w:rFonts w:hint="eastAsia"/>
                      <w:sz w:val="21"/>
                      <w:szCs w:val="21"/>
                      <w:u w:val="single"/>
                      <w:lang w:eastAsia="zh-CN"/>
                    </w:rPr>
                    <w:t>雨</w:t>
                  </w:r>
                  <w:r>
                    <w:rPr>
                      <w:rFonts w:hint="eastAsia"/>
                      <w:sz w:val="21"/>
                      <w:szCs w:val="21"/>
                      <w:u w:val="single"/>
                    </w:rPr>
                    <w:t>水</w:t>
                  </w:r>
                  <w:r>
                    <w:rPr>
                      <w:rFonts w:hint="eastAsia"/>
                      <w:sz w:val="21"/>
                      <w:szCs w:val="21"/>
                      <w:u w:val="single"/>
                      <w:lang w:eastAsia="zh-CN"/>
                    </w:rPr>
                    <w:t>（DN500~d1800）、给水（DN300）</w:t>
                  </w:r>
                  <w:r>
                    <w:rPr>
                      <w:rFonts w:hint="eastAsia"/>
                      <w:sz w:val="21"/>
                      <w:szCs w:val="21"/>
                      <w:u w:val="single"/>
                    </w:rPr>
                    <w:t>设置于道路</w:t>
                  </w:r>
                  <w:r>
                    <w:rPr>
                      <w:rFonts w:hint="eastAsia"/>
                      <w:sz w:val="21"/>
                      <w:szCs w:val="21"/>
                      <w:u w:val="single"/>
                      <w:lang w:eastAsia="zh-CN"/>
                    </w:rPr>
                    <w:t>北</w:t>
                  </w:r>
                  <w:r>
                    <w:rPr>
                      <w:rFonts w:hint="eastAsia"/>
                      <w:sz w:val="21"/>
                      <w:szCs w:val="21"/>
                      <w:u w:val="single"/>
                    </w:rPr>
                    <w:t>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1392" w:type="dxa"/>
                  <w:gridSpan w:val="2"/>
                  <w:vMerge w:val="restart"/>
                  <w:shd w:val="clear" w:color="auto" w:fill="auto"/>
                  <w:vAlign w:val="center"/>
                </w:tcPr>
                <w:p>
                  <w:pPr>
                    <w:bidi w:val="0"/>
                    <w:spacing w:line="240" w:lineRule="auto"/>
                    <w:jc w:val="center"/>
                    <w:rPr>
                      <w:sz w:val="21"/>
                      <w:szCs w:val="21"/>
                      <w:u w:val="single"/>
                    </w:rPr>
                  </w:pPr>
                  <w:r>
                    <w:rPr>
                      <w:rFonts w:hint="eastAsia"/>
                      <w:sz w:val="21"/>
                      <w:szCs w:val="21"/>
                      <w:u w:val="single"/>
                    </w:rPr>
                    <w:t>给排水工程</w:t>
                  </w: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根据规划，工程范围内及上游马鞍路已设计雨水干管汇集的片区的雨水，经百合水库，由北向南汇入官典坝中支流，排至盘龙湖。</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757" w:hRule="atLeas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1392" w:type="dxa"/>
                  <w:gridSpan w:val="2"/>
                  <w:vMerge w:val="continue"/>
                  <w:shd w:val="clear" w:color="auto" w:fill="auto"/>
                  <w:vAlign w:val="center"/>
                </w:tcPr>
                <w:p>
                  <w:pPr>
                    <w:bidi w:val="0"/>
                    <w:spacing w:line="240" w:lineRule="auto"/>
                    <w:jc w:val="center"/>
                    <w:rPr>
                      <w:sz w:val="21"/>
                      <w:szCs w:val="21"/>
                      <w:u w:val="single"/>
                    </w:rPr>
                  </w:pP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rPr>
                    <w:t>根据规划，新建污水沿道路由南向北经规划道路污水管排至下游规划蛟龙路污水干管，并沿规划官典坝中污水干管排至云龙污水处理厂。因规划道路及下游污水干管暂无建设计划，中特物流和马鞍安置区等沿线及周边地块污水暂无排放出路；建议位于百合水库西南侧设置临时污水处理站；并由业主另行委托有相关资质的单位进行专项设计</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417" w:hRule="atLeas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1392" w:type="dxa"/>
                  <w:gridSpan w:val="2"/>
                  <w:shd w:val="clear" w:color="auto" w:fill="auto"/>
                  <w:vAlign w:val="center"/>
                </w:tcPr>
                <w:p>
                  <w:pPr>
                    <w:bidi w:val="0"/>
                    <w:spacing w:line="240" w:lineRule="auto"/>
                    <w:jc w:val="center"/>
                    <w:rPr>
                      <w:sz w:val="21"/>
                      <w:szCs w:val="21"/>
                      <w:u w:val="single"/>
                    </w:rPr>
                  </w:pPr>
                  <w:r>
                    <w:rPr>
                      <w:rFonts w:hint="eastAsia"/>
                      <w:sz w:val="21"/>
                      <w:szCs w:val="21"/>
                      <w:u w:val="single"/>
                    </w:rPr>
                    <w:t>水土保持工程</w:t>
                  </w:r>
                </w:p>
              </w:tc>
              <w:tc>
                <w:tcPr>
                  <w:tcW w:w="6973" w:type="dxa"/>
                  <w:shd w:val="clear" w:color="auto" w:fill="auto"/>
                  <w:vAlign w:val="center"/>
                </w:tcPr>
                <w:p>
                  <w:pPr>
                    <w:bidi w:val="0"/>
                    <w:spacing w:line="240" w:lineRule="auto"/>
                    <w:jc w:val="center"/>
                    <w:rPr>
                      <w:rFonts w:hint="eastAsia"/>
                      <w:sz w:val="21"/>
                      <w:szCs w:val="21"/>
                      <w:u w:val="single"/>
                    </w:rPr>
                  </w:pPr>
                  <w:r>
                    <w:rPr>
                      <w:rFonts w:hint="eastAsia"/>
                      <w:sz w:val="21"/>
                      <w:szCs w:val="21"/>
                      <w:u w:val="single"/>
                      <w:lang w:eastAsia="zh-CN"/>
                    </w:rPr>
                    <w:t>本</w:t>
                  </w:r>
                  <w:r>
                    <w:rPr>
                      <w:rFonts w:hint="eastAsia"/>
                      <w:sz w:val="21"/>
                      <w:szCs w:val="21"/>
                      <w:u w:val="single"/>
                    </w:rPr>
                    <w:t>项目水土流失防治分三大区域即主体工程防治区、施工道路防治区、施工生产生活防治区。根据各区特点，分别采用工程措施和植物措施进行防治。执行开发建设项目水土保持“三同时”制度，并开展水土保持工程监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680" w:type="dxa"/>
                  <w:shd w:val="clear" w:color="auto" w:fill="auto"/>
                  <w:vAlign w:val="center"/>
                </w:tcPr>
                <w:p>
                  <w:pPr>
                    <w:bidi w:val="0"/>
                    <w:spacing w:line="240" w:lineRule="auto"/>
                    <w:jc w:val="center"/>
                    <w:rPr>
                      <w:sz w:val="21"/>
                      <w:szCs w:val="21"/>
                      <w:u w:val="single"/>
                    </w:rPr>
                  </w:pPr>
                  <w:r>
                    <w:rPr>
                      <w:rFonts w:hint="eastAsia"/>
                      <w:sz w:val="21"/>
                      <w:szCs w:val="21"/>
                      <w:u w:val="single"/>
                    </w:rPr>
                    <w:t>2</w:t>
                  </w:r>
                </w:p>
              </w:tc>
              <w:tc>
                <w:tcPr>
                  <w:tcW w:w="682" w:type="dxa"/>
                  <w:shd w:val="clear" w:color="auto" w:fill="auto"/>
                  <w:vAlign w:val="center"/>
                </w:tcPr>
                <w:p>
                  <w:pPr>
                    <w:bidi w:val="0"/>
                    <w:spacing w:line="240" w:lineRule="auto"/>
                    <w:jc w:val="center"/>
                    <w:rPr>
                      <w:sz w:val="21"/>
                      <w:szCs w:val="21"/>
                      <w:u w:val="single"/>
                    </w:rPr>
                  </w:pPr>
                  <w:r>
                    <w:rPr>
                      <w:rFonts w:hint="eastAsia"/>
                      <w:sz w:val="21"/>
                      <w:szCs w:val="21"/>
                      <w:u w:val="single"/>
                    </w:rPr>
                    <w:t>临时工程</w:t>
                  </w:r>
                </w:p>
              </w:tc>
              <w:tc>
                <w:tcPr>
                  <w:tcW w:w="1392" w:type="dxa"/>
                  <w:gridSpan w:val="2"/>
                  <w:shd w:val="clear" w:color="auto" w:fill="auto"/>
                  <w:vAlign w:val="center"/>
                </w:tcPr>
                <w:p>
                  <w:pPr>
                    <w:bidi w:val="0"/>
                    <w:spacing w:line="240" w:lineRule="auto"/>
                    <w:jc w:val="center"/>
                    <w:rPr>
                      <w:sz w:val="21"/>
                      <w:szCs w:val="21"/>
                      <w:u w:val="single"/>
                    </w:rPr>
                  </w:pPr>
                  <w:r>
                    <w:rPr>
                      <w:rFonts w:hint="eastAsia"/>
                      <w:sz w:val="21"/>
                      <w:szCs w:val="21"/>
                      <w:u w:val="single"/>
                    </w:rPr>
                    <w:t>临时堆场</w:t>
                  </w:r>
                </w:p>
              </w:tc>
              <w:tc>
                <w:tcPr>
                  <w:tcW w:w="6973" w:type="dxa"/>
                  <w:shd w:val="clear" w:color="auto" w:fill="auto"/>
                  <w:vAlign w:val="center"/>
                </w:tcPr>
                <w:p>
                  <w:pPr>
                    <w:bidi w:val="0"/>
                    <w:spacing w:line="240" w:lineRule="auto"/>
                    <w:jc w:val="center"/>
                    <w:rPr>
                      <w:sz w:val="21"/>
                      <w:szCs w:val="21"/>
                      <w:u w:val="single"/>
                    </w:rPr>
                  </w:pPr>
                  <w:r>
                    <w:rPr>
                      <w:rFonts w:hint="eastAsia"/>
                      <w:sz w:val="21"/>
                      <w:szCs w:val="21"/>
                      <w:u w:val="single"/>
                    </w:rPr>
                    <w:t>1处临时场地，其中包括临时堆土场、物料堆场、车辆清洗场地等，建议设置在</w:t>
                  </w:r>
                  <w:r>
                    <w:rPr>
                      <w:rFonts w:hint="eastAsia"/>
                      <w:sz w:val="21"/>
                      <w:szCs w:val="21"/>
                      <w:u w:val="single"/>
                      <w:lang w:eastAsia="zh-CN"/>
                    </w:rPr>
                    <w:t>拟建纬四路南</w:t>
                  </w:r>
                  <w:r>
                    <w:rPr>
                      <w:rFonts w:hint="eastAsia"/>
                      <w:sz w:val="21"/>
                      <w:szCs w:val="21"/>
                      <w:u w:val="single"/>
                    </w:rPr>
                    <w:t>侧现状空地</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exact"/>
                <w:jc w:val="center"/>
              </w:trPr>
              <w:tc>
                <w:tcPr>
                  <w:tcW w:w="680" w:type="dxa"/>
                  <w:vMerge w:val="restart"/>
                  <w:shd w:val="clear" w:color="auto" w:fill="auto"/>
                  <w:vAlign w:val="center"/>
                </w:tcPr>
                <w:p>
                  <w:pPr>
                    <w:bidi w:val="0"/>
                    <w:spacing w:line="240" w:lineRule="auto"/>
                    <w:jc w:val="center"/>
                    <w:rPr>
                      <w:sz w:val="21"/>
                      <w:szCs w:val="21"/>
                      <w:u w:val="single"/>
                    </w:rPr>
                  </w:pPr>
                  <w:r>
                    <w:rPr>
                      <w:rFonts w:hint="eastAsia"/>
                      <w:sz w:val="21"/>
                      <w:szCs w:val="21"/>
                      <w:u w:val="single"/>
                    </w:rPr>
                    <w:t>3</w:t>
                  </w:r>
                </w:p>
              </w:tc>
              <w:tc>
                <w:tcPr>
                  <w:tcW w:w="682" w:type="dxa"/>
                  <w:vMerge w:val="restart"/>
                  <w:shd w:val="clear" w:color="auto" w:fill="auto"/>
                  <w:vAlign w:val="center"/>
                </w:tcPr>
                <w:p>
                  <w:pPr>
                    <w:bidi w:val="0"/>
                    <w:spacing w:line="240" w:lineRule="auto"/>
                    <w:jc w:val="center"/>
                    <w:rPr>
                      <w:sz w:val="21"/>
                      <w:szCs w:val="21"/>
                      <w:u w:val="single"/>
                    </w:rPr>
                  </w:pPr>
                  <w:r>
                    <w:rPr>
                      <w:rFonts w:hint="eastAsia"/>
                      <w:sz w:val="21"/>
                      <w:szCs w:val="21"/>
                      <w:u w:val="single"/>
                    </w:rPr>
                    <w:t>配套工程</w:t>
                  </w:r>
                </w:p>
              </w:tc>
              <w:tc>
                <w:tcPr>
                  <w:tcW w:w="1392" w:type="dxa"/>
                  <w:gridSpan w:val="2"/>
                  <w:shd w:val="clear" w:color="auto" w:fill="auto"/>
                  <w:vAlign w:val="center"/>
                </w:tcPr>
                <w:p>
                  <w:pPr>
                    <w:bidi w:val="0"/>
                    <w:spacing w:line="240" w:lineRule="auto"/>
                    <w:jc w:val="center"/>
                    <w:rPr>
                      <w:sz w:val="21"/>
                      <w:szCs w:val="21"/>
                      <w:u w:val="single"/>
                    </w:rPr>
                  </w:pPr>
                  <w:r>
                    <w:rPr>
                      <w:rFonts w:hint="eastAsia"/>
                      <w:sz w:val="21"/>
                      <w:szCs w:val="21"/>
                      <w:u w:val="single"/>
                    </w:rPr>
                    <w:t>交通工程</w:t>
                  </w:r>
                </w:p>
              </w:tc>
              <w:tc>
                <w:tcPr>
                  <w:tcW w:w="6973" w:type="dxa"/>
                  <w:shd w:val="clear" w:color="auto" w:fill="auto"/>
                  <w:vAlign w:val="center"/>
                </w:tcPr>
                <w:p>
                  <w:pPr>
                    <w:bidi w:val="0"/>
                    <w:spacing w:line="240" w:lineRule="auto"/>
                    <w:jc w:val="center"/>
                    <w:rPr>
                      <w:sz w:val="21"/>
                      <w:szCs w:val="21"/>
                      <w:u w:val="single"/>
                    </w:rPr>
                  </w:pPr>
                  <w:r>
                    <w:rPr>
                      <w:rFonts w:hint="eastAsia"/>
                      <w:sz w:val="21"/>
                      <w:szCs w:val="21"/>
                      <w:u w:val="single"/>
                    </w:rPr>
                    <w:t>交通标志和标线、信号灯、安全设施、电子监控系统等</w:t>
                  </w:r>
                </w:p>
                <w:p>
                  <w:pPr>
                    <w:bidi w:val="0"/>
                    <w:spacing w:line="240" w:lineRule="auto"/>
                    <w:jc w:val="center"/>
                    <w:rPr>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exac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1392" w:type="dxa"/>
                  <w:gridSpan w:val="2"/>
                  <w:shd w:val="clear" w:color="auto" w:fill="auto"/>
                  <w:vAlign w:val="center"/>
                </w:tcPr>
                <w:p>
                  <w:pPr>
                    <w:bidi w:val="0"/>
                    <w:spacing w:line="240" w:lineRule="auto"/>
                    <w:jc w:val="center"/>
                    <w:rPr>
                      <w:sz w:val="21"/>
                      <w:szCs w:val="21"/>
                      <w:u w:val="single"/>
                    </w:rPr>
                  </w:pPr>
                  <w:r>
                    <w:rPr>
                      <w:rFonts w:hint="eastAsia"/>
                      <w:sz w:val="21"/>
                      <w:szCs w:val="21"/>
                      <w:u w:val="single"/>
                    </w:rPr>
                    <w:t>照明工程</w:t>
                  </w:r>
                </w:p>
              </w:tc>
              <w:tc>
                <w:tcPr>
                  <w:tcW w:w="6973" w:type="dxa"/>
                  <w:shd w:val="clear" w:color="auto" w:fill="auto"/>
                  <w:vAlign w:val="center"/>
                </w:tcPr>
                <w:p>
                  <w:pPr>
                    <w:bidi w:val="0"/>
                    <w:spacing w:line="240" w:lineRule="auto"/>
                    <w:jc w:val="center"/>
                    <w:rPr>
                      <w:sz w:val="21"/>
                      <w:szCs w:val="21"/>
                      <w:u w:val="single"/>
                    </w:rPr>
                  </w:pPr>
                  <w:r>
                    <w:rPr>
                      <w:sz w:val="21"/>
                      <w:szCs w:val="21"/>
                      <w:u w:val="single"/>
                    </w:rPr>
                    <w:t>设置</w:t>
                  </w:r>
                  <w:r>
                    <w:rPr>
                      <w:rFonts w:hint="eastAsia"/>
                      <w:sz w:val="21"/>
                      <w:szCs w:val="21"/>
                      <w:u w:val="single"/>
                    </w:rPr>
                    <w:t>路灯专用</w:t>
                  </w:r>
                  <w:r>
                    <w:rPr>
                      <w:sz w:val="21"/>
                      <w:szCs w:val="21"/>
                      <w:u w:val="single"/>
                    </w:rPr>
                    <w:t>箱式变电站</w:t>
                  </w:r>
                  <w:r>
                    <w:rPr>
                      <w:rFonts w:hint="eastAsia"/>
                      <w:sz w:val="21"/>
                      <w:szCs w:val="21"/>
                      <w:u w:val="single"/>
                      <w:lang w:val="en-US" w:eastAsia="zh-CN"/>
                    </w:rPr>
                    <w:t>1</w:t>
                  </w:r>
                  <w:r>
                    <w:rPr>
                      <w:sz w:val="21"/>
                      <w:szCs w:val="21"/>
                      <w:u w:val="single"/>
                    </w:rPr>
                    <w:t>座</w:t>
                  </w:r>
                  <w:r>
                    <w:rPr>
                      <w:rFonts w:hint="eastAsia"/>
                      <w:sz w:val="21"/>
                      <w:szCs w:val="21"/>
                      <w:u w:val="single"/>
                    </w:rPr>
                    <w:t>，照明</w:t>
                  </w:r>
                  <w:r>
                    <w:rPr>
                      <w:sz w:val="21"/>
                      <w:szCs w:val="21"/>
                      <w:u w:val="single"/>
                    </w:rPr>
                    <w:t>光源采用LED光源</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304" w:hRule="exact"/>
                <w:jc w:val="center"/>
              </w:trPr>
              <w:tc>
                <w:tcPr>
                  <w:tcW w:w="680" w:type="dxa"/>
                  <w:vMerge w:val="continue"/>
                  <w:shd w:val="clear" w:color="auto" w:fill="auto"/>
                  <w:vAlign w:val="center"/>
                </w:tcPr>
                <w:p>
                  <w:pPr>
                    <w:bidi w:val="0"/>
                    <w:spacing w:line="240" w:lineRule="auto"/>
                    <w:jc w:val="center"/>
                    <w:rPr>
                      <w:sz w:val="21"/>
                      <w:szCs w:val="21"/>
                      <w:u w:val="single"/>
                    </w:rPr>
                  </w:pPr>
                </w:p>
              </w:tc>
              <w:tc>
                <w:tcPr>
                  <w:tcW w:w="682" w:type="dxa"/>
                  <w:vMerge w:val="continue"/>
                  <w:shd w:val="clear" w:color="auto" w:fill="auto"/>
                  <w:vAlign w:val="center"/>
                </w:tcPr>
                <w:p>
                  <w:pPr>
                    <w:bidi w:val="0"/>
                    <w:spacing w:line="240" w:lineRule="auto"/>
                    <w:jc w:val="center"/>
                    <w:rPr>
                      <w:sz w:val="21"/>
                      <w:szCs w:val="21"/>
                      <w:u w:val="single"/>
                    </w:rPr>
                  </w:pPr>
                </w:p>
              </w:tc>
              <w:tc>
                <w:tcPr>
                  <w:tcW w:w="1392" w:type="dxa"/>
                  <w:gridSpan w:val="2"/>
                  <w:shd w:val="clear" w:color="auto" w:fill="auto"/>
                  <w:vAlign w:val="center"/>
                </w:tcPr>
                <w:p>
                  <w:pPr>
                    <w:bidi w:val="0"/>
                    <w:spacing w:line="240" w:lineRule="auto"/>
                    <w:jc w:val="center"/>
                    <w:rPr>
                      <w:sz w:val="21"/>
                      <w:szCs w:val="21"/>
                      <w:u w:val="single"/>
                    </w:rPr>
                  </w:pPr>
                  <w:r>
                    <w:rPr>
                      <w:rFonts w:hint="eastAsia"/>
                      <w:sz w:val="21"/>
                      <w:szCs w:val="21"/>
                      <w:u w:val="single"/>
                    </w:rPr>
                    <w:t>景观工程</w:t>
                  </w:r>
                </w:p>
              </w:tc>
              <w:tc>
                <w:tcPr>
                  <w:tcW w:w="6973" w:type="dxa"/>
                  <w:shd w:val="clear" w:color="auto" w:fill="auto"/>
                  <w:vAlign w:val="center"/>
                </w:tcPr>
                <w:p>
                  <w:pPr>
                    <w:bidi w:val="0"/>
                    <w:spacing w:line="240" w:lineRule="auto"/>
                    <w:jc w:val="center"/>
                    <w:rPr>
                      <w:sz w:val="21"/>
                      <w:szCs w:val="21"/>
                      <w:u w:val="single"/>
                    </w:rPr>
                  </w:pPr>
                  <w:r>
                    <w:rPr>
                      <w:rFonts w:hint="eastAsia"/>
                      <w:sz w:val="21"/>
                      <w:szCs w:val="21"/>
                      <w:u w:val="single"/>
                    </w:rPr>
                    <w:t>选择合适的行道树，设置生态沟及小型蓄水池</w:t>
                  </w:r>
                  <w:r>
                    <w:rPr>
                      <w:rFonts w:hint="eastAsia"/>
                      <w:sz w:val="21"/>
                      <w:szCs w:val="21"/>
                      <w:u w:val="single"/>
                      <w:lang w:eastAsia="zh-CN"/>
                    </w:rPr>
                    <w:t>，搭配变化丰富的耐水生植物，并结合沿线实际可利用用地，按规划要求的原则进行绿化。城市家具以木质选材为主，统一风格。</w:t>
                  </w:r>
                </w:p>
              </w:tc>
            </w:tr>
          </w:tbl>
          <w:p>
            <w:pPr>
              <w:ind w:firstLine="482" w:firstLineChars="200"/>
              <w:rPr>
                <w:rFonts w:hint="eastAsia"/>
                <w:u w:val="single" w:color="auto"/>
                <w:lang w:val="en-US" w:eastAsia="zh-CN"/>
              </w:rPr>
            </w:pPr>
            <w:r>
              <w:rPr>
                <w:rFonts w:hint="eastAsia"/>
                <w:b/>
                <w:sz w:val="24"/>
                <w:u w:val="single" w:color="auto"/>
                <w:lang w:val="en-US" w:eastAsia="zh-CN"/>
              </w:rPr>
              <w:t>2.3.1项目原辅材料消耗</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default" w:ascii="Times New Roman" w:hAnsi="Times New Roman" w:cs="Times New Roman"/>
                <w:b/>
                <w:sz w:val="24"/>
                <w:highlight w:val="none"/>
                <w:u w:val="single" w:color="auto"/>
              </w:rPr>
            </w:pPr>
            <w:r>
              <w:rPr>
                <w:rFonts w:hint="default" w:ascii="Times New Roman" w:hAnsi="Times New Roman" w:cs="Times New Roman"/>
                <w:b/>
                <w:sz w:val="24"/>
                <w:highlight w:val="none"/>
                <w:u w:val="single" w:color="auto"/>
              </w:rPr>
              <w:t>表</w:t>
            </w:r>
            <w:r>
              <w:rPr>
                <w:rFonts w:hint="eastAsia" w:cs="Times New Roman"/>
                <w:b/>
                <w:sz w:val="24"/>
                <w:highlight w:val="none"/>
                <w:u w:val="single" w:color="auto"/>
                <w:lang w:val="en-US" w:eastAsia="zh-CN"/>
              </w:rPr>
              <w:t>3</w:t>
            </w:r>
            <w:r>
              <w:rPr>
                <w:rFonts w:hint="default" w:ascii="Times New Roman" w:hAnsi="Times New Roman" w:cs="Times New Roman"/>
                <w:b/>
                <w:sz w:val="24"/>
                <w:highlight w:val="none"/>
                <w:u w:val="single" w:color="auto"/>
                <w:lang w:val="en-US" w:eastAsia="zh-CN"/>
              </w:rPr>
              <w:t xml:space="preserve">  </w:t>
            </w:r>
            <w:r>
              <w:rPr>
                <w:rFonts w:hint="default" w:ascii="Times New Roman" w:hAnsi="Times New Roman" w:cs="Times New Roman"/>
                <w:b/>
                <w:sz w:val="24"/>
                <w:highlight w:val="none"/>
                <w:u w:val="single" w:color="auto"/>
              </w:rPr>
              <w:t xml:space="preserve">  项目原辅材料</w:t>
            </w:r>
            <w:r>
              <w:rPr>
                <w:rFonts w:hint="default" w:ascii="Times New Roman" w:hAnsi="Times New Roman" w:cs="Times New Roman"/>
                <w:b/>
                <w:sz w:val="24"/>
                <w:highlight w:val="none"/>
                <w:u w:val="single" w:color="auto"/>
                <w:lang w:eastAsia="zh-CN"/>
              </w:rPr>
              <w:t>及能源消耗</w:t>
            </w:r>
            <w:r>
              <w:rPr>
                <w:rFonts w:hint="default" w:ascii="Times New Roman" w:hAnsi="Times New Roman" w:cs="Times New Roman"/>
                <w:b/>
                <w:sz w:val="24"/>
                <w:highlight w:val="none"/>
                <w:u w:val="single" w:color="auto"/>
              </w:rPr>
              <w:t>量一览表</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01"/>
              <w:gridCol w:w="1256"/>
              <w:gridCol w:w="1110"/>
              <w:gridCol w:w="3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序号</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名称</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年用量</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7" w:type="dxa"/>
                  <w:gridSpan w:val="5"/>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一、原辅材料消耗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1</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混凝土管</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7775m</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eastAsia="zh-CN"/>
                    </w:rPr>
                  </w:pPr>
                  <w:r>
                    <w:rPr>
                      <w:rFonts w:hint="eastAsia"/>
                      <w:sz w:val="21"/>
                      <w:szCs w:val="21"/>
                      <w:u w:val="single" w:color="auto"/>
                      <w:lang w:eastAsia="zh-CN"/>
                    </w:rPr>
                    <w:t>主要是平口管和承插管适用于雨水污水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eastAsia="zh-CN"/>
                    </w:rPr>
                  </w:pPr>
                  <w:r>
                    <w:rPr>
                      <w:rFonts w:hint="eastAsia"/>
                      <w:sz w:val="21"/>
                      <w:szCs w:val="21"/>
                      <w:u w:val="single" w:color="auto"/>
                      <w:lang w:val="en-US" w:eastAsia="zh-CN"/>
                    </w:rPr>
                    <w:t>2</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eastAsia="zh-CN"/>
                    </w:rPr>
                  </w:pPr>
                  <w:r>
                    <w:rPr>
                      <w:rFonts w:hint="eastAsia"/>
                      <w:sz w:val="21"/>
                      <w:szCs w:val="21"/>
                      <w:u w:val="single" w:color="auto"/>
                      <w:lang w:eastAsia="zh-CN"/>
                    </w:rPr>
                    <w:t>水泥</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2628m3</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3</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eastAsia="zh-CN"/>
                    </w:rPr>
                  </w:pPr>
                  <w:r>
                    <w:rPr>
                      <w:rFonts w:hint="eastAsia"/>
                      <w:sz w:val="21"/>
                      <w:szCs w:val="21"/>
                      <w:u w:val="single" w:color="auto"/>
                      <w:lang w:eastAsia="zh-CN"/>
                    </w:rPr>
                    <w:t>石灰</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7886m3</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4</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val="en-US" w:eastAsia="zh-CN"/>
                    </w:rPr>
                  </w:pPr>
                  <w:r>
                    <w:rPr>
                      <w:rFonts w:hint="default"/>
                      <w:sz w:val="21"/>
                      <w:szCs w:val="21"/>
                      <w:u w:val="single" w:color="auto"/>
                      <w:lang w:eastAsia="zh-CN"/>
                    </w:rPr>
                    <w:t>球墨铸铁</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5t</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5</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default"/>
                      <w:sz w:val="21"/>
                      <w:szCs w:val="21"/>
                      <w:u w:val="single" w:color="auto"/>
                      <w:lang w:eastAsia="zh-CN"/>
                    </w:rPr>
                    <w:t>红砖</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489m3</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sz w:val="21"/>
                      <w:szCs w:val="21"/>
                      <w:u w:val="single" w:color="auto"/>
                    </w:rPr>
                    <w:t>砖砌排水边沟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6</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default"/>
                      <w:sz w:val="21"/>
                      <w:szCs w:val="21"/>
                      <w:u w:val="single" w:color="auto"/>
                      <w:lang w:val="en-US" w:eastAsia="zh-CN"/>
                    </w:rPr>
                    <w:t>钢筋</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5t</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7</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default"/>
                      <w:sz w:val="21"/>
                      <w:szCs w:val="21"/>
                      <w:u w:val="single" w:color="auto"/>
                      <w:lang w:val="en-US" w:eastAsia="zh-CN"/>
                    </w:rPr>
                    <w:t>碎石</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5794m3</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8</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砂石</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29540m3</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9</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沥青混凝土</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6640m3</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10</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片石</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16330m3</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11</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eastAsia"/>
                      <w:sz w:val="21"/>
                      <w:szCs w:val="21"/>
                      <w:u w:val="single" w:color="auto"/>
                      <w:lang w:val="en-US" w:eastAsia="zh-CN"/>
                    </w:rPr>
                  </w:pPr>
                  <w:r>
                    <w:rPr>
                      <w:sz w:val="21"/>
                      <w:szCs w:val="21"/>
                      <w:u w:val="single" w:color="auto"/>
                    </w:rPr>
                    <w:t>麻石</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12240m3</w:t>
                  </w:r>
                </w:p>
              </w:tc>
              <w:tc>
                <w:tcPr>
                  <w:tcW w:w="4135" w:type="dxa"/>
                  <w:gridSpan w:val="2"/>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7" w:type="dxa"/>
                  <w:gridSpan w:val="5"/>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二、能源消耗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1</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电</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lang w:val="en-US" w:eastAsia="zh-CN"/>
                    </w:rPr>
                  </w:pPr>
                  <w:r>
                    <w:rPr>
                      <w:sz w:val="21"/>
                      <w:szCs w:val="21"/>
                      <w:u w:val="single" w:color="auto"/>
                    </w:rPr>
                    <w:t>17.54</w:t>
                  </w:r>
                </w:p>
              </w:tc>
              <w:tc>
                <w:tcPr>
                  <w:tcW w:w="1110"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lang w:val="en-US" w:eastAsia="zh-CN"/>
                    </w:rPr>
                    <w:t>万kwh/a</w:t>
                  </w:r>
                </w:p>
              </w:tc>
              <w:tc>
                <w:tcPr>
                  <w:tcW w:w="302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2</w:t>
                  </w:r>
                </w:p>
              </w:tc>
              <w:tc>
                <w:tcPr>
                  <w:tcW w:w="1401"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水</w:t>
                  </w:r>
                </w:p>
              </w:tc>
              <w:tc>
                <w:tcPr>
                  <w:tcW w:w="1256"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2.38</w:t>
                  </w:r>
                </w:p>
              </w:tc>
              <w:tc>
                <w:tcPr>
                  <w:tcW w:w="1110"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eastAsia"/>
                      <w:sz w:val="21"/>
                      <w:szCs w:val="21"/>
                      <w:u w:val="single" w:color="auto"/>
                      <w:lang w:val="en-US" w:eastAsia="zh-CN"/>
                    </w:rPr>
                    <w:t>万</w:t>
                  </w:r>
                  <w:r>
                    <w:rPr>
                      <w:rFonts w:hint="default"/>
                      <w:sz w:val="21"/>
                      <w:szCs w:val="21"/>
                      <w:u w:val="single" w:color="auto"/>
                      <w:lang w:val="en-US" w:eastAsia="zh-CN"/>
                    </w:rPr>
                    <w:t>t/a</w:t>
                  </w:r>
                </w:p>
              </w:tc>
              <w:tc>
                <w:tcPr>
                  <w:tcW w:w="3025" w:type="dxa"/>
                  <w:tcBorders>
                    <w:top w:val="single" w:color="000000" w:sz="8" w:space="0"/>
                    <w:left w:val="single" w:color="000000" w:sz="8" w:space="0"/>
                    <w:bottom w:val="single" w:color="000000" w:sz="8" w:space="0"/>
                    <w:right w:val="single" w:color="000000" w:sz="8" w:space="0"/>
                    <w:tl2br w:val="nil"/>
                    <w:tr2bl w:val="nil"/>
                  </w:tcBorders>
                  <w:shd w:val="clear" w:color="auto" w:fill="FFFFFF"/>
                  <w:noWrap w:val="0"/>
                  <w:vAlign w:val="center"/>
                </w:tcPr>
                <w:p>
                  <w:pPr>
                    <w:bidi w:val="0"/>
                    <w:spacing w:line="240" w:lineRule="auto"/>
                    <w:jc w:val="center"/>
                    <w:rPr>
                      <w:rFonts w:hint="default"/>
                      <w:sz w:val="21"/>
                      <w:szCs w:val="21"/>
                      <w:u w:val="single" w:color="auto"/>
                    </w:rPr>
                  </w:pPr>
                  <w:r>
                    <w:rPr>
                      <w:rFonts w:hint="default"/>
                      <w:sz w:val="21"/>
                      <w:szCs w:val="21"/>
                      <w:u w:val="single" w:color="auto"/>
                    </w:rPr>
                    <w:t>主要为绿化和道路浇洒用水</w:t>
                  </w:r>
                </w:p>
              </w:tc>
            </w:tr>
          </w:tbl>
          <w:p>
            <w:pPr>
              <w:ind w:firstLine="482" w:firstLineChars="200"/>
              <w:rPr>
                <w:rFonts w:hint="eastAsia"/>
                <w:b/>
                <w:sz w:val="24"/>
                <w:u w:val="single" w:color="auto"/>
                <w:lang w:val="en-US" w:eastAsia="zh-CN"/>
              </w:rPr>
            </w:pPr>
            <w:r>
              <w:rPr>
                <w:rFonts w:hint="eastAsia"/>
                <w:b/>
                <w:sz w:val="24"/>
                <w:u w:val="single" w:color="auto"/>
                <w:lang w:val="en-US" w:eastAsia="zh-CN"/>
              </w:rPr>
              <w:t>2.3.2项目主要施工设备设施</w:t>
            </w:r>
          </w:p>
          <w:p>
            <w:pPr>
              <w:tabs>
                <w:tab w:val="left" w:pos="1280"/>
              </w:tabs>
              <w:ind w:firstLine="482" w:firstLineChars="200"/>
              <w:jc w:val="center"/>
              <w:textAlignment w:val="baseline"/>
              <w:rPr>
                <w:b/>
                <w:bCs/>
                <w:color w:val="000000" w:themeColor="text1"/>
                <w:sz w:val="24"/>
                <w:u w:val="single" w:color="auto"/>
                <w14:textFill>
                  <w14:solidFill>
                    <w14:schemeClr w14:val="tx1"/>
                  </w14:solidFill>
                </w14:textFill>
              </w:rPr>
            </w:pPr>
            <w:r>
              <w:rPr>
                <w:b/>
                <w:bCs/>
                <w:color w:val="000000" w:themeColor="text1"/>
                <w:sz w:val="24"/>
                <w:u w:val="single" w:color="auto"/>
                <w14:textFill>
                  <w14:solidFill>
                    <w14:schemeClr w14:val="tx1"/>
                  </w14:solidFill>
                </w14:textFill>
              </w:rPr>
              <w:t>表</w:t>
            </w:r>
            <w:r>
              <w:rPr>
                <w:rFonts w:hint="eastAsia"/>
                <w:b/>
                <w:bCs/>
                <w:color w:val="000000" w:themeColor="text1"/>
                <w:sz w:val="24"/>
                <w:u w:val="single" w:color="auto"/>
                <w:lang w:val="en-US" w:eastAsia="zh-CN"/>
                <w14:textFill>
                  <w14:solidFill>
                    <w14:schemeClr w14:val="tx1"/>
                  </w14:solidFill>
                </w14:textFill>
              </w:rPr>
              <w:t xml:space="preserve">4 </w:t>
            </w:r>
            <w:r>
              <w:rPr>
                <w:rFonts w:hint="eastAsia"/>
                <w:b/>
                <w:bCs/>
                <w:color w:val="000000" w:themeColor="text1"/>
                <w:sz w:val="24"/>
                <w:u w:val="single" w:color="auto"/>
                <w14:textFill>
                  <w14:solidFill>
                    <w14:schemeClr w14:val="tx1"/>
                  </w14:solidFill>
                </w14:textFill>
              </w:rPr>
              <w:t xml:space="preserve">  </w:t>
            </w:r>
            <w:r>
              <w:rPr>
                <w:rFonts w:hint="eastAsia"/>
                <w:b/>
                <w:bCs/>
                <w:color w:val="000000" w:themeColor="text1"/>
                <w:sz w:val="24"/>
                <w:u w:val="single" w:color="auto"/>
                <w:lang w:eastAsia="zh-CN"/>
                <w14:textFill>
                  <w14:solidFill>
                    <w14:schemeClr w14:val="tx1"/>
                  </w14:solidFill>
                </w14:textFill>
              </w:rPr>
              <w:t>主要</w:t>
            </w:r>
            <w:r>
              <w:rPr>
                <w:b/>
                <w:bCs/>
                <w:color w:val="000000" w:themeColor="text1"/>
                <w:sz w:val="24"/>
                <w:u w:val="single" w:color="auto"/>
                <w14:textFill>
                  <w14:solidFill>
                    <w14:schemeClr w14:val="tx1"/>
                  </w14:solidFill>
                </w14:textFill>
              </w:rPr>
              <w:t>工程施工机械</w:t>
            </w:r>
          </w:p>
          <w:tbl>
            <w:tblPr>
              <w:tblStyle w:val="34"/>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28"/>
              <w:gridCol w:w="1191"/>
              <w:gridCol w:w="680"/>
              <w:gridCol w:w="2778"/>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序号</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机械类型</w:t>
                  </w: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型号</w:t>
                  </w:r>
                </w:p>
              </w:tc>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eastAsia="zh-CN"/>
                    </w:rPr>
                  </w:pPr>
                  <w:r>
                    <w:rPr>
                      <w:sz w:val="21"/>
                      <w:szCs w:val="21"/>
                      <w:u w:val="single" w:color="auto"/>
                    </w:rPr>
                    <w:t>序号</w:t>
                  </w:r>
                </w:p>
              </w:tc>
              <w:tc>
                <w:tcPr>
                  <w:tcW w:w="27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eastAsia="zh-CN"/>
                    </w:rPr>
                  </w:pPr>
                  <w:r>
                    <w:rPr>
                      <w:sz w:val="21"/>
                      <w:szCs w:val="21"/>
                      <w:u w:val="single" w:color="auto"/>
                    </w:rPr>
                    <w:t>机械类型</w:t>
                  </w:r>
                </w:p>
              </w:tc>
              <w:tc>
                <w:tcPr>
                  <w:tcW w:w="13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eastAsia="zh-CN"/>
                    </w:rPr>
                  </w:pPr>
                  <w:r>
                    <w:rPr>
                      <w:sz w:val="21"/>
                      <w:szCs w:val="21"/>
                      <w:u w:val="single" w:color="auto"/>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1</w:t>
                  </w:r>
                </w:p>
              </w:tc>
              <w:tc>
                <w:tcPr>
                  <w:tcW w:w="192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轮式装卸机</w:t>
                  </w: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ZL40型</w:t>
                  </w:r>
                </w:p>
              </w:tc>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8</w:t>
                  </w:r>
                </w:p>
              </w:tc>
              <w:tc>
                <w:tcPr>
                  <w:tcW w:w="27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eastAsia="zh-CN"/>
                    </w:rPr>
                    <w:t>冲击式钻井机</w:t>
                  </w:r>
                </w:p>
              </w:tc>
              <w:tc>
                <w:tcPr>
                  <w:tcW w:w="13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22型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p>
              </w:tc>
              <w:tc>
                <w:tcPr>
                  <w:tcW w:w="1928"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ZL50型</w:t>
                  </w:r>
                </w:p>
              </w:tc>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9</w:t>
                  </w:r>
                </w:p>
              </w:tc>
              <w:tc>
                <w:tcPr>
                  <w:tcW w:w="27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锥形反转出料混凝土搅拌机</w:t>
                  </w:r>
                </w:p>
              </w:tc>
              <w:tc>
                <w:tcPr>
                  <w:tcW w:w="13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JZC350型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2</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sz w:val="21"/>
                      <w:szCs w:val="21"/>
                      <w:u w:val="single" w:color="auto"/>
                    </w:rPr>
                    <w:t>平地机</w:t>
                  </w: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PY160A型</w:t>
                  </w:r>
                </w:p>
              </w:tc>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10</w:t>
                  </w:r>
                </w:p>
              </w:tc>
              <w:tc>
                <w:tcPr>
                  <w:tcW w:w="27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sz w:val="21"/>
                      <w:szCs w:val="21"/>
                      <w:u w:val="single" w:color="auto"/>
                    </w:rPr>
                    <w:t>洒水车</w:t>
                  </w:r>
                </w:p>
              </w:tc>
              <w:tc>
                <w:tcPr>
                  <w:tcW w:w="13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rPr>
                    <w:t>CQ3191 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3</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振动式压路机</w:t>
                  </w: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Y2J10B型</w:t>
                  </w:r>
                </w:p>
              </w:tc>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11</w:t>
                  </w:r>
                </w:p>
              </w:tc>
              <w:tc>
                <w:tcPr>
                  <w:tcW w:w="27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大型沥青混凝土摊铺机</w:t>
                  </w:r>
                </w:p>
              </w:tc>
              <w:tc>
                <w:tcPr>
                  <w:tcW w:w="13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RP1356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4</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双轮双振压路机</w:t>
                  </w: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CC2型</w:t>
                  </w:r>
                </w:p>
              </w:tc>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12</w:t>
                  </w:r>
                </w:p>
              </w:tc>
              <w:tc>
                <w:tcPr>
                  <w:tcW w:w="27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砼输送泵</w:t>
                  </w:r>
                </w:p>
              </w:tc>
              <w:tc>
                <w:tcPr>
                  <w:tcW w:w="13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rPr>
                    <w:t>HB-30D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5</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轮压路</w:t>
                  </w: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ZL16型</w:t>
                  </w:r>
                </w:p>
              </w:tc>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13</w:t>
                  </w:r>
                </w:p>
              </w:tc>
              <w:tc>
                <w:tcPr>
                  <w:tcW w:w="27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rPr>
                    <w:t>路面测</w:t>
                  </w:r>
                  <w:r>
                    <w:rPr>
                      <w:rFonts w:hint="eastAsia"/>
                      <w:sz w:val="21"/>
                      <w:szCs w:val="21"/>
                      <w:u w:val="single" w:color="auto"/>
                    </w:rPr>
                    <w:fldChar w:fldCharType="begin"/>
                  </w:r>
                  <w:r>
                    <w:rPr>
                      <w:rFonts w:hint="eastAsia"/>
                      <w:sz w:val="21"/>
                      <w:szCs w:val="21"/>
                      <w:u w:val="single" w:color="auto"/>
                    </w:rPr>
                    <w:instrText xml:space="preserve"> HYPERLINK "http://www.so.com/s?q=%E5%B9%B3%E4%BB%AA&amp;ie=utf-8&amp;src=internal_wenda_recommend_textn" \t "https://wenda.so.com/q/_blank" </w:instrText>
                  </w:r>
                  <w:r>
                    <w:rPr>
                      <w:rFonts w:hint="eastAsia"/>
                      <w:sz w:val="21"/>
                      <w:szCs w:val="21"/>
                      <w:u w:val="single" w:color="auto"/>
                    </w:rPr>
                    <w:fldChar w:fldCharType="separate"/>
                  </w:r>
                  <w:r>
                    <w:rPr>
                      <w:rFonts w:hint="eastAsia"/>
                      <w:sz w:val="21"/>
                      <w:szCs w:val="21"/>
                      <w:u w:val="single" w:color="auto"/>
                    </w:rPr>
                    <w:t>平仪</w:t>
                  </w:r>
                  <w:r>
                    <w:rPr>
                      <w:rFonts w:hint="eastAsia"/>
                      <w:sz w:val="21"/>
                      <w:szCs w:val="21"/>
                      <w:u w:val="single" w:color="auto"/>
                    </w:rPr>
                    <w:fldChar w:fldCharType="end"/>
                  </w:r>
                </w:p>
              </w:tc>
              <w:tc>
                <w:tcPr>
                  <w:tcW w:w="13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val="en-US" w:eastAsia="zh-CN"/>
                    </w:rPr>
                    <w:t>BF58-CP-4A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6</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推土机</w:t>
                  </w: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T140型</w:t>
                  </w:r>
                </w:p>
              </w:tc>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14</w:t>
                  </w:r>
                </w:p>
              </w:tc>
              <w:tc>
                <w:tcPr>
                  <w:tcW w:w="27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lang w:eastAsia="zh-CN"/>
                    </w:rPr>
                    <w:t>自卸汽车</w:t>
                  </w:r>
                </w:p>
              </w:tc>
              <w:tc>
                <w:tcPr>
                  <w:tcW w:w="13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7</w:t>
                  </w:r>
                </w:p>
              </w:tc>
              <w:tc>
                <w:tcPr>
                  <w:tcW w:w="19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轮胎式液压挖掘机</w:t>
                  </w:r>
                </w:p>
              </w:tc>
              <w:tc>
                <w:tcPr>
                  <w:tcW w:w="11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sz w:val="21"/>
                      <w:szCs w:val="21"/>
                      <w:u w:val="single" w:color="auto"/>
                    </w:rPr>
                  </w:pPr>
                  <w:r>
                    <w:rPr>
                      <w:sz w:val="21"/>
                      <w:szCs w:val="21"/>
                      <w:u w:val="single" w:color="auto"/>
                    </w:rPr>
                    <w:t>W4-60C型</w:t>
                  </w:r>
                </w:p>
              </w:tc>
              <w:tc>
                <w:tcPr>
                  <w:tcW w:w="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15</w:t>
                  </w:r>
                </w:p>
              </w:tc>
              <w:tc>
                <w:tcPr>
                  <w:tcW w:w="27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r>
                    <w:rPr>
                      <w:rFonts w:hint="eastAsia"/>
                      <w:sz w:val="21"/>
                      <w:szCs w:val="21"/>
                      <w:u w:val="single" w:color="auto"/>
                    </w:rPr>
                    <w:t>钢筋弯曲、切断及调直机械</w:t>
                  </w:r>
                </w:p>
              </w:tc>
              <w:tc>
                <w:tcPr>
                  <w:tcW w:w="13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bidi w:val="0"/>
                    <w:spacing w:line="240" w:lineRule="auto"/>
                    <w:jc w:val="center"/>
                    <w:rPr>
                      <w:rFonts w:hint="eastAsia"/>
                      <w:sz w:val="21"/>
                      <w:szCs w:val="21"/>
                      <w:u w:val="single" w:color="auto"/>
                      <w:lang w:val="en-US" w:eastAsia="zh-CN"/>
                    </w:rPr>
                  </w:pPr>
                </w:p>
              </w:tc>
            </w:tr>
          </w:tbl>
          <w:p>
            <w:pPr>
              <w:ind w:firstLine="482" w:firstLineChars="200"/>
              <w:rPr>
                <w:b/>
                <w:sz w:val="24"/>
              </w:rPr>
            </w:pPr>
            <w:r>
              <w:rPr>
                <w:b/>
                <w:sz w:val="24"/>
              </w:rPr>
              <w:t>2.3.</w:t>
            </w:r>
            <w:r>
              <w:rPr>
                <w:rFonts w:hint="eastAsia"/>
                <w:b/>
                <w:sz w:val="24"/>
                <w:lang w:val="en-US" w:eastAsia="zh-CN"/>
              </w:rPr>
              <w:t>3</w:t>
            </w:r>
            <w:r>
              <w:rPr>
                <w:b/>
                <w:sz w:val="24"/>
              </w:rPr>
              <w:t>道路工程</w:t>
            </w:r>
          </w:p>
          <w:p>
            <w:pPr>
              <w:ind w:firstLine="482" w:firstLineChars="200"/>
              <w:rPr>
                <w:rFonts w:hint="eastAsia" w:eastAsia="宋体"/>
                <w:b/>
                <w:sz w:val="24"/>
                <w:lang w:eastAsia="zh-CN"/>
              </w:rPr>
            </w:pPr>
            <w:r>
              <w:rPr>
                <w:rFonts w:hint="eastAsia"/>
                <w:b/>
                <w:sz w:val="24"/>
              </w:rPr>
              <w:t>（1）道路平面</w:t>
            </w:r>
            <w:r>
              <w:rPr>
                <w:rFonts w:hint="eastAsia"/>
                <w:b/>
                <w:sz w:val="24"/>
                <w:lang w:eastAsia="zh-CN"/>
              </w:rPr>
              <w:t>设计</w:t>
            </w:r>
          </w:p>
          <w:p>
            <w:pPr>
              <w:ind w:firstLine="480" w:firstLineChars="200"/>
              <w:rPr>
                <w:rFonts w:hint="eastAsia"/>
                <w:lang w:val="en-US" w:eastAsia="zh-CN"/>
              </w:rPr>
            </w:pPr>
            <w:r>
              <w:rPr>
                <w:rFonts w:hint="eastAsia"/>
                <w:sz w:val="24"/>
              </w:rPr>
              <w:t>马鞍路、桃园路</w:t>
            </w:r>
            <w:r>
              <w:rPr>
                <w:rFonts w:hint="eastAsia"/>
                <w:sz w:val="24"/>
                <w:lang w:eastAsia="zh-CN"/>
              </w:rPr>
              <w:t>、</w:t>
            </w:r>
            <w:r>
              <w:rPr>
                <w:rFonts w:hint="eastAsia"/>
                <w:sz w:val="24"/>
              </w:rPr>
              <w:t>百合路</w:t>
            </w:r>
            <w:r>
              <w:rPr>
                <w:rFonts w:hint="eastAsia"/>
                <w:lang w:val="en-US" w:eastAsia="zh-CN"/>
              </w:rPr>
              <w:t>道路中线均为直线，所有道路中线与规划线形一致，道路线形参数均符合设计车速的规范要求。纬四路</w:t>
            </w:r>
            <w:r>
              <w:rPr>
                <w:rFonts w:hint="eastAsia" w:cs="宋体"/>
                <w:bCs/>
                <w:sz w:val="24"/>
              </w:rPr>
              <w:t>全段共设置平曲线2 处，半径分别为</w:t>
            </w:r>
            <w:r>
              <w:rPr>
                <w:rFonts w:hint="eastAsia" w:cs="宋体"/>
                <w:bCs/>
                <w:sz w:val="24"/>
                <w:lang w:val="en-US" w:eastAsia="zh-CN"/>
              </w:rPr>
              <w:t>2000、15000</w:t>
            </w:r>
            <w:r>
              <w:rPr>
                <w:rFonts w:hint="eastAsia" w:cs="宋体"/>
                <w:bCs/>
                <w:sz w:val="24"/>
              </w:rPr>
              <w:t>。</w:t>
            </w:r>
          </w:p>
          <w:p>
            <w:pPr>
              <w:ind w:firstLine="480" w:firstLineChars="200"/>
              <w:rPr>
                <w:rFonts w:cs="宋体"/>
                <w:bCs/>
                <w:sz w:val="24"/>
                <w:highlight w:val="none"/>
              </w:rPr>
            </w:pPr>
            <w:r>
              <w:rPr>
                <w:rFonts w:hint="eastAsia" w:cs="宋体"/>
                <w:bCs/>
                <w:sz w:val="24"/>
                <w:highlight w:val="none"/>
              </w:rPr>
              <w:t>1）交叉口</w:t>
            </w:r>
          </w:p>
          <w:p>
            <w:pPr>
              <w:ind w:firstLine="480" w:firstLineChars="200"/>
              <w:rPr>
                <w:rFonts w:hint="eastAsia" w:eastAsia="宋体"/>
                <w:b/>
                <w:bCs/>
                <w:lang w:eastAsia="zh-CN"/>
              </w:rPr>
            </w:pPr>
            <w:r>
              <w:rPr>
                <w:rFonts w:hint="eastAsia"/>
              </w:rPr>
              <w:t>平面交叉口由于受到转向交通的限制，其通行能力一般小于正常路段，其设计是否合理将直接关系到道路交通的安全与畅通。为满足交通的需要，在道路规划红线范围内，在主要交叉口根据交通流量流向的需要，对主次干路交叉口进口道增加一个车道，渠化交通。</w:t>
            </w:r>
          </w:p>
          <w:p>
            <w:pPr>
              <w:ind w:firstLine="482" w:firstLineChars="200"/>
              <w:jc w:val="center"/>
              <w:rPr>
                <w:rFonts w:hint="eastAsia"/>
                <w:lang w:eastAsia="zh-CN"/>
              </w:rPr>
            </w:pPr>
            <w:r>
              <w:rPr>
                <w:rFonts w:hint="eastAsia"/>
                <w:b/>
                <w:bCs/>
                <w:lang w:eastAsia="zh-CN"/>
              </w:rPr>
              <w:t>表</w:t>
            </w:r>
            <w:r>
              <w:rPr>
                <w:rFonts w:hint="eastAsia"/>
                <w:b/>
                <w:bCs/>
                <w:lang w:val="en-US" w:eastAsia="zh-CN"/>
              </w:rPr>
              <w:t xml:space="preserve">5   </w:t>
            </w:r>
            <w:r>
              <w:rPr>
                <w:rFonts w:hint="eastAsia"/>
                <w:b/>
                <w:bCs/>
                <w:lang w:eastAsia="zh-CN"/>
              </w:rPr>
              <w:t>相交道路情况统计表</w:t>
            </w:r>
          </w:p>
          <w:tbl>
            <w:tblPr>
              <w:tblStyle w:val="3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077"/>
              <w:gridCol w:w="1361"/>
              <w:gridCol w:w="1247"/>
              <w:gridCol w:w="1701"/>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val="en-US" w:eastAsia="zh-CN"/>
                    </w:rPr>
                  </w:pPr>
                  <w:r>
                    <w:rPr>
                      <w:rFonts w:hint="eastAsia"/>
                      <w:b/>
                      <w:bCs/>
                      <w:sz w:val="21"/>
                      <w:szCs w:val="21"/>
                      <w:lang w:eastAsia="zh-CN"/>
                    </w:rPr>
                    <w:t>序号</w:t>
                  </w:r>
                </w:p>
              </w:tc>
              <w:tc>
                <w:tcPr>
                  <w:tcW w:w="107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eastAsia="zh-CN"/>
                    </w:rPr>
                  </w:pPr>
                  <w:r>
                    <w:rPr>
                      <w:rFonts w:hint="eastAsia"/>
                      <w:b/>
                      <w:bCs/>
                      <w:sz w:val="21"/>
                      <w:szCs w:val="21"/>
                      <w:lang w:eastAsia="zh-CN"/>
                    </w:rPr>
                    <w:t>道路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eastAsia="zh-CN"/>
                    </w:rPr>
                  </w:pPr>
                  <w:r>
                    <w:rPr>
                      <w:rFonts w:hint="eastAsia"/>
                      <w:b/>
                      <w:bCs/>
                      <w:sz w:val="21"/>
                      <w:szCs w:val="21"/>
                      <w:lang w:eastAsia="zh-CN"/>
                    </w:rPr>
                    <w:t>相交道路</w:t>
                  </w:r>
                </w:p>
              </w:tc>
              <w:tc>
                <w:tcPr>
                  <w:tcW w:w="12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eastAsia="zh-CN"/>
                    </w:rPr>
                  </w:pPr>
                  <w:r>
                    <w:rPr>
                      <w:rFonts w:hint="eastAsia"/>
                      <w:b/>
                      <w:bCs/>
                      <w:sz w:val="21"/>
                      <w:szCs w:val="21"/>
                      <w:lang w:eastAsia="zh-CN"/>
                    </w:rPr>
                    <w:t>道路等级</w:t>
                  </w:r>
                </w:p>
              </w:tc>
              <w:tc>
                <w:tcPr>
                  <w:tcW w:w="170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eastAsia="zh-CN"/>
                    </w:rPr>
                  </w:pPr>
                  <w:r>
                    <w:rPr>
                      <w:rFonts w:hint="eastAsia"/>
                      <w:b/>
                      <w:bCs/>
                      <w:sz w:val="21"/>
                      <w:szCs w:val="21"/>
                      <w:lang w:eastAsia="zh-CN"/>
                    </w:rPr>
                    <w:t>交叉口类型</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sz w:val="21"/>
                      <w:szCs w:val="21"/>
                      <w:lang w:eastAsia="zh-CN"/>
                    </w:rPr>
                  </w:pPr>
                  <w:r>
                    <w:rPr>
                      <w:rFonts w:hint="eastAsia"/>
                      <w:b/>
                      <w:bCs/>
                      <w:sz w:val="21"/>
                      <w:szCs w:val="21"/>
                      <w:lang w:eastAsia="zh-CN"/>
                    </w:rPr>
                    <w:t>交通组织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1</w:t>
                  </w:r>
                </w:p>
              </w:tc>
              <w:tc>
                <w:tcPr>
                  <w:tcW w:w="107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eastAsia="zh-CN"/>
                    </w:rPr>
                    <w:t>马鞍</w:t>
                  </w:r>
                  <w:r>
                    <w:rPr>
                      <w:rFonts w:hint="eastAsia"/>
                      <w:sz w:val="21"/>
                      <w:szCs w:val="21"/>
                    </w:rPr>
                    <w:t>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百合路</w:t>
                  </w:r>
                </w:p>
              </w:tc>
              <w:tc>
                <w:tcPr>
                  <w:tcW w:w="12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次干路</w:t>
                  </w:r>
                </w:p>
              </w:tc>
              <w:tc>
                <w:tcPr>
                  <w:tcW w:w="170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val="en-US" w:eastAsia="zh-CN"/>
                    </w:rPr>
                    <w:t>十字</w:t>
                  </w:r>
                  <w:r>
                    <w:rPr>
                      <w:rFonts w:hint="eastAsia"/>
                      <w:sz w:val="21"/>
                      <w:szCs w:val="21"/>
                    </w:rPr>
                    <w:t>形</w:t>
                  </w:r>
                  <w:r>
                    <w:rPr>
                      <w:rFonts w:hint="eastAsia"/>
                      <w:sz w:val="21"/>
                      <w:szCs w:val="21"/>
                      <w:lang w:eastAsia="zh-CN"/>
                    </w:rPr>
                    <w:t>平</w:t>
                  </w:r>
                  <w:r>
                    <w:rPr>
                      <w:rFonts w:hint="eastAsia"/>
                      <w:sz w:val="21"/>
                      <w:szCs w:val="21"/>
                    </w:rPr>
                    <w:t>交</w:t>
                  </w:r>
                  <w:r>
                    <w:rPr>
                      <w:rFonts w:hint="eastAsia"/>
                      <w:sz w:val="21"/>
                      <w:szCs w:val="21"/>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信号灯控制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2</w:t>
                  </w:r>
                </w:p>
              </w:tc>
              <w:tc>
                <w:tcPr>
                  <w:tcW w:w="107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eastAsia="zh-CN"/>
                    </w:rPr>
                    <w:t>马鞍路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经一路</w:t>
                  </w:r>
                </w:p>
              </w:tc>
              <w:tc>
                <w:tcPr>
                  <w:tcW w:w="12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支路</w:t>
                  </w:r>
                </w:p>
              </w:tc>
              <w:tc>
                <w:tcPr>
                  <w:tcW w:w="170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T字形平交口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停车让行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3</w:t>
                  </w:r>
                </w:p>
              </w:tc>
              <w:tc>
                <w:tcPr>
                  <w:tcW w:w="107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eastAsia="zh-CN"/>
                    </w:rPr>
                    <w:t>马鞍</w:t>
                  </w:r>
                  <w:r>
                    <w:rPr>
                      <w:rFonts w:hint="eastAsia"/>
                      <w:sz w:val="21"/>
                      <w:szCs w:val="21"/>
                    </w:rPr>
                    <w:t>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桃园路</w:t>
                  </w:r>
                </w:p>
              </w:tc>
              <w:tc>
                <w:tcPr>
                  <w:tcW w:w="12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主干路</w:t>
                  </w:r>
                </w:p>
              </w:tc>
              <w:tc>
                <w:tcPr>
                  <w:tcW w:w="170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val="en-US" w:eastAsia="zh-CN"/>
                    </w:rPr>
                    <w:t>十字</w:t>
                  </w:r>
                  <w:r>
                    <w:rPr>
                      <w:rFonts w:hint="eastAsia"/>
                      <w:sz w:val="21"/>
                      <w:szCs w:val="21"/>
                    </w:rPr>
                    <w:t>形</w:t>
                  </w:r>
                  <w:r>
                    <w:rPr>
                      <w:rFonts w:hint="eastAsia"/>
                      <w:sz w:val="21"/>
                      <w:szCs w:val="21"/>
                      <w:lang w:eastAsia="zh-CN"/>
                    </w:rPr>
                    <w:t>平</w:t>
                  </w:r>
                  <w:r>
                    <w:rPr>
                      <w:rFonts w:hint="eastAsia"/>
                      <w:sz w:val="21"/>
                      <w:szCs w:val="21"/>
                    </w:rPr>
                    <w:t>交</w:t>
                  </w:r>
                  <w:r>
                    <w:rPr>
                      <w:rFonts w:hint="eastAsia"/>
                      <w:sz w:val="21"/>
                      <w:szCs w:val="21"/>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信号灯控制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4</w:t>
                  </w:r>
                </w:p>
              </w:tc>
              <w:tc>
                <w:tcPr>
                  <w:tcW w:w="107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eastAsia="zh-CN"/>
                    </w:rPr>
                    <w:t>桃园</w:t>
                  </w:r>
                  <w:r>
                    <w:rPr>
                      <w:rFonts w:hint="eastAsia"/>
                      <w:sz w:val="21"/>
                      <w:szCs w:val="21"/>
                    </w:rPr>
                    <w:t>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纬四路</w:t>
                  </w:r>
                </w:p>
              </w:tc>
              <w:tc>
                <w:tcPr>
                  <w:tcW w:w="12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支路</w:t>
                  </w:r>
                </w:p>
              </w:tc>
              <w:tc>
                <w:tcPr>
                  <w:tcW w:w="170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val="en-US" w:eastAsia="zh-CN"/>
                    </w:rPr>
                    <w:t>T字</w:t>
                  </w:r>
                  <w:r>
                    <w:rPr>
                      <w:rFonts w:hint="eastAsia"/>
                      <w:sz w:val="21"/>
                      <w:szCs w:val="21"/>
                    </w:rPr>
                    <w:t>形</w:t>
                  </w:r>
                  <w:r>
                    <w:rPr>
                      <w:rFonts w:hint="eastAsia"/>
                      <w:sz w:val="21"/>
                      <w:szCs w:val="21"/>
                      <w:lang w:eastAsia="zh-CN"/>
                    </w:rPr>
                    <w:t>平</w:t>
                  </w:r>
                  <w:r>
                    <w:rPr>
                      <w:rFonts w:hint="eastAsia"/>
                      <w:sz w:val="21"/>
                      <w:szCs w:val="21"/>
                    </w:rPr>
                    <w:t>交</w:t>
                  </w:r>
                  <w:r>
                    <w:rPr>
                      <w:rFonts w:hint="eastAsia"/>
                      <w:sz w:val="21"/>
                      <w:szCs w:val="21"/>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左进右出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5</w:t>
                  </w:r>
                </w:p>
              </w:tc>
              <w:tc>
                <w:tcPr>
                  <w:tcW w:w="107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eastAsia="zh-CN"/>
                    </w:rPr>
                    <w:t>桃园路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云龙大道</w:t>
                  </w:r>
                </w:p>
              </w:tc>
              <w:tc>
                <w:tcPr>
                  <w:tcW w:w="12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主干路</w:t>
                  </w:r>
                </w:p>
              </w:tc>
              <w:tc>
                <w:tcPr>
                  <w:tcW w:w="1701"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十字</w:t>
                  </w:r>
                  <w:r>
                    <w:rPr>
                      <w:rFonts w:hint="eastAsia"/>
                      <w:sz w:val="21"/>
                      <w:szCs w:val="21"/>
                    </w:rPr>
                    <w:t>形</w:t>
                  </w:r>
                  <w:r>
                    <w:rPr>
                      <w:rFonts w:hint="eastAsia"/>
                      <w:sz w:val="21"/>
                      <w:szCs w:val="21"/>
                      <w:lang w:eastAsia="zh-CN"/>
                    </w:rPr>
                    <w:t>平</w:t>
                  </w:r>
                  <w:r>
                    <w:rPr>
                      <w:rFonts w:hint="eastAsia"/>
                      <w:sz w:val="21"/>
                      <w:szCs w:val="21"/>
                    </w:rPr>
                    <w:t>交</w:t>
                  </w:r>
                  <w:r>
                    <w:rPr>
                      <w:rFonts w:hint="eastAsia"/>
                      <w:sz w:val="21"/>
                      <w:szCs w:val="21"/>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近期左进右出，远期信号灯控制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6</w:t>
                  </w:r>
                </w:p>
              </w:tc>
              <w:tc>
                <w:tcPr>
                  <w:tcW w:w="107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eastAsia="zh-CN"/>
                    </w:rPr>
                    <w:t>纬四路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百合路</w:t>
                  </w:r>
                </w:p>
              </w:tc>
              <w:tc>
                <w:tcPr>
                  <w:tcW w:w="12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次干路</w:t>
                  </w:r>
                </w:p>
              </w:tc>
              <w:tc>
                <w:tcPr>
                  <w:tcW w:w="1701"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T字</w:t>
                  </w:r>
                  <w:r>
                    <w:rPr>
                      <w:rFonts w:hint="eastAsia"/>
                      <w:sz w:val="21"/>
                      <w:szCs w:val="21"/>
                    </w:rPr>
                    <w:t>形</w:t>
                  </w:r>
                  <w:r>
                    <w:rPr>
                      <w:rFonts w:hint="eastAsia"/>
                      <w:sz w:val="21"/>
                      <w:szCs w:val="21"/>
                      <w:lang w:eastAsia="zh-CN"/>
                    </w:rPr>
                    <w:t>平</w:t>
                  </w:r>
                  <w:r>
                    <w:rPr>
                      <w:rFonts w:hint="eastAsia"/>
                      <w:sz w:val="21"/>
                      <w:szCs w:val="21"/>
                    </w:rPr>
                    <w:t>交</w:t>
                  </w:r>
                  <w:r>
                    <w:rPr>
                      <w:rFonts w:hint="eastAsia"/>
                      <w:sz w:val="21"/>
                      <w:szCs w:val="21"/>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停车让行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7</w:t>
                  </w:r>
                </w:p>
              </w:tc>
              <w:tc>
                <w:tcPr>
                  <w:tcW w:w="107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百合路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云龙大道</w:t>
                  </w:r>
                </w:p>
              </w:tc>
              <w:tc>
                <w:tcPr>
                  <w:tcW w:w="12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eastAsia="zh-CN"/>
                    </w:rPr>
                  </w:pPr>
                  <w:r>
                    <w:rPr>
                      <w:rFonts w:hint="eastAsia"/>
                      <w:sz w:val="21"/>
                      <w:szCs w:val="21"/>
                      <w:highlight w:val="none"/>
                      <w:lang w:eastAsia="zh-CN"/>
                    </w:rPr>
                    <w:t>主干路</w:t>
                  </w:r>
                </w:p>
              </w:tc>
              <w:tc>
                <w:tcPr>
                  <w:tcW w:w="1701"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十字</w:t>
                  </w:r>
                  <w:r>
                    <w:rPr>
                      <w:rFonts w:hint="eastAsia"/>
                      <w:sz w:val="21"/>
                      <w:szCs w:val="21"/>
                      <w:highlight w:val="none"/>
                    </w:rPr>
                    <w:t>形</w:t>
                  </w:r>
                  <w:r>
                    <w:rPr>
                      <w:rFonts w:hint="eastAsia"/>
                      <w:sz w:val="21"/>
                      <w:szCs w:val="21"/>
                      <w:highlight w:val="none"/>
                      <w:lang w:eastAsia="zh-CN"/>
                    </w:rPr>
                    <w:t>平</w:t>
                  </w:r>
                  <w:r>
                    <w:rPr>
                      <w:rFonts w:hint="eastAsia"/>
                      <w:sz w:val="21"/>
                      <w:szCs w:val="21"/>
                      <w:highlight w:val="none"/>
                    </w:rPr>
                    <w:t>交</w:t>
                  </w:r>
                  <w:r>
                    <w:rPr>
                      <w:rFonts w:hint="eastAsia"/>
                      <w:sz w:val="21"/>
                      <w:szCs w:val="21"/>
                      <w:highlight w:val="none"/>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eastAsia="zh-CN"/>
                    </w:rPr>
                  </w:pPr>
                  <w:r>
                    <w:rPr>
                      <w:rFonts w:hint="eastAsia"/>
                      <w:sz w:val="21"/>
                      <w:szCs w:val="21"/>
                      <w:highlight w:val="none"/>
                      <w:lang w:eastAsia="zh-CN"/>
                    </w:rPr>
                    <w:t>信号灯控制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8</w:t>
                  </w:r>
                </w:p>
              </w:tc>
              <w:tc>
                <w:tcPr>
                  <w:tcW w:w="1077"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百合路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highlight w:val="none"/>
                      <w:lang w:val="en-US" w:eastAsia="zh-CN"/>
                    </w:rPr>
                  </w:pPr>
                  <w:r>
                    <w:rPr>
                      <w:rFonts w:hint="eastAsia"/>
                      <w:sz w:val="21"/>
                      <w:szCs w:val="21"/>
                      <w:highlight w:val="none"/>
                      <w:lang w:val="en-US" w:eastAsia="zh-CN"/>
                    </w:rPr>
                    <w:t>福林路</w:t>
                  </w:r>
                </w:p>
              </w:tc>
              <w:tc>
                <w:tcPr>
                  <w:tcW w:w="1247"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eastAsia="zh-CN"/>
                    </w:rPr>
                  </w:pPr>
                  <w:r>
                    <w:rPr>
                      <w:rFonts w:hint="eastAsia"/>
                      <w:sz w:val="21"/>
                      <w:szCs w:val="21"/>
                      <w:highlight w:val="none"/>
                      <w:lang w:eastAsia="zh-CN"/>
                    </w:rPr>
                    <w:t>支路</w:t>
                  </w:r>
                </w:p>
              </w:tc>
              <w:tc>
                <w:tcPr>
                  <w:tcW w:w="1701"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T字</w:t>
                  </w:r>
                  <w:r>
                    <w:rPr>
                      <w:rFonts w:hint="eastAsia"/>
                      <w:sz w:val="21"/>
                      <w:szCs w:val="21"/>
                      <w:highlight w:val="none"/>
                    </w:rPr>
                    <w:t>形</w:t>
                  </w:r>
                  <w:r>
                    <w:rPr>
                      <w:rFonts w:hint="eastAsia"/>
                      <w:sz w:val="21"/>
                      <w:szCs w:val="21"/>
                      <w:highlight w:val="none"/>
                      <w:lang w:eastAsia="zh-CN"/>
                    </w:rPr>
                    <w:t>平</w:t>
                  </w:r>
                  <w:r>
                    <w:rPr>
                      <w:rFonts w:hint="eastAsia"/>
                      <w:sz w:val="21"/>
                      <w:szCs w:val="21"/>
                      <w:highlight w:val="none"/>
                    </w:rPr>
                    <w:t>交</w:t>
                  </w:r>
                  <w:r>
                    <w:rPr>
                      <w:rFonts w:hint="eastAsia"/>
                      <w:sz w:val="21"/>
                      <w:szCs w:val="21"/>
                      <w:highlight w:val="none"/>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eastAsia="zh-CN"/>
                    </w:rPr>
                  </w:pPr>
                  <w:r>
                    <w:rPr>
                      <w:rFonts w:hint="eastAsia"/>
                      <w:sz w:val="21"/>
                      <w:szCs w:val="21"/>
                      <w:highlight w:val="none"/>
                      <w:lang w:val="en-US" w:eastAsia="zh-CN"/>
                    </w:rPr>
                    <w:t>停车让行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9</w:t>
                  </w:r>
                </w:p>
              </w:tc>
              <w:tc>
                <w:tcPr>
                  <w:tcW w:w="1077"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百合路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云天西路</w:t>
                  </w:r>
                </w:p>
              </w:tc>
              <w:tc>
                <w:tcPr>
                  <w:tcW w:w="1247"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eastAsia="zh-CN"/>
                    </w:rPr>
                    <w:t>主干路</w:t>
                  </w:r>
                </w:p>
              </w:tc>
              <w:tc>
                <w:tcPr>
                  <w:tcW w:w="1701"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十字</w:t>
                  </w:r>
                  <w:r>
                    <w:rPr>
                      <w:rFonts w:hint="eastAsia"/>
                      <w:sz w:val="21"/>
                      <w:szCs w:val="21"/>
                      <w:highlight w:val="none"/>
                    </w:rPr>
                    <w:t>形</w:t>
                  </w:r>
                  <w:r>
                    <w:rPr>
                      <w:rFonts w:hint="eastAsia"/>
                      <w:sz w:val="21"/>
                      <w:szCs w:val="21"/>
                      <w:highlight w:val="none"/>
                      <w:lang w:eastAsia="zh-CN"/>
                    </w:rPr>
                    <w:t>平</w:t>
                  </w:r>
                  <w:r>
                    <w:rPr>
                      <w:rFonts w:hint="eastAsia"/>
                      <w:sz w:val="21"/>
                      <w:szCs w:val="21"/>
                      <w:highlight w:val="none"/>
                    </w:rPr>
                    <w:t>交</w:t>
                  </w:r>
                  <w:r>
                    <w:rPr>
                      <w:rFonts w:hint="eastAsia"/>
                      <w:sz w:val="21"/>
                      <w:szCs w:val="21"/>
                      <w:highlight w:val="none"/>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eastAsia="zh-CN"/>
                    </w:rPr>
                  </w:pPr>
                  <w:r>
                    <w:rPr>
                      <w:rFonts w:hint="eastAsia"/>
                      <w:sz w:val="21"/>
                      <w:szCs w:val="21"/>
                      <w:highlight w:val="none"/>
                      <w:lang w:eastAsia="zh-CN"/>
                    </w:rPr>
                    <w:t>信号灯控制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10</w:t>
                  </w:r>
                </w:p>
              </w:tc>
              <w:tc>
                <w:tcPr>
                  <w:tcW w:w="1077"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百合路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纬三路</w:t>
                  </w:r>
                </w:p>
              </w:tc>
              <w:tc>
                <w:tcPr>
                  <w:tcW w:w="1247"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eastAsia="zh-CN"/>
                    </w:rPr>
                    <w:t>次干路</w:t>
                  </w:r>
                </w:p>
              </w:tc>
              <w:tc>
                <w:tcPr>
                  <w:tcW w:w="1701"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T字</w:t>
                  </w:r>
                  <w:r>
                    <w:rPr>
                      <w:rFonts w:hint="eastAsia"/>
                      <w:sz w:val="21"/>
                      <w:szCs w:val="21"/>
                      <w:highlight w:val="none"/>
                    </w:rPr>
                    <w:t>形</w:t>
                  </w:r>
                  <w:r>
                    <w:rPr>
                      <w:rFonts w:hint="eastAsia"/>
                      <w:sz w:val="21"/>
                      <w:szCs w:val="21"/>
                      <w:highlight w:val="none"/>
                      <w:lang w:eastAsia="zh-CN"/>
                    </w:rPr>
                    <w:t>平</w:t>
                  </w:r>
                  <w:r>
                    <w:rPr>
                      <w:rFonts w:hint="eastAsia"/>
                      <w:sz w:val="21"/>
                      <w:szCs w:val="21"/>
                      <w:highlight w:val="none"/>
                    </w:rPr>
                    <w:t>交</w:t>
                  </w:r>
                  <w:r>
                    <w:rPr>
                      <w:rFonts w:hint="eastAsia"/>
                      <w:sz w:val="21"/>
                      <w:szCs w:val="21"/>
                      <w:highlight w:val="none"/>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eastAsia="zh-CN"/>
                    </w:rPr>
                  </w:pPr>
                  <w:r>
                    <w:rPr>
                      <w:rFonts w:hint="eastAsia"/>
                      <w:sz w:val="21"/>
                      <w:szCs w:val="21"/>
                      <w:highlight w:val="none"/>
                      <w:lang w:eastAsia="zh-CN"/>
                    </w:rPr>
                    <w:t>信号灯控制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11</w:t>
                  </w:r>
                </w:p>
              </w:tc>
              <w:tc>
                <w:tcPr>
                  <w:tcW w:w="1077"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百合路</w:t>
                  </w:r>
                </w:p>
              </w:tc>
              <w:tc>
                <w:tcPr>
                  <w:tcW w:w="1361"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云峰大道</w:t>
                  </w:r>
                </w:p>
              </w:tc>
              <w:tc>
                <w:tcPr>
                  <w:tcW w:w="1247"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eastAsia="zh-CN"/>
                    </w:rPr>
                    <w:t>主干路</w:t>
                  </w:r>
                </w:p>
              </w:tc>
              <w:tc>
                <w:tcPr>
                  <w:tcW w:w="1701" w:type="dxa"/>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val="en-US" w:eastAsia="zh-CN"/>
                    </w:rPr>
                  </w:pPr>
                  <w:r>
                    <w:rPr>
                      <w:rFonts w:hint="eastAsia"/>
                      <w:sz w:val="21"/>
                      <w:szCs w:val="21"/>
                      <w:highlight w:val="none"/>
                      <w:lang w:val="en-US" w:eastAsia="zh-CN"/>
                    </w:rPr>
                    <w:t>十字</w:t>
                  </w:r>
                  <w:r>
                    <w:rPr>
                      <w:rFonts w:hint="eastAsia"/>
                      <w:sz w:val="21"/>
                      <w:szCs w:val="21"/>
                      <w:highlight w:val="none"/>
                    </w:rPr>
                    <w:t>形</w:t>
                  </w:r>
                  <w:r>
                    <w:rPr>
                      <w:rFonts w:hint="eastAsia"/>
                      <w:sz w:val="21"/>
                      <w:szCs w:val="21"/>
                      <w:highlight w:val="none"/>
                      <w:lang w:eastAsia="zh-CN"/>
                    </w:rPr>
                    <w:t>平</w:t>
                  </w:r>
                  <w:r>
                    <w:rPr>
                      <w:rFonts w:hint="eastAsia"/>
                      <w:sz w:val="21"/>
                      <w:szCs w:val="21"/>
                      <w:highlight w:val="none"/>
                    </w:rPr>
                    <w:t>交</w:t>
                  </w:r>
                  <w:r>
                    <w:rPr>
                      <w:rFonts w:hint="eastAsia"/>
                      <w:sz w:val="21"/>
                      <w:szCs w:val="21"/>
                      <w:highlight w:val="none"/>
                      <w:lang w:eastAsia="zh-CN"/>
                    </w:rPr>
                    <w:t>口</w:t>
                  </w:r>
                </w:p>
              </w:tc>
              <w:tc>
                <w:tcPr>
                  <w:tcW w:w="3118" w:type="dxa"/>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highlight w:val="none"/>
                      <w:lang w:eastAsia="zh-CN"/>
                    </w:rPr>
                  </w:pPr>
                  <w:r>
                    <w:rPr>
                      <w:rFonts w:hint="eastAsia"/>
                      <w:sz w:val="21"/>
                      <w:szCs w:val="21"/>
                      <w:highlight w:val="none"/>
                      <w:lang w:eastAsia="zh-CN"/>
                    </w:rPr>
                    <w:t>信号灯控制</w:t>
                  </w:r>
                </w:p>
              </w:tc>
            </w:tr>
          </w:tbl>
          <w:p>
            <w:pPr>
              <w:ind w:firstLine="480" w:firstLineChars="200"/>
              <w:rPr>
                <w:rFonts w:cs="宋体"/>
                <w:bCs/>
                <w:sz w:val="24"/>
                <w:highlight w:val="none"/>
              </w:rPr>
            </w:pPr>
            <w:r>
              <w:rPr>
                <w:rFonts w:hint="eastAsia" w:cs="宋体"/>
                <w:bCs/>
                <w:sz w:val="24"/>
                <w:highlight w:val="none"/>
              </w:rPr>
              <w:t>2）公交站及公共自行车租赁点布置</w:t>
            </w:r>
          </w:p>
          <w:p>
            <w:pPr>
              <w:bidi w:val="0"/>
              <w:ind w:firstLine="480" w:firstLineChars="200"/>
              <w:rPr>
                <w:rFonts w:hint="eastAsia"/>
              </w:rPr>
            </w:pPr>
            <w:r>
              <w:rPr>
                <w:rFonts w:hint="eastAsia"/>
              </w:rPr>
              <w:t>为坚持株洲市节能环保、低碳交通、以人为本理念，本项目考虑布置公交站点及公共自行车租赁点。公交站点的间距控制为300米至600米</w:t>
            </w:r>
            <w:r>
              <w:rPr>
                <w:rFonts w:hint="eastAsia"/>
                <w:lang w:eastAsia="zh-CN"/>
              </w:rPr>
              <w:t>，</w:t>
            </w:r>
            <w:r>
              <w:rPr>
                <w:rFonts w:hint="eastAsia"/>
              </w:rPr>
              <w:t>距离公交站10m布设公共自行车租赁点；在商业活动密集的重要公共区域，公交站点采用较小的间距密集设置。主次干路应采用港湾式公交停靠站，减少公交停靠时对其他交通产生不利影响。</w:t>
            </w:r>
          </w:p>
          <w:p>
            <w:pPr>
              <w:ind w:firstLine="482" w:firstLineChars="200"/>
              <w:rPr>
                <w:rFonts w:cs="宋体"/>
                <w:b/>
                <w:bCs/>
                <w:sz w:val="24"/>
              </w:rPr>
            </w:pPr>
            <w:r>
              <w:rPr>
                <w:rFonts w:hint="eastAsia" w:cs="宋体"/>
                <w:b/>
                <w:bCs/>
                <w:sz w:val="24"/>
              </w:rPr>
              <w:t>（</w:t>
            </w:r>
            <w:r>
              <w:rPr>
                <w:rFonts w:cs="宋体"/>
                <w:b/>
                <w:bCs/>
                <w:sz w:val="24"/>
              </w:rPr>
              <w:t>2</w:t>
            </w:r>
            <w:r>
              <w:rPr>
                <w:rFonts w:hint="eastAsia" w:cs="宋体"/>
                <w:b/>
                <w:bCs/>
                <w:sz w:val="24"/>
              </w:rPr>
              <w:t>）道路标准横断面</w:t>
            </w:r>
          </w:p>
          <w:p>
            <w:pPr>
              <w:ind w:firstLine="480" w:firstLineChars="200"/>
              <w:rPr>
                <w:rFonts w:hint="eastAsia" w:cs="宋体"/>
                <w:bCs/>
                <w:sz w:val="24"/>
                <w:lang w:val="en-US" w:eastAsia="zh-CN"/>
              </w:rPr>
            </w:pPr>
            <w:r>
              <w:rPr>
                <w:rFonts w:hint="eastAsia" w:cs="宋体"/>
                <w:bCs/>
                <w:sz w:val="24"/>
                <w:lang w:val="en-US" w:eastAsia="zh-CN"/>
              </w:rPr>
              <w:t>城市道路横断面的布置，首先应保证车辆和行人的交通安全与畅通，充分发挥绿化带的作用，另外还要与道路的性质和特点配合，满足地上地下管线的埋设要求，考虑近远期结合。</w:t>
            </w:r>
          </w:p>
          <w:p>
            <w:pPr>
              <w:ind w:firstLine="480" w:firstLineChars="200"/>
              <w:rPr>
                <w:rFonts w:hint="eastAsia"/>
                <w:sz w:val="24"/>
              </w:rPr>
            </w:pPr>
            <w:r>
              <w:rPr>
                <w:rFonts w:hint="eastAsia" w:cs="宋体"/>
                <w:bCs/>
                <w:sz w:val="24"/>
                <w:lang w:val="en-US" w:eastAsia="zh-CN"/>
              </w:rPr>
              <w:t>1）</w:t>
            </w:r>
            <w:r>
              <w:rPr>
                <w:rFonts w:hint="eastAsia"/>
                <w:sz w:val="24"/>
              </w:rPr>
              <w:t>马鞍路</w:t>
            </w:r>
          </w:p>
          <w:p>
            <w:pPr>
              <w:bidi w:val="0"/>
              <w:ind w:firstLine="480" w:firstLineChars="200"/>
              <w:rPr>
                <w:rFonts w:hint="eastAsia"/>
                <w:lang w:val="en-US" w:eastAsia="zh-CN"/>
              </w:rPr>
            </w:pPr>
            <w:r>
              <w:rPr>
                <w:rFonts w:hint="eastAsia"/>
                <w:lang w:val="en-US" w:eastAsia="zh-CN"/>
              </w:rPr>
              <w:t>道路规划路幅为 24m，城市次干路，本次断面设计与规划断面一致，双向4车道+非机动车道，断面具体分幅为：14m（车行道）+2x3.0m（非机动车道）+2x2.0m（人行车道）=24m。</w:t>
            </w:r>
          </w:p>
          <w:p>
            <w:pPr>
              <w:spacing w:line="240" w:lineRule="auto"/>
              <w:jc w:val="center"/>
              <w:rPr>
                <w:rFonts w:hint="eastAsia" w:eastAsia="宋体"/>
                <w:b/>
                <w:sz w:val="24"/>
                <w:lang w:eastAsia="zh-CN"/>
              </w:rPr>
            </w:pPr>
            <w:r>
              <w:rPr>
                <w:rFonts w:hint="eastAsia" w:eastAsia="宋体"/>
                <w:b/>
                <w:sz w:val="24"/>
                <w:lang w:eastAsia="zh-CN"/>
              </w:rPr>
              <w:drawing>
                <wp:inline distT="0" distB="0" distL="114300" distR="114300">
                  <wp:extent cx="4860290" cy="2703195"/>
                  <wp:effectExtent l="0" t="0" r="16510" b="190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0"/>
                          <a:srcRect t="2189" r="1906" b="8534"/>
                          <a:stretch>
                            <a:fillRect/>
                          </a:stretch>
                        </pic:blipFill>
                        <pic:spPr>
                          <a:xfrm>
                            <a:off x="0" y="0"/>
                            <a:ext cx="4860290" cy="2703195"/>
                          </a:xfrm>
                          <a:prstGeom prst="rect">
                            <a:avLst/>
                          </a:prstGeom>
                        </pic:spPr>
                      </pic:pic>
                    </a:graphicData>
                  </a:graphic>
                </wp:inline>
              </w:drawing>
            </w:r>
          </w:p>
          <w:p>
            <w:pPr>
              <w:ind w:firstLine="482" w:firstLineChars="200"/>
              <w:jc w:val="center"/>
              <w:rPr>
                <w:rFonts w:hint="eastAsia"/>
                <w:lang w:val="en-US" w:eastAsia="zh-CN"/>
              </w:rPr>
            </w:pPr>
            <w:r>
              <w:rPr>
                <w:b/>
                <w:sz w:val="24"/>
              </w:rPr>
              <w:t>图</w:t>
            </w:r>
            <w:r>
              <w:rPr>
                <w:rFonts w:hint="eastAsia"/>
                <w:b/>
                <w:sz w:val="24"/>
                <w:lang w:val="en-US" w:eastAsia="zh-CN"/>
              </w:rPr>
              <w:t>2</w:t>
            </w:r>
            <w:r>
              <w:rPr>
                <w:b/>
                <w:sz w:val="24"/>
              </w:rPr>
              <w:t xml:space="preserve"> </w:t>
            </w:r>
            <w:r>
              <w:rPr>
                <w:rFonts w:hint="eastAsia"/>
                <w:b/>
                <w:sz w:val="24"/>
              </w:rPr>
              <w:t xml:space="preserve"> </w:t>
            </w:r>
            <w:r>
              <w:rPr>
                <w:b/>
                <w:sz w:val="24"/>
              </w:rPr>
              <w:t xml:space="preserve"> </w:t>
            </w:r>
            <w:r>
              <w:rPr>
                <w:rFonts w:hint="eastAsia"/>
                <w:b/>
                <w:sz w:val="24"/>
              </w:rPr>
              <w:t>马鞍路横断面图</w:t>
            </w:r>
          </w:p>
          <w:p>
            <w:pPr>
              <w:numPr>
                <w:ilvl w:val="0"/>
                <w:numId w:val="2"/>
              </w:numPr>
              <w:ind w:firstLine="480" w:firstLineChars="200"/>
              <w:rPr>
                <w:rFonts w:hint="eastAsia"/>
                <w:sz w:val="24"/>
              </w:rPr>
            </w:pPr>
            <w:r>
              <w:rPr>
                <w:rFonts w:hint="eastAsia"/>
                <w:sz w:val="24"/>
              </w:rPr>
              <w:t>桃园路</w:t>
            </w:r>
          </w:p>
          <w:p>
            <w:pPr>
              <w:bidi w:val="0"/>
              <w:ind w:firstLine="480" w:firstLineChars="200"/>
              <w:rPr>
                <w:rFonts w:hint="eastAsia"/>
              </w:rPr>
            </w:pPr>
            <w:r>
              <w:rPr>
                <w:rFonts w:hint="eastAsia"/>
              </w:rPr>
              <w:t>道路规划路幅为40m，城市主干路，本次断面设计与规划断面一致，双向6车道，断面具体分幅为：3.5m（人行道）+2.5m（非机动车道）+2.0m（机非设施带）+11m（机动车道）+2.0m（中央分隔带）+11m（机动车道）+2.0m（机非设施带）+2.5m（非机动车道）+3.5m（人行道）=40m。</w:t>
            </w: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860290" cy="2199005"/>
                  <wp:effectExtent l="0" t="0" r="16510" b="1079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11"/>
                          <a:srcRect t="5882" r="1235"/>
                          <a:stretch>
                            <a:fillRect/>
                          </a:stretch>
                        </pic:blipFill>
                        <pic:spPr>
                          <a:xfrm>
                            <a:off x="0" y="0"/>
                            <a:ext cx="4860290" cy="2199005"/>
                          </a:xfrm>
                          <a:prstGeom prst="rect">
                            <a:avLst/>
                          </a:prstGeom>
                        </pic:spPr>
                      </pic:pic>
                    </a:graphicData>
                  </a:graphic>
                </wp:inline>
              </w:drawing>
            </w:r>
          </w:p>
          <w:p>
            <w:pPr>
              <w:ind w:firstLine="482" w:firstLineChars="200"/>
              <w:jc w:val="center"/>
              <w:rPr>
                <w:rFonts w:hint="eastAsia"/>
                <w:lang w:val="en-US" w:eastAsia="zh-CN"/>
              </w:rPr>
            </w:pPr>
            <w:r>
              <w:rPr>
                <w:b/>
                <w:sz w:val="24"/>
              </w:rPr>
              <w:t>图</w:t>
            </w:r>
            <w:r>
              <w:rPr>
                <w:rFonts w:hint="eastAsia"/>
                <w:b/>
                <w:sz w:val="24"/>
                <w:lang w:val="en-US" w:eastAsia="zh-CN"/>
              </w:rPr>
              <w:t>3</w:t>
            </w:r>
            <w:r>
              <w:rPr>
                <w:b/>
                <w:sz w:val="24"/>
              </w:rPr>
              <w:t xml:space="preserve"> </w:t>
            </w:r>
            <w:r>
              <w:rPr>
                <w:rFonts w:hint="eastAsia"/>
                <w:b/>
                <w:sz w:val="24"/>
              </w:rPr>
              <w:t xml:space="preserve"> </w:t>
            </w:r>
            <w:r>
              <w:rPr>
                <w:b/>
                <w:sz w:val="24"/>
              </w:rPr>
              <w:t xml:space="preserve"> </w:t>
            </w:r>
            <w:r>
              <w:rPr>
                <w:rFonts w:hint="eastAsia"/>
                <w:b/>
                <w:sz w:val="24"/>
              </w:rPr>
              <w:t>桃园路横断面图</w:t>
            </w:r>
          </w:p>
          <w:p>
            <w:pPr>
              <w:numPr>
                <w:ilvl w:val="0"/>
                <w:numId w:val="2"/>
              </w:numPr>
              <w:ind w:left="0" w:leftChars="0" w:firstLine="480" w:firstLineChars="200"/>
              <w:rPr>
                <w:rFonts w:hint="eastAsia"/>
                <w:sz w:val="24"/>
              </w:rPr>
            </w:pPr>
            <w:r>
              <w:rPr>
                <w:rFonts w:hint="eastAsia"/>
                <w:sz w:val="24"/>
              </w:rPr>
              <w:t>纬四路</w:t>
            </w:r>
          </w:p>
          <w:p>
            <w:pPr>
              <w:bidi w:val="0"/>
              <w:ind w:firstLine="480" w:firstLineChars="200"/>
              <w:rPr>
                <w:rFonts w:hint="eastAsia"/>
                <w:lang w:eastAsia="zh-CN"/>
              </w:rPr>
            </w:pPr>
            <w:r>
              <w:rPr>
                <w:rFonts w:hint="eastAsia"/>
              </w:rPr>
              <w:t>道路规划路幅为13m，本次断面设计与规划断面一致，双向2车道+非机动车道，断面具体分幅为：7m（车行道）+2x</w:t>
            </w:r>
            <w:r>
              <w:rPr>
                <w:rFonts w:hint="eastAsia"/>
                <w:lang w:val="en-US" w:eastAsia="zh-CN"/>
              </w:rPr>
              <w:t>3</w:t>
            </w:r>
            <w:r>
              <w:rPr>
                <w:rFonts w:hint="eastAsia"/>
              </w:rPr>
              <w:t>m（人行道）=13m。</w:t>
            </w:r>
          </w:p>
          <w:p>
            <w:pPr>
              <w:pStyle w:val="2"/>
              <w:tabs>
                <w:tab w:val="left" w:pos="4288"/>
              </w:tabs>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787900" cy="2967355"/>
                  <wp:effectExtent l="0" t="0" r="12700" b="4445"/>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12"/>
                          <a:srcRect t="5746" r="6047" b="8783"/>
                          <a:stretch>
                            <a:fillRect/>
                          </a:stretch>
                        </pic:blipFill>
                        <pic:spPr>
                          <a:xfrm>
                            <a:off x="0" y="0"/>
                            <a:ext cx="4787900" cy="2967355"/>
                          </a:xfrm>
                          <a:prstGeom prst="rect">
                            <a:avLst/>
                          </a:prstGeom>
                        </pic:spPr>
                      </pic:pic>
                    </a:graphicData>
                  </a:graphic>
                </wp:inline>
              </w:drawing>
            </w:r>
          </w:p>
          <w:p>
            <w:pPr>
              <w:ind w:firstLine="482" w:firstLineChars="200"/>
              <w:jc w:val="center"/>
              <w:rPr>
                <w:rFonts w:hint="eastAsia"/>
                <w:lang w:val="en-US" w:eastAsia="zh-CN"/>
              </w:rPr>
            </w:pPr>
            <w:r>
              <w:rPr>
                <w:b/>
                <w:sz w:val="24"/>
              </w:rPr>
              <w:t>图</w:t>
            </w:r>
            <w:r>
              <w:rPr>
                <w:rFonts w:hint="eastAsia"/>
                <w:b/>
                <w:sz w:val="24"/>
                <w:lang w:val="en-US" w:eastAsia="zh-CN"/>
              </w:rPr>
              <w:t>4</w:t>
            </w:r>
            <w:r>
              <w:rPr>
                <w:b/>
                <w:sz w:val="24"/>
              </w:rPr>
              <w:t xml:space="preserve"> </w:t>
            </w:r>
            <w:r>
              <w:rPr>
                <w:rFonts w:hint="eastAsia"/>
                <w:b/>
                <w:sz w:val="24"/>
              </w:rPr>
              <w:t xml:space="preserve"> </w:t>
            </w:r>
            <w:r>
              <w:rPr>
                <w:b/>
                <w:sz w:val="24"/>
              </w:rPr>
              <w:t xml:space="preserve"> </w:t>
            </w:r>
            <w:r>
              <w:rPr>
                <w:rFonts w:hint="eastAsia"/>
                <w:b/>
                <w:sz w:val="24"/>
              </w:rPr>
              <w:t>纬四路横断面图</w:t>
            </w:r>
          </w:p>
          <w:p>
            <w:pPr>
              <w:numPr>
                <w:ilvl w:val="0"/>
                <w:numId w:val="2"/>
              </w:numPr>
              <w:ind w:left="0" w:leftChars="0" w:firstLine="480" w:firstLineChars="200"/>
              <w:rPr>
                <w:rFonts w:hint="eastAsia"/>
                <w:sz w:val="24"/>
              </w:rPr>
            </w:pPr>
            <w:r>
              <w:rPr>
                <w:rFonts w:hint="eastAsia"/>
                <w:sz w:val="24"/>
              </w:rPr>
              <w:t>百合路</w:t>
            </w:r>
          </w:p>
          <w:p>
            <w:pPr>
              <w:bidi w:val="0"/>
              <w:ind w:firstLine="480" w:firstLineChars="200"/>
            </w:pPr>
            <w:r>
              <w:rPr>
                <w:rFonts w:hint="eastAsia"/>
              </w:rPr>
              <w:t>道路总路幅为24.0m，采用“一块板”形式。具体分幅为： 14.0m（机动车道）+2x2.5m（非机动车道）+2x2.5m（人行道）=24.0 m。</w:t>
            </w: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860290" cy="2309495"/>
                  <wp:effectExtent l="0" t="0" r="16510" b="14605"/>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13"/>
                          <a:srcRect t="2004" r="1270" b="2834"/>
                          <a:stretch>
                            <a:fillRect/>
                          </a:stretch>
                        </pic:blipFill>
                        <pic:spPr>
                          <a:xfrm>
                            <a:off x="0" y="0"/>
                            <a:ext cx="4860290" cy="2309495"/>
                          </a:xfrm>
                          <a:prstGeom prst="rect">
                            <a:avLst/>
                          </a:prstGeom>
                        </pic:spPr>
                      </pic:pic>
                    </a:graphicData>
                  </a:graphic>
                </wp:inline>
              </w:drawing>
            </w:r>
          </w:p>
          <w:p>
            <w:pPr>
              <w:bidi w:val="0"/>
              <w:jc w:val="center"/>
              <w:rPr>
                <w:rFonts w:hint="eastAsia"/>
                <w:b/>
                <w:bCs/>
              </w:rPr>
            </w:pPr>
            <w:r>
              <w:rPr>
                <w:b/>
                <w:bCs/>
              </w:rPr>
              <w:t>图</w:t>
            </w:r>
            <w:r>
              <w:rPr>
                <w:rFonts w:hint="eastAsia"/>
                <w:b/>
                <w:bCs/>
                <w:lang w:val="en-US" w:eastAsia="zh-CN"/>
              </w:rPr>
              <w:t xml:space="preserve">5 </w:t>
            </w:r>
            <w:r>
              <w:rPr>
                <w:rFonts w:hint="eastAsia"/>
                <w:b/>
                <w:bCs/>
              </w:rPr>
              <w:t xml:space="preserve"> </w:t>
            </w:r>
            <w:r>
              <w:rPr>
                <w:b/>
                <w:bCs/>
              </w:rPr>
              <w:t xml:space="preserve"> </w:t>
            </w:r>
            <w:r>
              <w:rPr>
                <w:rFonts w:hint="eastAsia"/>
                <w:b/>
                <w:bCs/>
              </w:rPr>
              <w:t>百合路横断面图</w:t>
            </w:r>
          </w:p>
          <w:p>
            <w:pPr>
              <w:bidi w:val="0"/>
              <w:ind w:firstLine="480" w:firstLineChars="200"/>
              <w:rPr>
                <w:rFonts w:hint="eastAsia"/>
              </w:rPr>
            </w:pPr>
            <w:r>
              <w:rPr>
                <w:rFonts w:hint="eastAsia"/>
              </w:rPr>
              <w:t>本项目机动车道、非机动车道路面横坡采用 2.0%，坡向绿化带侧，机动车道路面横坡采用 2.0%，坡向非机动车道侧。为确保行人安全，采用人非分离设计。车行道外侧侧石高出机动车道路面10cm，人行道锁边石顶面平人行道路面。所有的侧石、锁边石材质均采用麻石。</w:t>
            </w:r>
          </w:p>
          <w:p>
            <w:pPr>
              <w:ind w:firstLine="482" w:firstLineChars="200"/>
              <w:rPr>
                <w:rFonts w:cs="宋体"/>
                <w:b/>
                <w:bCs/>
                <w:sz w:val="24"/>
              </w:rPr>
            </w:pPr>
            <w:r>
              <w:rPr>
                <w:rFonts w:hint="eastAsia" w:cs="宋体"/>
                <w:b/>
                <w:bCs/>
                <w:sz w:val="24"/>
              </w:rPr>
              <w:t>（</w:t>
            </w:r>
            <w:r>
              <w:rPr>
                <w:rFonts w:cs="宋体"/>
                <w:b/>
                <w:bCs/>
                <w:sz w:val="24"/>
              </w:rPr>
              <w:t>3</w:t>
            </w:r>
            <w:r>
              <w:rPr>
                <w:rFonts w:hint="eastAsia" w:cs="宋体"/>
                <w:b/>
                <w:bCs/>
                <w:sz w:val="24"/>
              </w:rPr>
              <w:t>）道路纵断面</w:t>
            </w:r>
          </w:p>
          <w:p>
            <w:pPr>
              <w:ind w:firstLine="480" w:firstLineChars="200"/>
              <w:rPr>
                <w:rFonts w:hint="eastAsia"/>
                <w:sz w:val="24"/>
              </w:rPr>
            </w:pPr>
            <w:r>
              <w:rPr>
                <w:rFonts w:hint="eastAsia" w:cs="宋体"/>
                <w:bCs/>
                <w:sz w:val="24"/>
                <w:lang w:val="en-US" w:eastAsia="zh-CN"/>
              </w:rPr>
              <w:t>1）</w:t>
            </w:r>
            <w:r>
              <w:rPr>
                <w:rFonts w:hint="eastAsia"/>
                <w:sz w:val="24"/>
              </w:rPr>
              <w:t>马鞍路</w:t>
            </w:r>
          </w:p>
          <w:p>
            <w:pPr>
              <w:bidi w:val="0"/>
              <w:ind w:firstLine="480" w:firstLineChars="200"/>
              <w:rPr>
                <w:rFonts w:hint="eastAsia"/>
                <w:lang w:val="en-US" w:eastAsia="zh-CN"/>
              </w:rPr>
            </w:pPr>
            <w:r>
              <w:rPr>
                <w:rFonts w:hint="eastAsia"/>
                <w:lang w:val="en-US" w:eastAsia="zh-CN"/>
              </w:rPr>
              <w:t>根据规划标高及总体设计要点，结合现状地形，综合规划水系，雨、污水排放等要求进行拉坡设计。本次设计马鞍路道路最大纵坡为2.37%，坡长为529.7m，最小纵坡为0.31%，坡长为74.471m。竖向设计各项参数均满足设计规范要求。</w:t>
            </w:r>
          </w:p>
          <w:p>
            <w:pPr>
              <w:spacing w:line="240" w:lineRule="auto"/>
              <w:jc w:val="center"/>
              <w:rPr>
                <w:rFonts w:hint="eastAsia" w:eastAsia="宋体"/>
                <w:b/>
                <w:sz w:val="24"/>
                <w:lang w:eastAsia="zh-CN"/>
              </w:rPr>
            </w:pPr>
            <w:r>
              <w:rPr>
                <w:rFonts w:hint="eastAsia" w:eastAsia="宋体"/>
                <w:b/>
                <w:sz w:val="24"/>
                <w:lang w:eastAsia="zh-CN"/>
              </w:rPr>
              <w:drawing>
                <wp:inline distT="0" distB="0" distL="114300" distR="114300">
                  <wp:extent cx="4860290" cy="2520950"/>
                  <wp:effectExtent l="0" t="0" r="16510" b="12700"/>
                  <wp:docPr id="12"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5"/>
                          <pic:cNvPicPr>
                            <a:picLocks noChangeAspect="1"/>
                          </pic:cNvPicPr>
                        </pic:nvPicPr>
                        <pic:blipFill>
                          <a:blip r:embed="rId14"/>
                          <a:srcRect t="17392" r="-773" b="4801"/>
                          <a:stretch>
                            <a:fillRect/>
                          </a:stretch>
                        </pic:blipFill>
                        <pic:spPr>
                          <a:xfrm>
                            <a:off x="0" y="0"/>
                            <a:ext cx="4860290" cy="2520950"/>
                          </a:xfrm>
                          <a:prstGeom prst="rect">
                            <a:avLst/>
                          </a:prstGeom>
                        </pic:spPr>
                      </pic:pic>
                    </a:graphicData>
                  </a:graphic>
                </wp:inline>
              </w:drawing>
            </w:r>
          </w:p>
          <w:p>
            <w:pPr>
              <w:ind w:firstLine="482" w:firstLineChars="200"/>
              <w:jc w:val="center"/>
              <w:rPr>
                <w:rFonts w:hint="eastAsia"/>
                <w:lang w:val="en-US" w:eastAsia="zh-CN"/>
              </w:rPr>
            </w:pPr>
            <w:r>
              <w:rPr>
                <w:b/>
                <w:sz w:val="24"/>
              </w:rPr>
              <w:t>图</w:t>
            </w:r>
            <w:r>
              <w:rPr>
                <w:rFonts w:hint="eastAsia"/>
                <w:b/>
                <w:sz w:val="24"/>
                <w:lang w:val="en-US" w:eastAsia="zh-CN"/>
              </w:rPr>
              <w:t>6</w:t>
            </w:r>
            <w:r>
              <w:rPr>
                <w:b/>
                <w:sz w:val="24"/>
              </w:rPr>
              <w:t xml:space="preserve"> </w:t>
            </w:r>
            <w:r>
              <w:rPr>
                <w:rFonts w:hint="eastAsia"/>
                <w:b/>
                <w:sz w:val="24"/>
              </w:rPr>
              <w:t xml:space="preserve"> </w:t>
            </w:r>
            <w:r>
              <w:rPr>
                <w:b/>
                <w:sz w:val="24"/>
              </w:rPr>
              <w:t xml:space="preserve"> </w:t>
            </w:r>
            <w:r>
              <w:rPr>
                <w:rFonts w:hint="eastAsia"/>
                <w:b/>
                <w:sz w:val="24"/>
                <w:lang w:eastAsia="zh-CN"/>
              </w:rPr>
              <w:t>马鞍</w:t>
            </w:r>
            <w:r>
              <w:rPr>
                <w:rFonts w:hint="eastAsia"/>
                <w:b/>
                <w:sz w:val="24"/>
              </w:rPr>
              <w:t>路</w:t>
            </w:r>
            <w:r>
              <w:rPr>
                <w:rFonts w:hint="eastAsia"/>
                <w:b/>
                <w:sz w:val="24"/>
                <w:lang w:eastAsia="zh-CN"/>
              </w:rPr>
              <w:t>纵</w:t>
            </w:r>
            <w:r>
              <w:rPr>
                <w:rFonts w:hint="eastAsia"/>
                <w:b/>
                <w:sz w:val="24"/>
              </w:rPr>
              <w:t>断面图</w:t>
            </w:r>
          </w:p>
          <w:p>
            <w:pPr>
              <w:numPr>
                <w:ilvl w:val="0"/>
                <w:numId w:val="0"/>
              </w:numPr>
              <w:ind w:firstLine="480" w:firstLineChars="200"/>
              <w:rPr>
                <w:rFonts w:hint="eastAsia"/>
                <w:sz w:val="24"/>
              </w:rPr>
            </w:pPr>
            <w:r>
              <w:rPr>
                <w:rFonts w:hint="eastAsia"/>
                <w:sz w:val="24"/>
                <w:lang w:val="en-US" w:eastAsia="zh-CN"/>
              </w:rPr>
              <w:t>2）</w:t>
            </w:r>
            <w:r>
              <w:rPr>
                <w:rFonts w:hint="eastAsia"/>
                <w:sz w:val="24"/>
              </w:rPr>
              <w:t>桃园路</w:t>
            </w:r>
          </w:p>
          <w:p>
            <w:pPr>
              <w:bidi w:val="0"/>
              <w:ind w:firstLine="480" w:firstLineChars="200"/>
              <w:rPr>
                <w:rFonts w:hint="eastAsia"/>
                <w:lang w:val="en-US" w:eastAsia="zh-CN"/>
              </w:rPr>
            </w:pPr>
            <w:r>
              <w:rPr>
                <w:rFonts w:hint="eastAsia"/>
                <w:lang w:val="en-US" w:eastAsia="zh-CN"/>
              </w:rPr>
              <w:t>根据规划标高及总体设计要点，结合现状地形，综合规划水系，雨、污水排放等要求进行拉坡设计。本次设计</w:t>
            </w:r>
            <w:r>
              <w:rPr>
                <w:rFonts w:hint="eastAsia" w:cs="宋体"/>
                <w:bCs/>
                <w:sz w:val="24"/>
                <w:lang w:val="en-US" w:eastAsia="zh-CN"/>
              </w:rPr>
              <w:t>桃园路道路最大纵坡为1.38%，坡长为315m，最小纵坡为0.38%，坡长为229.58m。</w:t>
            </w:r>
            <w:r>
              <w:rPr>
                <w:rFonts w:hint="eastAsia"/>
                <w:lang w:val="en-US" w:eastAsia="zh-CN"/>
              </w:rPr>
              <w:t>竖向设计各项参数均满足设计规范要求。具体纵断面设计如下图所示：</w:t>
            </w:r>
          </w:p>
          <w:p>
            <w:pPr>
              <w:bidi w:val="0"/>
              <w:spacing w:line="240" w:lineRule="auto"/>
              <w:jc w:val="center"/>
              <w:rPr>
                <w:rFonts w:hint="eastAsia"/>
                <w:lang w:val="en-US" w:eastAsia="zh-CN"/>
              </w:rPr>
            </w:pPr>
            <w:r>
              <w:rPr>
                <w:rFonts w:hint="eastAsia"/>
                <w:lang w:val="en-US" w:eastAsia="zh-CN"/>
              </w:rPr>
              <w:drawing>
                <wp:inline distT="0" distB="0" distL="114300" distR="114300">
                  <wp:extent cx="4860290" cy="2760345"/>
                  <wp:effectExtent l="0" t="0" r="16510" b="1905"/>
                  <wp:docPr id="13" name="图片 13"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6"/>
                          <pic:cNvPicPr>
                            <a:picLocks noChangeAspect="1"/>
                          </pic:cNvPicPr>
                        </pic:nvPicPr>
                        <pic:blipFill>
                          <a:blip r:embed="rId15"/>
                          <a:srcRect t="5524" r="-64" b="6491"/>
                          <a:stretch>
                            <a:fillRect/>
                          </a:stretch>
                        </pic:blipFill>
                        <pic:spPr>
                          <a:xfrm>
                            <a:off x="0" y="0"/>
                            <a:ext cx="4860290" cy="2760345"/>
                          </a:xfrm>
                          <a:prstGeom prst="rect">
                            <a:avLst/>
                          </a:prstGeom>
                        </pic:spPr>
                      </pic:pic>
                    </a:graphicData>
                  </a:graphic>
                </wp:inline>
              </w:drawing>
            </w:r>
          </w:p>
          <w:p>
            <w:pPr>
              <w:ind w:firstLine="482" w:firstLineChars="200"/>
              <w:jc w:val="center"/>
              <w:rPr>
                <w:rFonts w:hint="eastAsia"/>
                <w:lang w:val="en-US" w:eastAsia="zh-CN"/>
              </w:rPr>
            </w:pPr>
            <w:r>
              <w:rPr>
                <w:b/>
                <w:sz w:val="24"/>
              </w:rPr>
              <w:t>图</w:t>
            </w:r>
            <w:r>
              <w:rPr>
                <w:rFonts w:hint="eastAsia"/>
                <w:b/>
                <w:sz w:val="24"/>
                <w:lang w:val="en-US" w:eastAsia="zh-CN"/>
              </w:rPr>
              <w:t>7</w:t>
            </w:r>
            <w:r>
              <w:rPr>
                <w:b/>
                <w:sz w:val="24"/>
              </w:rPr>
              <w:t xml:space="preserve"> </w:t>
            </w:r>
            <w:r>
              <w:rPr>
                <w:rFonts w:hint="eastAsia"/>
                <w:b/>
                <w:sz w:val="24"/>
              </w:rPr>
              <w:t xml:space="preserve"> </w:t>
            </w:r>
            <w:r>
              <w:rPr>
                <w:b/>
                <w:sz w:val="24"/>
              </w:rPr>
              <w:t xml:space="preserve"> </w:t>
            </w:r>
            <w:r>
              <w:rPr>
                <w:rFonts w:hint="eastAsia"/>
                <w:b/>
                <w:sz w:val="24"/>
              </w:rPr>
              <w:t>桃园路</w:t>
            </w:r>
            <w:r>
              <w:rPr>
                <w:rFonts w:hint="eastAsia"/>
                <w:b/>
                <w:sz w:val="24"/>
                <w:lang w:eastAsia="zh-CN"/>
              </w:rPr>
              <w:t>纵</w:t>
            </w:r>
            <w:r>
              <w:rPr>
                <w:rFonts w:hint="eastAsia"/>
                <w:b/>
                <w:sz w:val="24"/>
              </w:rPr>
              <w:t>断面图</w:t>
            </w:r>
          </w:p>
          <w:p>
            <w:pPr>
              <w:numPr>
                <w:ilvl w:val="0"/>
                <w:numId w:val="0"/>
              </w:numPr>
              <w:ind w:firstLine="480" w:firstLineChars="200"/>
              <w:rPr>
                <w:rFonts w:hint="eastAsia"/>
                <w:sz w:val="24"/>
              </w:rPr>
            </w:pPr>
            <w:r>
              <w:rPr>
                <w:rFonts w:hint="eastAsia"/>
                <w:sz w:val="24"/>
                <w:lang w:val="en-US" w:eastAsia="zh-CN"/>
              </w:rPr>
              <w:t>3）</w:t>
            </w:r>
            <w:r>
              <w:rPr>
                <w:rFonts w:hint="eastAsia"/>
                <w:sz w:val="24"/>
              </w:rPr>
              <w:t>纬四路</w:t>
            </w:r>
          </w:p>
          <w:p>
            <w:pPr>
              <w:bidi w:val="0"/>
              <w:ind w:firstLine="480" w:firstLineChars="200"/>
              <w:rPr>
                <w:rFonts w:hint="eastAsia"/>
              </w:rPr>
            </w:pPr>
            <w:r>
              <w:t>根据规划标高及总体设计要点，结合现状地形，综合规划水系，雨、污水排放等要求进行拉坡设计</w:t>
            </w:r>
            <w:r>
              <w:rPr>
                <w:rFonts w:hint="eastAsia"/>
                <w:lang w:eastAsia="zh-CN"/>
              </w:rPr>
              <w:t>。本次设计</w:t>
            </w:r>
            <w:r>
              <w:rPr>
                <w:rFonts w:hint="eastAsia" w:cs="宋体"/>
                <w:bCs/>
                <w:sz w:val="24"/>
                <w:lang w:val="en-US" w:eastAsia="zh-CN"/>
              </w:rPr>
              <w:t>纬四路道路纵坡为0.86%，坡长350m。</w:t>
            </w:r>
            <w:r>
              <w:t>竖向设计各项参数均满足设计规范要求。</w:t>
            </w:r>
            <w:r>
              <w:rPr>
                <w:rFonts w:hint="eastAsia"/>
              </w:rPr>
              <w:t>具体纵断面设计如下图所示：</w:t>
            </w:r>
          </w:p>
          <w:p>
            <w:pPr>
              <w:bidi w:val="0"/>
              <w:spacing w:line="240" w:lineRule="auto"/>
              <w:jc w:val="center"/>
              <w:rPr>
                <w:rFonts w:hint="eastAsia"/>
                <w:lang w:val="en-US" w:eastAsia="zh-CN"/>
              </w:rPr>
            </w:pPr>
            <w:r>
              <w:rPr>
                <w:rFonts w:hint="eastAsia"/>
                <w:lang w:val="en-US" w:eastAsia="zh-CN"/>
              </w:rPr>
              <w:drawing>
                <wp:inline distT="0" distB="0" distL="114300" distR="114300">
                  <wp:extent cx="4860290" cy="2389505"/>
                  <wp:effectExtent l="0" t="0" r="16510" b="10795"/>
                  <wp:docPr id="14" name="图片 1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7"/>
                          <pic:cNvPicPr>
                            <a:picLocks noChangeAspect="1"/>
                          </pic:cNvPicPr>
                        </pic:nvPicPr>
                        <pic:blipFill>
                          <a:blip r:embed="rId16"/>
                          <a:srcRect r="-353" b="6152"/>
                          <a:stretch>
                            <a:fillRect/>
                          </a:stretch>
                        </pic:blipFill>
                        <pic:spPr>
                          <a:xfrm>
                            <a:off x="0" y="0"/>
                            <a:ext cx="4860290" cy="2389505"/>
                          </a:xfrm>
                          <a:prstGeom prst="rect">
                            <a:avLst/>
                          </a:prstGeom>
                        </pic:spPr>
                      </pic:pic>
                    </a:graphicData>
                  </a:graphic>
                </wp:inline>
              </w:drawing>
            </w:r>
          </w:p>
          <w:p>
            <w:pPr>
              <w:ind w:firstLine="482" w:firstLineChars="200"/>
              <w:jc w:val="center"/>
              <w:rPr>
                <w:rStyle w:val="38"/>
                <w:rFonts w:hint="eastAsia"/>
                <w:lang w:val="en-US" w:eastAsia="zh-CN"/>
              </w:rPr>
            </w:pPr>
            <w:r>
              <w:rPr>
                <w:b/>
                <w:sz w:val="24"/>
              </w:rPr>
              <w:t>图</w:t>
            </w:r>
            <w:r>
              <w:rPr>
                <w:rFonts w:hint="eastAsia"/>
                <w:b/>
                <w:sz w:val="24"/>
                <w:lang w:val="en-US" w:eastAsia="zh-CN"/>
              </w:rPr>
              <w:t>8</w:t>
            </w:r>
            <w:r>
              <w:rPr>
                <w:b/>
                <w:sz w:val="24"/>
              </w:rPr>
              <w:t xml:space="preserve"> </w:t>
            </w:r>
            <w:r>
              <w:rPr>
                <w:rFonts w:hint="eastAsia"/>
                <w:b/>
                <w:sz w:val="24"/>
              </w:rPr>
              <w:t xml:space="preserve"> </w:t>
            </w:r>
            <w:r>
              <w:rPr>
                <w:b/>
                <w:sz w:val="24"/>
              </w:rPr>
              <w:t xml:space="preserve"> </w:t>
            </w:r>
            <w:r>
              <w:rPr>
                <w:rFonts w:hint="eastAsia"/>
                <w:b/>
                <w:sz w:val="24"/>
                <w:lang w:eastAsia="zh-CN"/>
              </w:rPr>
              <w:t>纬四</w:t>
            </w:r>
            <w:r>
              <w:rPr>
                <w:rFonts w:hint="eastAsia"/>
                <w:b/>
                <w:sz w:val="24"/>
              </w:rPr>
              <w:t>路</w:t>
            </w:r>
            <w:r>
              <w:rPr>
                <w:rFonts w:hint="eastAsia"/>
                <w:b/>
                <w:sz w:val="24"/>
                <w:lang w:eastAsia="zh-CN"/>
              </w:rPr>
              <w:t>纵</w:t>
            </w:r>
            <w:r>
              <w:rPr>
                <w:rFonts w:hint="eastAsia"/>
                <w:b/>
                <w:sz w:val="24"/>
              </w:rPr>
              <w:t>断面图</w:t>
            </w:r>
          </w:p>
          <w:p>
            <w:pPr>
              <w:numPr>
                <w:ilvl w:val="0"/>
                <w:numId w:val="0"/>
              </w:numPr>
              <w:ind w:firstLine="480" w:firstLineChars="200"/>
              <w:rPr>
                <w:rFonts w:hint="eastAsia"/>
                <w:sz w:val="24"/>
              </w:rPr>
            </w:pPr>
            <w:r>
              <w:rPr>
                <w:rFonts w:hint="eastAsia"/>
                <w:sz w:val="24"/>
                <w:lang w:val="en-US" w:eastAsia="zh-CN"/>
              </w:rPr>
              <w:t>4）</w:t>
            </w:r>
            <w:r>
              <w:rPr>
                <w:rFonts w:hint="eastAsia"/>
                <w:sz w:val="24"/>
              </w:rPr>
              <w:t>百合路</w:t>
            </w:r>
          </w:p>
          <w:p>
            <w:pPr>
              <w:ind w:firstLine="480" w:firstLineChars="200"/>
              <w:rPr>
                <w:rFonts w:hint="eastAsia" w:cs="宋体"/>
                <w:bCs/>
                <w:sz w:val="24"/>
              </w:rPr>
            </w:pPr>
            <w:r>
              <w:rPr>
                <w:rFonts w:hint="eastAsia" w:cs="宋体"/>
                <w:bCs/>
                <w:sz w:val="24"/>
              </w:rPr>
              <w:t>本次设计路段共设置变坡点2个，终点端设置竖曲线对接云龙大道道路横坡。道路路段最大纵坡为1.57%，坡长113m；最小纵坡0.77%，坡长340m。道路纵坡坡度及坡长均满足规范要求。</w:t>
            </w:r>
          </w:p>
          <w:p>
            <w:pPr>
              <w:bidi w:val="0"/>
              <w:spacing w:line="240" w:lineRule="auto"/>
              <w:jc w:val="center"/>
              <w:rPr>
                <w:rFonts w:hint="eastAsia" w:eastAsia="宋体"/>
                <w:lang w:eastAsia="zh-CN"/>
              </w:rPr>
            </w:pPr>
            <w:r>
              <w:rPr>
                <w:rFonts w:hint="eastAsia" w:eastAsia="宋体"/>
                <w:lang w:eastAsia="zh-CN"/>
              </w:rPr>
              <w:drawing>
                <wp:inline distT="0" distB="0" distL="114300" distR="114300">
                  <wp:extent cx="4643755" cy="3012440"/>
                  <wp:effectExtent l="0" t="0" r="4445" b="16510"/>
                  <wp:docPr id="15" name="图片 1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8"/>
                          <pic:cNvPicPr>
                            <a:picLocks noChangeAspect="1"/>
                          </pic:cNvPicPr>
                        </pic:nvPicPr>
                        <pic:blipFill>
                          <a:blip r:embed="rId17"/>
                          <a:srcRect t="16089" r="-129" b="1913"/>
                          <a:stretch>
                            <a:fillRect/>
                          </a:stretch>
                        </pic:blipFill>
                        <pic:spPr>
                          <a:xfrm>
                            <a:off x="0" y="0"/>
                            <a:ext cx="4643755" cy="3012440"/>
                          </a:xfrm>
                          <a:prstGeom prst="rect">
                            <a:avLst/>
                          </a:prstGeom>
                        </pic:spPr>
                      </pic:pic>
                    </a:graphicData>
                  </a:graphic>
                </wp:inline>
              </w:drawing>
            </w:r>
          </w:p>
          <w:p>
            <w:pPr>
              <w:ind w:firstLine="482" w:firstLineChars="200"/>
              <w:jc w:val="center"/>
              <w:rPr>
                <w:rFonts w:hint="eastAsia"/>
              </w:rPr>
            </w:pPr>
            <w:r>
              <w:rPr>
                <w:b/>
                <w:sz w:val="24"/>
              </w:rPr>
              <w:t>图</w:t>
            </w:r>
            <w:r>
              <w:rPr>
                <w:rFonts w:hint="eastAsia"/>
                <w:b/>
                <w:sz w:val="24"/>
                <w:lang w:val="en-US" w:eastAsia="zh-CN"/>
              </w:rPr>
              <w:t>9</w:t>
            </w:r>
            <w:r>
              <w:rPr>
                <w:b/>
                <w:sz w:val="24"/>
              </w:rPr>
              <w:t xml:space="preserve"> </w:t>
            </w:r>
            <w:r>
              <w:rPr>
                <w:rFonts w:hint="eastAsia"/>
                <w:b/>
                <w:sz w:val="24"/>
              </w:rPr>
              <w:t xml:space="preserve"> </w:t>
            </w:r>
            <w:r>
              <w:rPr>
                <w:b/>
                <w:sz w:val="24"/>
              </w:rPr>
              <w:t xml:space="preserve"> </w:t>
            </w:r>
            <w:r>
              <w:rPr>
                <w:rFonts w:hint="eastAsia"/>
                <w:b/>
                <w:sz w:val="24"/>
                <w:lang w:eastAsia="zh-CN"/>
              </w:rPr>
              <w:t>百合</w:t>
            </w:r>
            <w:r>
              <w:rPr>
                <w:rFonts w:hint="eastAsia"/>
                <w:b/>
                <w:sz w:val="24"/>
              </w:rPr>
              <w:t>路</w:t>
            </w:r>
            <w:r>
              <w:rPr>
                <w:rFonts w:hint="eastAsia"/>
                <w:b/>
                <w:sz w:val="24"/>
                <w:lang w:eastAsia="zh-CN"/>
              </w:rPr>
              <w:t>纵</w:t>
            </w:r>
            <w:r>
              <w:rPr>
                <w:rFonts w:hint="eastAsia"/>
                <w:b/>
                <w:sz w:val="24"/>
              </w:rPr>
              <w:t>断面图</w:t>
            </w:r>
          </w:p>
          <w:p>
            <w:pPr>
              <w:ind w:firstLine="482" w:firstLineChars="200"/>
              <w:rPr>
                <w:rFonts w:cs="宋体"/>
                <w:b/>
                <w:bCs/>
                <w:sz w:val="24"/>
              </w:rPr>
            </w:pPr>
            <w:r>
              <w:rPr>
                <w:rFonts w:hint="eastAsia" w:cs="宋体"/>
                <w:b/>
                <w:bCs/>
                <w:sz w:val="24"/>
              </w:rPr>
              <w:t>（</w:t>
            </w:r>
            <w:r>
              <w:rPr>
                <w:rFonts w:cs="宋体"/>
                <w:b/>
                <w:bCs/>
                <w:sz w:val="24"/>
              </w:rPr>
              <w:t>4</w:t>
            </w:r>
            <w:r>
              <w:rPr>
                <w:rFonts w:hint="eastAsia" w:cs="宋体"/>
                <w:b/>
                <w:bCs/>
                <w:sz w:val="24"/>
              </w:rPr>
              <w:t>）路面工程</w:t>
            </w:r>
          </w:p>
          <w:p>
            <w:pPr>
              <w:ind w:firstLine="480" w:firstLineChars="200"/>
              <w:rPr>
                <w:rFonts w:cs="宋体"/>
                <w:bCs/>
                <w:sz w:val="24"/>
              </w:rPr>
            </w:pPr>
            <w:r>
              <w:rPr>
                <w:rFonts w:hint="eastAsia" w:cs="宋体"/>
                <w:bCs/>
                <w:sz w:val="24"/>
              </w:rPr>
              <w:t>1）设计依据</w:t>
            </w:r>
          </w:p>
          <w:p>
            <w:pPr>
              <w:ind w:firstLine="480" w:firstLineChars="200"/>
              <w:rPr>
                <w:rFonts w:cs="宋体"/>
                <w:bCs/>
                <w:sz w:val="24"/>
              </w:rPr>
            </w:pPr>
            <w:r>
              <w:rPr>
                <w:rFonts w:hint="eastAsia" w:cs="宋体"/>
                <w:bCs/>
                <w:sz w:val="24"/>
              </w:rPr>
              <w:t>路面依据《城镇道路路面设计规范》 CJJ169-2012，充分考虑本地气候，水文条件，遵循因地制宜，就地取材，方便施工，利于养护，经济合理的原则，结合环境治理进行设计。</w:t>
            </w:r>
          </w:p>
          <w:p>
            <w:pPr>
              <w:ind w:firstLine="480" w:firstLineChars="200"/>
              <w:rPr>
                <w:rFonts w:cs="宋体"/>
                <w:bCs/>
                <w:sz w:val="24"/>
              </w:rPr>
            </w:pPr>
            <w:r>
              <w:rPr>
                <w:rFonts w:hint="eastAsia" w:cs="宋体"/>
                <w:bCs/>
                <w:sz w:val="24"/>
              </w:rPr>
              <w:t>2）面层结构</w:t>
            </w:r>
          </w:p>
          <w:p>
            <w:pPr>
              <w:ind w:firstLine="480" w:firstLineChars="200"/>
              <w:rPr>
                <w:rFonts w:hint="default"/>
              </w:rPr>
            </w:pPr>
            <w:r>
              <w:rPr>
                <w:rFonts w:hint="default"/>
              </w:rPr>
              <w:t>为了提供和保证良好的行驶条件，保证路面的强度及稳定性和耐久性，减少交通噪声对环境的影响程度，</w:t>
            </w:r>
            <w:r>
              <w:t>道路均</w:t>
            </w:r>
            <w:r>
              <w:rPr>
                <w:rFonts w:hint="default"/>
              </w:rPr>
              <w:t>采用黑色沥青砼路面，人行道采用彩色透水砼路面。具体结构如下：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①马鞍路</w:t>
            </w:r>
          </w:p>
          <w:p>
            <w:pPr>
              <w:keepNext w:val="0"/>
              <w:keepLines w:val="0"/>
              <w:pageBreakBefore w:val="0"/>
              <w:widowControl w:val="0"/>
              <w:numPr>
                <w:ilvl w:val="0"/>
                <w:numId w:val="3"/>
              </w:numPr>
              <w:kinsoku/>
              <w:wordWrap/>
              <w:overflowPunct/>
              <w:topLinePunct w:val="0"/>
              <w:autoSpaceDE/>
              <w:autoSpaceDN/>
              <w:bidi w:val="0"/>
              <w:adjustRightInd/>
              <w:snapToGrid/>
              <w:ind w:firstLine="480" w:firstLineChars="200"/>
              <w:textAlignment w:val="auto"/>
              <w:rPr>
                <w:rFonts w:hint="default"/>
              </w:rPr>
            </w:pPr>
            <w:r>
              <w:rPr>
                <w:rFonts w:hint="default"/>
              </w:rPr>
              <w:t>车行道总厚度为68cm，具体为：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15cm厚级配碎石垫层；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20cm厚水泥稳定碎石下基层；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20cm厚水泥稳定碎石上基层；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1cm厚沥青碎石封层；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4cm厚细粒式沥青砼AC-13C；</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8cm厚粗粒式沥青砼AC-25C；</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rPr>
                <w:rFonts w:hint="default"/>
              </w:rPr>
            </w:pPr>
            <w:r>
              <w:rPr>
                <w:rFonts w:hint="default"/>
              </w:rPr>
              <w:t>非机动车道总厚度为42cm，具体为：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15cm厚级配碎石基层；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15cm厚水泥稳定碎石基层；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4+8cm厚灰色透水砼面层；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②桃园路</w:t>
            </w:r>
          </w:p>
          <w:p>
            <w:pPr>
              <w:keepNext w:val="0"/>
              <w:keepLines w:val="0"/>
              <w:pageBreakBefore w:val="0"/>
              <w:widowControl w:val="0"/>
              <w:numPr>
                <w:ilvl w:val="0"/>
                <w:numId w:val="4"/>
              </w:numPr>
              <w:kinsoku/>
              <w:wordWrap/>
              <w:overflowPunct/>
              <w:topLinePunct w:val="0"/>
              <w:autoSpaceDE/>
              <w:autoSpaceDN/>
              <w:bidi w:val="0"/>
              <w:adjustRightInd/>
              <w:snapToGrid/>
              <w:ind w:firstLine="480" w:firstLineChars="200"/>
              <w:textAlignment w:val="auto"/>
              <w:rPr>
                <w:rFonts w:hint="default"/>
              </w:rPr>
            </w:pPr>
            <w:r>
              <w:rPr>
                <w:rFonts w:hint="default"/>
              </w:rPr>
              <w:t>机动车道厚度为71cm，具体为：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15cm厚水泥稳定碎石底基层；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20cm厚水泥稳定碎石下基层；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沥青透层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20cm厚水泥稳定碎石上基层；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4cm厚细粒式改性沥青砼AC-13C；</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5cm厚中粒式沥青砼AC-20C；</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7cm厚粗粒式沥青砼AC-25C</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rFonts w:hint="default"/>
              </w:rPr>
            </w:pPr>
            <w:r>
              <w:rPr>
                <w:rFonts w:hint="default"/>
              </w:rPr>
              <w:t>非机动车道厚度为42cm，具体为：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15cm厚级配碎石基层；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15cm厚水泥稳定碎石基层；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4+8cm厚灰色透水砼面层</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rFonts w:hint="default"/>
              </w:rPr>
            </w:pPr>
            <w:r>
              <w:rPr>
                <w:rFonts w:hint="default"/>
              </w:rPr>
              <w:t>人行道厚度为27cm，具体为：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15cm厚水泥稳定碎石基层；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4+6cm厚灰色透水砼面层；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③纬四路</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rPr>
            </w:pPr>
            <w:r>
              <w:rPr>
                <w:rFonts w:hint="default"/>
              </w:rPr>
              <w:t>车行道总厚度为50cm，具体为：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20cm厚水泥稳定碎石下基层；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20cm厚水泥稳定碎石上基层；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沥青透层；沥青粘层；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4cm厚细粒式沥青砼AC-13C；</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6cm厚中粒式沥青砼AC-20C</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rPr>
                <w:rFonts w:hint="default"/>
              </w:rPr>
            </w:pPr>
            <w:r>
              <w:rPr>
                <w:rFonts w:hint="default"/>
              </w:rPr>
              <w:t>人行道总厚度为25cm，具体为：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15cm厚水泥稳定碎石基层；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4+6cm厚灰色透水砼面层；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eastAsia" w:ascii="宋体" w:hAnsi="宋体" w:eastAsia="宋体" w:cs="宋体"/>
              </w:rPr>
              <w:t>④</w:t>
            </w:r>
            <w:r>
              <w:rPr>
                <w:rFonts w:hint="default"/>
              </w:rPr>
              <w:t>百合路（马鞍路-云龙大道）</w:t>
            </w:r>
          </w:p>
          <w:p>
            <w:pPr>
              <w:keepNext w:val="0"/>
              <w:keepLines w:val="0"/>
              <w:pageBreakBefore w:val="0"/>
              <w:widowControl w:val="0"/>
              <w:numPr>
                <w:ilvl w:val="0"/>
                <w:numId w:val="6"/>
              </w:numPr>
              <w:kinsoku/>
              <w:wordWrap/>
              <w:overflowPunct/>
              <w:topLinePunct w:val="0"/>
              <w:autoSpaceDE/>
              <w:autoSpaceDN/>
              <w:bidi w:val="0"/>
              <w:adjustRightInd/>
              <w:snapToGrid/>
              <w:ind w:firstLine="480" w:firstLineChars="200"/>
              <w:textAlignment w:val="auto"/>
              <w:rPr>
                <w:rFonts w:hint="default"/>
              </w:rPr>
            </w:pPr>
            <w:r>
              <w:rPr>
                <w:rFonts w:hint="default"/>
              </w:rPr>
              <w:t>机动车道路面结构总厚67cm，具体为：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 xml:space="preserve">4cm  </w:t>
            </w:r>
            <w:r>
              <w:rPr>
                <w:rFonts w:hint="default"/>
              </w:rPr>
              <w:tab/>
            </w:r>
            <w:r>
              <w:rPr>
                <w:rFonts w:hint="default"/>
              </w:rPr>
              <w:t>细粒式沥青砼AC-13C</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沥青粘层油（0.5L/m2）</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 xml:space="preserve">8cm  </w:t>
            </w:r>
            <w:r>
              <w:rPr>
                <w:rFonts w:hint="default"/>
              </w:rPr>
              <w:tab/>
            </w:r>
            <w:r>
              <w:rPr>
                <w:rFonts w:hint="default"/>
              </w:rPr>
              <w:t>粗粒式沥青砼AC-25C</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沥青透层油（0.8L/m2）</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 xml:space="preserve">20cm </w:t>
            </w:r>
            <w:r>
              <w:rPr>
                <w:rFonts w:hint="default"/>
              </w:rPr>
              <w:tab/>
            </w:r>
            <w:r>
              <w:rPr>
                <w:rFonts w:hint="default"/>
              </w:rPr>
              <w:t>5%水泥稳定碎石上基层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 xml:space="preserve">20cm </w:t>
            </w:r>
            <w:r>
              <w:rPr>
                <w:rFonts w:hint="default"/>
              </w:rPr>
              <w:tab/>
            </w:r>
            <w:r>
              <w:rPr>
                <w:rFonts w:hint="default"/>
              </w:rPr>
              <w:t>4%水泥稳定碎石下基层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 xml:space="preserve">15cm </w:t>
            </w:r>
            <w:r>
              <w:rPr>
                <w:rFonts w:hint="default"/>
              </w:rPr>
              <w:tab/>
            </w:r>
            <w:r>
              <w:rPr>
                <w:rFonts w:hint="default"/>
              </w:rPr>
              <w:t>3.5%水泥稳定碎石底基层</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default"/>
              </w:rPr>
            </w:pPr>
            <w:r>
              <w:rPr>
                <w:rFonts w:hint="default"/>
              </w:rPr>
              <w:t>非机动车道路面结构总厚42cm，具体为：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无色透明密封（双丙聚氨酯密封处理，固体物大于40%，固化剂）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4cm 6~10mm粒径C25松绿色透水砼面层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8cm 10~20mm粒径C25透水砼素色层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30cm 级配碎石垫层</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default"/>
              </w:rPr>
            </w:pPr>
            <w:r>
              <w:rPr>
                <w:rFonts w:hint="default"/>
              </w:rPr>
              <w:t>人行道路面结构总厚30cm，具体为：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无色透明密封（双丙聚氨酯密封处理，固体物大于40%，固化剂）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4cm 6~10mm粒径C25灰色透水砼面层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6cm 10~20mm粒径C25透水砼素色层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20cm 级配碎石垫层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eastAsia" w:ascii="宋体" w:hAnsi="宋体" w:eastAsia="宋体" w:cs="宋体"/>
              </w:rPr>
              <w:t>⑤</w:t>
            </w:r>
            <w:r>
              <w:rPr>
                <w:rFonts w:hint="default"/>
              </w:rPr>
              <w:t>百合路（云峰大道-马鞍路）</w:t>
            </w:r>
          </w:p>
          <w:p>
            <w:pPr>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hint="default"/>
              </w:rPr>
            </w:pPr>
            <w:r>
              <w:rPr>
                <w:rFonts w:hint="default"/>
              </w:rPr>
              <w:t>机动车道道路面结构总厚48cm，具体为：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4cm（细粒式沥青AC-13C）；</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8cm（厚粗粒式沥青AC-25C）；</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1cm沥青碎石封层+20cm(5.5%水稳碎石)；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20cm(5.0%水稳碎石)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15cm(级配碎石垫层)</w:t>
            </w:r>
          </w:p>
          <w:p>
            <w:pPr>
              <w:keepNext w:val="0"/>
              <w:keepLines w:val="0"/>
              <w:pageBreakBefore w:val="0"/>
              <w:widowControl w:val="0"/>
              <w:numPr>
                <w:ilvl w:val="0"/>
                <w:numId w:val="7"/>
              </w:numPr>
              <w:kinsoku/>
              <w:wordWrap/>
              <w:overflowPunct/>
              <w:topLinePunct w:val="0"/>
              <w:autoSpaceDE/>
              <w:autoSpaceDN/>
              <w:bidi w:val="0"/>
              <w:adjustRightInd/>
              <w:snapToGrid/>
              <w:ind w:left="0" w:leftChars="0" w:firstLine="480" w:firstLineChars="200"/>
              <w:textAlignment w:val="auto"/>
              <w:rPr>
                <w:rFonts w:hint="default"/>
              </w:rPr>
            </w:pPr>
            <w:r>
              <w:rPr>
                <w:rFonts w:hint="default"/>
              </w:rPr>
              <w:t>慢行道道路面结构总厚27cm，具体为：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4cm(6~10mm粒径C25彩色透水砼面层)；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8cm(10~20mm粒径C25透水砼素色层)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15cm(4.0%水泥稳定碎石基层)+15cm(级配碎石垫层)。</w:t>
            </w:r>
          </w:p>
          <w:p>
            <w:pPr>
              <w:ind w:firstLine="482" w:firstLineChars="200"/>
              <w:rPr>
                <w:rFonts w:cs="宋体"/>
                <w:b/>
                <w:bCs/>
                <w:sz w:val="24"/>
              </w:rPr>
            </w:pPr>
            <w:r>
              <w:rPr>
                <w:rFonts w:hint="eastAsia" w:cs="宋体"/>
                <w:b/>
                <w:bCs/>
                <w:sz w:val="24"/>
              </w:rPr>
              <w:t>（</w:t>
            </w:r>
            <w:r>
              <w:rPr>
                <w:rFonts w:cs="宋体"/>
                <w:b/>
                <w:bCs/>
                <w:sz w:val="24"/>
              </w:rPr>
              <w:t>5</w:t>
            </w:r>
            <w:r>
              <w:rPr>
                <w:rFonts w:hint="eastAsia" w:cs="宋体"/>
                <w:b/>
                <w:bCs/>
                <w:sz w:val="24"/>
              </w:rPr>
              <w:t>）路基工程</w:t>
            </w:r>
          </w:p>
          <w:p>
            <w:pPr>
              <w:ind w:firstLine="480" w:firstLineChars="200"/>
              <w:rPr>
                <w:rFonts w:hint="eastAsia" w:ascii="宋体" w:hAnsi="宋体" w:cs="宋体"/>
                <w:bCs/>
                <w:sz w:val="24"/>
              </w:rPr>
            </w:pPr>
            <w:r>
              <w:rPr>
                <w:rFonts w:hint="eastAsia" w:ascii="宋体" w:hAnsi="宋体" w:cs="宋体"/>
                <w:bCs/>
                <w:sz w:val="24"/>
              </w:rPr>
              <w:t>道路路基必须密实、均匀、稳定，为路面提供坚固的支撑基础。本工程路基条件基本良好，但应注意特殊路段路基结构安全。</w:t>
            </w:r>
          </w:p>
          <w:p>
            <w:pPr>
              <w:bidi w:val="0"/>
              <w:ind w:firstLine="480" w:firstLineChars="200"/>
            </w:pPr>
            <w:r>
              <w:t>1）填方边坡</w:t>
            </w:r>
          </w:p>
          <w:p>
            <w:pPr>
              <w:bidi w:val="0"/>
              <w:ind w:firstLine="480" w:firstLineChars="200"/>
            </w:pPr>
            <w:r>
              <w:t>填方高度均小于10m 按一级放坡，边坡坡率为1：1.5为保证人行道路基的压实度、安砌锁边石的需要，在填方段路基外拓宽0.5m。</w:t>
            </w:r>
          </w:p>
          <w:p>
            <w:pPr>
              <w:bidi w:val="0"/>
              <w:ind w:firstLine="480" w:firstLineChars="200"/>
            </w:pPr>
            <w:r>
              <w:t>填方区工后沉降：一般路段要求不大于30cm，涵洞与路堤交界处要求不大于20cm。</w:t>
            </w:r>
          </w:p>
          <w:p>
            <w:pPr>
              <w:bidi w:val="0"/>
              <w:ind w:firstLine="480" w:firstLineChars="200"/>
            </w:pPr>
            <w:r>
              <w:t>2）挖方边坡</w:t>
            </w:r>
          </w:p>
          <w:p>
            <w:pPr>
              <w:bidi w:val="0"/>
              <w:ind w:firstLine="480" w:firstLineChars="200"/>
            </w:pPr>
            <w:r>
              <w:rPr>
                <w:rFonts w:hint="eastAsia" w:ascii="宋体" w:hAnsi="宋体" w:eastAsia="宋体" w:cs="宋体"/>
              </w:rPr>
              <w:t>①</w:t>
            </w:r>
            <w:r>
              <w:t>选择肚大口小的喇叭形位置，这样可以减少防护工程数量，特别是挡渣墙的工程量，节约工程造价，也有利于弃土的稳定。</w:t>
            </w:r>
          </w:p>
          <w:p>
            <w:pPr>
              <w:bidi w:val="0"/>
              <w:ind w:firstLine="480" w:firstLineChars="200"/>
            </w:pPr>
            <w:r>
              <w:rPr>
                <w:rFonts w:hint="eastAsia" w:ascii="宋体" w:hAnsi="宋体" w:eastAsia="宋体" w:cs="宋体"/>
              </w:rPr>
              <w:t>②</w:t>
            </w:r>
            <w:r>
              <w:t>选择荒山或贫瘠土地，尽量少占耕地。土地类型和数量是决定征地费用的主要指标，土地较好或数量较多，征地费用较高，因此弃土场应选择荒山、贫瘠土地。</w:t>
            </w:r>
          </w:p>
          <w:p>
            <w:pPr>
              <w:bidi w:val="0"/>
              <w:ind w:firstLine="480" w:firstLineChars="200"/>
            </w:pPr>
            <w:r>
              <w:rPr>
                <w:rFonts w:hint="eastAsia" w:ascii="宋体" w:hAnsi="宋体" w:eastAsia="宋体" w:cs="宋体"/>
              </w:rPr>
              <w:t>③</w:t>
            </w:r>
            <w:r>
              <w:t>避开陡坡、滑坡体以及极易产生工程滑坡或者诱使古滑坡复活的地段，避免出现单坡场地。特殊情况下弃土场可以与高路堤或陡坡路堤综合考虑设置，对高路堤或陡坡路堤进行回填反压，到达路堤稳定和弃土场稳定的双重效果;弃土场也可以和路基排水综合考虑，将取土场设置在需要通过涵洞排水的地段，即进行填平处理，从而减少涵洞数量。</w:t>
            </w:r>
          </w:p>
          <w:p>
            <w:pPr>
              <w:bidi w:val="0"/>
              <w:ind w:firstLine="480" w:firstLineChars="200"/>
            </w:pPr>
            <w:r>
              <w:rPr>
                <w:rFonts w:hint="eastAsia" w:ascii="宋体" w:hAnsi="宋体" w:eastAsia="宋体" w:cs="宋体"/>
              </w:rPr>
              <w:t>④</w:t>
            </w:r>
            <w:r>
              <w:t>避开特殊地段，减少拆迁或尽可能避开拆迁，以便征地工作的开展。比如林地、墓葬群、高压电力网以及地表附着物较多或价值较高的土地等等，由于这些区域拆迁量大、拆迁难度大，不利于工程进度，因此应尽可能避开这些区域。</w:t>
            </w:r>
          </w:p>
          <w:p>
            <w:pPr>
              <w:bidi w:val="0"/>
              <w:ind w:firstLine="480" w:firstLineChars="200"/>
            </w:pPr>
            <w:r>
              <w:rPr>
                <w:rFonts w:hint="eastAsia" w:ascii="宋体" w:hAnsi="宋体" w:eastAsia="宋体" w:cs="宋体"/>
              </w:rPr>
              <w:t>⑤</w:t>
            </w:r>
            <w:r>
              <w:t>选择汇水面积较小的沟头荒山地，这样可以减少弃土场的排水沟和盲沟的工程量，减少造价，也有利于水土保持。</w:t>
            </w:r>
          </w:p>
          <w:p>
            <w:pPr>
              <w:bidi w:val="0"/>
              <w:ind w:firstLine="480" w:firstLineChars="200"/>
              <w:rPr>
                <w:rFonts w:hint="default"/>
              </w:rPr>
            </w:pPr>
            <w:r>
              <w:rPr>
                <w:rFonts w:hint="eastAsia" w:ascii="宋体" w:hAnsi="宋体" w:eastAsia="宋体" w:cs="宋体"/>
              </w:rPr>
              <w:t>⑥</w:t>
            </w:r>
            <w:r>
              <w:t>远离生活区，运输弃土的临时施工道路尽可能绕过村镇，减少施工期间第当地老百姓造成过多的干扰，如环境污染、道路破坏、交通堵塞等。</w:t>
            </w:r>
          </w:p>
          <w:p>
            <w:pPr>
              <w:bidi w:val="0"/>
              <w:ind w:firstLine="480" w:firstLineChars="200"/>
              <w:rPr>
                <w:rFonts w:hint="default"/>
              </w:rPr>
            </w:pPr>
            <w:r>
              <w:t>3）</w:t>
            </w:r>
            <w:r>
              <w:rPr>
                <w:rFonts w:hint="default"/>
              </w:rPr>
              <w:t>路基压实度标准</w:t>
            </w:r>
          </w:p>
          <w:p>
            <w:pPr>
              <w:bidi w:val="0"/>
              <w:ind w:firstLine="480" w:firstLineChars="200"/>
              <w:rPr>
                <w:rFonts w:hint="default"/>
              </w:rPr>
            </w:pPr>
            <w:r>
              <w:rPr>
                <w:rFonts w:hint="default"/>
              </w:rPr>
              <w:t>路基填方应优先选用级配较好的砾类土、砂类土等粗粒土作为填料，分层碾压填筑，每层厚度控制在30cm。填方时应清除耕植土和杂填土。路基填料强度及粒径要求见下表。</w:t>
            </w:r>
          </w:p>
          <w:p>
            <w:pPr>
              <w:bidi w:val="0"/>
              <w:jc w:val="center"/>
              <w:rPr>
                <w:rFonts w:hint="default"/>
                <w:b/>
                <w:bCs/>
              </w:rPr>
            </w:pPr>
            <w:r>
              <w:rPr>
                <w:rFonts w:hint="default"/>
                <w:b/>
                <w:bCs/>
              </w:rPr>
              <w:t>表</w:t>
            </w:r>
            <w:r>
              <w:rPr>
                <w:rFonts w:hint="eastAsia"/>
                <w:b/>
                <w:bCs/>
                <w:lang w:val="en-US" w:eastAsia="zh-CN"/>
              </w:rPr>
              <w:t>6</w:t>
            </w:r>
            <w:r>
              <w:rPr>
                <w:rFonts w:hint="default"/>
                <w:b/>
                <w:bCs/>
              </w:rPr>
              <w:t xml:space="preserve">  路基相关技术参数</w:t>
            </w:r>
          </w:p>
          <w:tbl>
            <w:tblPr>
              <w:tblStyle w:val="34"/>
              <w:tblW w:w="0" w:type="auto"/>
              <w:jc w:val="center"/>
              <w:tblLayout w:type="fixed"/>
              <w:tblCellMar>
                <w:top w:w="15" w:type="dxa"/>
                <w:left w:w="15" w:type="dxa"/>
                <w:bottom w:w="15" w:type="dxa"/>
                <w:right w:w="15" w:type="dxa"/>
              </w:tblCellMar>
            </w:tblPr>
            <w:tblGrid>
              <w:gridCol w:w="1511"/>
              <w:gridCol w:w="2154"/>
              <w:gridCol w:w="2268"/>
              <w:gridCol w:w="1474"/>
              <w:gridCol w:w="1701"/>
            </w:tblGrid>
            <w:tr>
              <w:tblPrEx>
                <w:tblCellMar>
                  <w:top w:w="15" w:type="dxa"/>
                  <w:left w:w="15" w:type="dxa"/>
                  <w:bottom w:w="15" w:type="dxa"/>
                  <w:right w:w="15" w:type="dxa"/>
                </w:tblCellMar>
              </w:tblPrEx>
              <w:trPr>
                <w:trHeight w:val="340" w:hRule="atLeast"/>
                <w:tblHeader/>
                <w:jc w:val="center"/>
              </w:trPr>
              <w:tc>
                <w:tcPr>
                  <w:tcW w:w="151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填挖类型</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val="en-US" w:eastAsia="zh-CN"/>
                    </w:rPr>
                  </w:pPr>
                  <w:r>
                    <w:rPr>
                      <w:rFonts w:hint="default"/>
                      <w:sz w:val="21"/>
                      <w:szCs w:val="21"/>
                    </w:rPr>
                    <w:t>路面底面以下深度</w:t>
                  </w:r>
                  <w:r>
                    <w:rPr>
                      <w:rFonts w:hint="eastAsia"/>
                      <w:sz w:val="21"/>
                      <w:szCs w:val="21"/>
                      <w:lang w:val="en-US" w:eastAsia="zh-CN"/>
                    </w:rPr>
                    <w:t>(</w:t>
                  </w:r>
                  <w:r>
                    <w:rPr>
                      <w:rFonts w:hint="default"/>
                      <w:sz w:val="21"/>
                      <w:szCs w:val="21"/>
                    </w:rPr>
                    <w:t>cm</w:t>
                  </w:r>
                  <w:r>
                    <w:rPr>
                      <w:rFonts w:hint="eastAsia"/>
                      <w:sz w:val="21"/>
                      <w:szCs w:val="21"/>
                      <w:lang w:val="en-US" w:eastAsia="zh-CN"/>
                    </w:rPr>
                    <w:t>)</w:t>
                  </w:r>
                </w:p>
              </w:tc>
              <w:tc>
                <w:tcPr>
                  <w:tcW w:w="226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val="en-US" w:eastAsia="zh-CN"/>
                    </w:rPr>
                  </w:pPr>
                  <w:r>
                    <w:rPr>
                      <w:rFonts w:hint="default"/>
                      <w:sz w:val="21"/>
                      <w:szCs w:val="21"/>
                    </w:rPr>
                    <w:t>填料最小强度</w:t>
                  </w:r>
                  <w:r>
                    <w:rPr>
                      <w:rFonts w:hint="eastAsia"/>
                      <w:sz w:val="21"/>
                      <w:szCs w:val="21"/>
                      <w:lang w:val="en-US" w:eastAsia="zh-CN"/>
                    </w:rPr>
                    <w:t>(</w:t>
                  </w:r>
                  <w:r>
                    <w:rPr>
                      <w:rFonts w:hint="default"/>
                      <w:sz w:val="21"/>
                      <w:szCs w:val="21"/>
                    </w:rPr>
                    <w:t>CBR</w:t>
                  </w:r>
                  <w:r>
                    <w:rPr>
                      <w:rFonts w:hint="eastAsia"/>
                      <w:sz w:val="21"/>
                      <w:szCs w:val="21"/>
                      <w:lang w:val="en-US" w:eastAsia="zh-CN"/>
                    </w:rPr>
                    <w:t>)(</w:t>
                  </w:r>
                  <w:r>
                    <w:rPr>
                      <w:rFonts w:hint="default"/>
                      <w:sz w:val="21"/>
                      <w:szCs w:val="21"/>
                    </w:rPr>
                    <w:t>%</w:t>
                  </w:r>
                  <w:r>
                    <w:rPr>
                      <w:rFonts w:hint="eastAsia"/>
                      <w:sz w:val="21"/>
                      <w:szCs w:val="21"/>
                      <w:lang w:val="en-US" w:eastAsia="zh-CN"/>
                    </w:rPr>
                    <w:t>)</w:t>
                  </w:r>
                </w:p>
              </w:tc>
              <w:tc>
                <w:tcPr>
                  <w:tcW w:w="147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val="en-US" w:eastAsia="zh-CN"/>
                    </w:rPr>
                  </w:pPr>
                  <w:r>
                    <w:rPr>
                      <w:rFonts w:hint="default"/>
                      <w:sz w:val="21"/>
                      <w:szCs w:val="21"/>
                    </w:rPr>
                    <w:t>压实度</w:t>
                  </w:r>
                  <w:r>
                    <w:rPr>
                      <w:rFonts w:hint="eastAsia"/>
                      <w:sz w:val="21"/>
                      <w:szCs w:val="21"/>
                      <w:lang w:val="en-US" w:eastAsia="zh-CN"/>
                    </w:rPr>
                    <w:t>(</w:t>
                  </w:r>
                  <w:r>
                    <w:rPr>
                      <w:rFonts w:hint="default"/>
                      <w:sz w:val="21"/>
                      <w:szCs w:val="21"/>
                    </w:rPr>
                    <w:t>%</w:t>
                  </w:r>
                  <w:r>
                    <w:rPr>
                      <w:rFonts w:hint="eastAsia"/>
                      <w:sz w:val="21"/>
                      <w:szCs w:val="21"/>
                      <w:lang w:val="en-US" w:eastAsia="zh-CN"/>
                    </w:rPr>
                    <w:t>)</w:t>
                  </w:r>
                </w:p>
              </w:tc>
              <w:tc>
                <w:tcPr>
                  <w:tcW w:w="1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val="en-US" w:eastAsia="zh-CN"/>
                    </w:rPr>
                  </w:pPr>
                  <w:r>
                    <w:rPr>
                      <w:rFonts w:hint="default"/>
                      <w:sz w:val="21"/>
                      <w:szCs w:val="21"/>
                    </w:rPr>
                    <w:t>填料最大粒径</w:t>
                  </w:r>
                  <w:r>
                    <w:rPr>
                      <w:rFonts w:hint="eastAsia"/>
                      <w:sz w:val="21"/>
                      <w:szCs w:val="21"/>
                      <w:lang w:val="en-US" w:eastAsia="zh-CN"/>
                    </w:rPr>
                    <w:t>(</w:t>
                  </w:r>
                  <w:r>
                    <w:rPr>
                      <w:rFonts w:hint="default"/>
                      <w:sz w:val="21"/>
                      <w:szCs w:val="21"/>
                    </w:rPr>
                    <w:t>cm</w:t>
                  </w:r>
                  <w:r>
                    <w:rPr>
                      <w:rFonts w:hint="eastAsia"/>
                      <w:sz w:val="21"/>
                      <w:szCs w:val="21"/>
                      <w:lang w:val="en-US" w:eastAsia="zh-CN"/>
                    </w:rPr>
                    <w:t>)</w:t>
                  </w:r>
                </w:p>
              </w:tc>
            </w:tr>
            <w:tr>
              <w:tblPrEx>
                <w:tblCellMar>
                  <w:top w:w="15" w:type="dxa"/>
                  <w:left w:w="15" w:type="dxa"/>
                  <w:bottom w:w="15" w:type="dxa"/>
                  <w:right w:w="15" w:type="dxa"/>
                </w:tblCellMar>
              </w:tblPrEx>
              <w:trPr>
                <w:trHeight w:val="340" w:hRule="atLeast"/>
                <w:jc w:val="center"/>
              </w:trPr>
              <w:tc>
                <w:tcPr>
                  <w:tcW w:w="1511"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填方路基</w:t>
                  </w:r>
                </w:p>
              </w:tc>
              <w:tc>
                <w:tcPr>
                  <w:tcW w:w="21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0-80</w:t>
                  </w:r>
                </w:p>
              </w:tc>
              <w:tc>
                <w:tcPr>
                  <w:tcW w:w="22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6</w:t>
                  </w:r>
                </w:p>
              </w:tc>
              <w:tc>
                <w:tcPr>
                  <w:tcW w:w="14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92</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10</w:t>
                  </w:r>
                </w:p>
              </w:tc>
            </w:tr>
            <w:tr>
              <w:tblPrEx>
                <w:tblCellMar>
                  <w:top w:w="15" w:type="dxa"/>
                  <w:left w:w="15" w:type="dxa"/>
                  <w:bottom w:w="15" w:type="dxa"/>
                  <w:right w:w="15" w:type="dxa"/>
                </w:tblCellMar>
              </w:tblPrEx>
              <w:trPr>
                <w:trHeight w:val="340" w:hRule="atLeast"/>
                <w:jc w:val="center"/>
              </w:trPr>
              <w:tc>
                <w:tcPr>
                  <w:tcW w:w="1511"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p>
              </w:tc>
              <w:tc>
                <w:tcPr>
                  <w:tcW w:w="21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80-150</w:t>
                  </w:r>
                </w:p>
              </w:tc>
              <w:tc>
                <w:tcPr>
                  <w:tcW w:w="22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4</w:t>
                  </w:r>
                </w:p>
              </w:tc>
              <w:tc>
                <w:tcPr>
                  <w:tcW w:w="14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91</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10</w:t>
                  </w:r>
                </w:p>
              </w:tc>
            </w:tr>
            <w:tr>
              <w:tblPrEx>
                <w:tblCellMar>
                  <w:top w:w="15" w:type="dxa"/>
                  <w:left w:w="15" w:type="dxa"/>
                  <w:bottom w:w="15" w:type="dxa"/>
                  <w:right w:w="15" w:type="dxa"/>
                </w:tblCellMar>
              </w:tblPrEx>
              <w:trPr>
                <w:trHeight w:val="340" w:hRule="atLeast"/>
                <w:jc w:val="center"/>
              </w:trPr>
              <w:tc>
                <w:tcPr>
                  <w:tcW w:w="1511"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p>
              </w:tc>
              <w:tc>
                <w:tcPr>
                  <w:tcW w:w="21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＞150</w:t>
                  </w:r>
                </w:p>
              </w:tc>
              <w:tc>
                <w:tcPr>
                  <w:tcW w:w="22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3</w:t>
                  </w:r>
                </w:p>
              </w:tc>
              <w:tc>
                <w:tcPr>
                  <w:tcW w:w="14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90</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15</w:t>
                  </w:r>
                </w:p>
              </w:tc>
            </w:tr>
            <w:tr>
              <w:tblPrEx>
                <w:tblCellMar>
                  <w:top w:w="15" w:type="dxa"/>
                  <w:left w:w="15" w:type="dxa"/>
                  <w:bottom w:w="15" w:type="dxa"/>
                  <w:right w:w="15" w:type="dxa"/>
                </w:tblCellMar>
              </w:tblPrEx>
              <w:trPr>
                <w:trHeight w:val="340" w:hRule="atLeast"/>
                <w:jc w:val="center"/>
              </w:trPr>
              <w:tc>
                <w:tcPr>
                  <w:tcW w:w="151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零填及路堑路床</w:t>
                  </w:r>
                </w:p>
              </w:tc>
              <w:tc>
                <w:tcPr>
                  <w:tcW w:w="21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0-30</w:t>
                  </w:r>
                </w:p>
              </w:tc>
              <w:tc>
                <w:tcPr>
                  <w:tcW w:w="22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6</w:t>
                  </w:r>
                </w:p>
              </w:tc>
              <w:tc>
                <w:tcPr>
                  <w:tcW w:w="14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92</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10</w:t>
                  </w:r>
                </w:p>
              </w:tc>
            </w:tr>
            <w:tr>
              <w:tblPrEx>
                <w:tblCellMar>
                  <w:top w:w="15" w:type="dxa"/>
                  <w:left w:w="15" w:type="dxa"/>
                  <w:bottom w:w="15" w:type="dxa"/>
                  <w:right w:w="15" w:type="dxa"/>
                </w:tblCellMar>
              </w:tblPrEx>
              <w:trPr>
                <w:trHeight w:val="340"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p>
              </w:tc>
              <w:tc>
                <w:tcPr>
                  <w:tcW w:w="215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30-80</w:t>
                  </w:r>
                </w:p>
              </w:tc>
              <w:tc>
                <w:tcPr>
                  <w:tcW w:w="226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4</w:t>
                  </w:r>
                </w:p>
              </w:tc>
              <w:tc>
                <w:tcPr>
                  <w:tcW w:w="147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rPr>
                  </w:pPr>
                  <w:r>
                    <w:rPr>
                      <w:rFonts w:hint="default"/>
                      <w:sz w:val="21"/>
                      <w:szCs w:val="21"/>
                    </w:rPr>
                    <w:t>10</w:t>
                  </w:r>
                </w:p>
              </w:tc>
            </w:tr>
          </w:tbl>
          <w:p>
            <w:pPr>
              <w:bidi w:val="0"/>
              <w:ind w:firstLine="480" w:firstLineChars="200"/>
              <w:rPr>
                <w:rFonts w:hint="default"/>
              </w:rPr>
            </w:pPr>
            <w:r>
              <w:rPr>
                <w:rFonts w:hint="default"/>
              </w:rPr>
              <w:t>当路床填料CBR值达不到上表要求时，可采取掺石灰处理。粗粒土填料的最大粒径，不应超过压实层厚度的2/3。</w:t>
            </w:r>
          </w:p>
          <w:p>
            <w:pPr>
              <w:bidi w:val="0"/>
              <w:ind w:firstLine="480" w:firstLineChars="200"/>
              <w:rPr>
                <w:rFonts w:hint="default"/>
              </w:rPr>
            </w:pPr>
            <w:r>
              <w:t>4）</w:t>
            </w:r>
            <w:r>
              <w:rPr>
                <w:rFonts w:hint="default"/>
              </w:rPr>
              <w:t>一般路基处理</w:t>
            </w:r>
          </w:p>
          <w:p>
            <w:pPr>
              <w:bidi w:val="0"/>
              <w:ind w:firstLine="480" w:firstLineChars="200"/>
              <w:rPr>
                <w:rFonts w:hint="default"/>
              </w:rPr>
            </w:pPr>
            <w:r>
              <w:rPr>
                <w:rFonts w:hint="default"/>
              </w:rPr>
              <w:t>本项目地质条件良好，一般路段路基在清除表层耕植土后有较好持力层，路床顶面回弹模量应达到30Mpa。</w:t>
            </w:r>
          </w:p>
          <w:p>
            <w:pPr>
              <w:bidi w:val="0"/>
              <w:ind w:firstLine="480" w:firstLineChars="200"/>
              <w:rPr>
                <w:rFonts w:hint="default"/>
              </w:rPr>
            </w:pPr>
            <w:r>
              <w:rPr>
                <w:rFonts w:hint="default"/>
              </w:rPr>
              <w:t>基底土密实，地面横坡缓于1:5时，路堤可直接填筑在天然地面上。</w:t>
            </w:r>
          </w:p>
          <w:p>
            <w:pPr>
              <w:bidi w:val="0"/>
              <w:ind w:firstLine="480" w:firstLineChars="200"/>
              <w:rPr>
                <w:rFonts w:hint="default"/>
              </w:rPr>
            </w:pPr>
            <w:r>
              <w:rPr>
                <w:rFonts w:hint="default"/>
              </w:rPr>
              <w:t>在地面自然横坡度为1</w:t>
            </w:r>
            <w:r>
              <w:rPr>
                <w:rFonts w:hint="eastAsia"/>
                <w:lang w:val="en-US" w:eastAsia="zh-CN"/>
              </w:rPr>
              <w:t>:</w:t>
            </w:r>
            <w:r>
              <w:rPr>
                <w:rFonts w:hint="default"/>
              </w:rPr>
              <w:t>5~1:2.5时（包括纵断面方向），路堤基底应挖台阶，台阶宽度不下于2m。当基岩面上的覆盖层较薄时，宜先清除覆盖层再挖台阶；当覆盖层较厚且稳定时，可予以保留。</w:t>
            </w:r>
          </w:p>
          <w:p>
            <w:pPr>
              <w:bidi w:val="0"/>
              <w:ind w:firstLine="480" w:firstLineChars="200"/>
              <w:rPr>
                <w:rFonts w:hint="default"/>
              </w:rPr>
            </w:pPr>
            <w:r>
              <w:rPr>
                <w:rFonts w:hint="default"/>
              </w:rPr>
              <w:t>挖方地段的路床为岩石或土基良好时，可直接用作路床，并应平整、碾压密实；地质条件不良或土质松散、渗水、湿软、强度低时，应采取防水、排水措施或掺石灰处理或换填渗水性土等措施。</w:t>
            </w:r>
          </w:p>
          <w:p>
            <w:pPr>
              <w:bidi w:val="0"/>
              <w:ind w:firstLine="480" w:firstLineChars="200"/>
              <w:rPr>
                <w:rFonts w:hint="default"/>
              </w:rPr>
            </w:pPr>
            <w:r>
              <w:t>5）</w:t>
            </w:r>
            <w:r>
              <w:rPr>
                <w:rFonts w:hint="default"/>
              </w:rPr>
              <w:t>不良路基处理</w:t>
            </w:r>
          </w:p>
          <w:p>
            <w:pPr>
              <w:bidi w:val="0"/>
              <w:ind w:firstLine="480" w:firstLineChars="200"/>
              <w:rPr>
                <w:rFonts w:hint="default"/>
              </w:rPr>
            </w:pPr>
            <w:r>
              <w:rPr>
                <w:rFonts w:hint="default"/>
              </w:rPr>
              <w:t>富水路基：本项目富水路基处理具体处理方法为清表后，在路基坡脚线外扩2m范围内铺设片石垫层，在垫层上填筑路基。</w:t>
            </w:r>
          </w:p>
          <w:p>
            <w:pPr>
              <w:bidi w:val="0"/>
              <w:ind w:firstLine="480" w:firstLineChars="200"/>
              <w:rPr>
                <w:rFonts w:hint="default"/>
              </w:rPr>
            </w:pPr>
            <w:r>
              <w:rPr>
                <w:rFonts w:hint="default"/>
              </w:rPr>
              <w:t>水塘路基：本项目水塘路基处理工程具体处理方式为清淤前先利用抽排系统排水，再挖除淤泥后按规定回填片石，分层压实。</w:t>
            </w:r>
          </w:p>
          <w:p>
            <w:pPr>
              <w:bidi w:val="0"/>
              <w:ind w:firstLine="480" w:firstLineChars="200"/>
              <w:rPr>
                <w:rFonts w:hint="default"/>
              </w:rPr>
            </w:pPr>
            <w:r>
              <w:t>6</w:t>
            </w:r>
            <w:r>
              <w:rPr>
                <w:rFonts w:hint="default"/>
              </w:rPr>
              <w:t>）边坡防护</w:t>
            </w:r>
          </w:p>
          <w:p>
            <w:pPr>
              <w:bidi w:val="0"/>
              <w:ind w:firstLine="480" w:firstLineChars="200"/>
              <w:rPr>
                <w:rFonts w:hint="default"/>
              </w:rPr>
            </w:pPr>
            <w:r>
              <w:rPr>
                <w:rFonts w:hint="default"/>
              </w:rPr>
              <w:t>一般对边坡进行植草防护，喷播植草时要求掺播草花籽，以利边坡美化，花籽比例为10～15g/</w:t>
            </w:r>
            <w:r>
              <w:rPr>
                <w:rFonts w:hint="eastAsia"/>
                <w:lang w:val="en-US" w:eastAsia="zh-CN"/>
              </w:rPr>
              <w:t>m</w:t>
            </w:r>
            <w:r>
              <w:rPr>
                <w:rFonts w:hint="eastAsia"/>
                <w:vertAlign w:val="superscript"/>
                <w:lang w:val="en-US" w:eastAsia="zh-CN"/>
              </w:rPr>
              <w:t>2</w:t>
            </w:r>
            <w:r>
              <w:t>。</w:t>
            </w:r>
          </w:p>
          <w:p>
            <w:pPr>
              <w:bidi w:val="0"/>
              <w:ind w:firstLine="480" w:firstLineChars="200"/>
            </w:pPr>
            <w:r>
              <w:rPr>
                <w:rFonts w:hint="default"/>
              </w:rPr>
              <w:t>本项目</w:t>
            </w:r>
            <w:r>
              <w:t>为三级边坡时，</w:t>
            </w:r>
            <w:r>
              <w:rPr>
                <w:rFonts w:hint="default"/>
              </w:rPr>
              <w:t>第一级采用框架格子梁+锚杆支护，第</w:t>
            </w:r>
            <w:r>
              <w:t>二</w:t>
            </w:r>
            <w:r>
              <w:rPr>
                <w:rFonts w:hint="default"/>
              </w:rPr>
              <w:t>级采用框架格子梁+锚杆支护</w:t>
            </w:r>
            <w:r>
              <w:t>，</w:t>
            </w:r>
            <w:r>
              <w:rPr>
                <w:rFonts w:hint="default"/>
              </w:rPr>
              <w:t>第</w:t>
            </w:r>
            <w:r>
              <w:t>三</w:t>
            </w:r>
            <w:r>
              <w:rPr>
                <w:rFonts w:hint="default"/>
              </w:rPr>
              <w:t>级采用浆砌片石拱形骨架</w:t>
            </w:r>
            <w:r>
              <w:t>。为二级边坡时，</w:t>
            </w:r>
            <w:r>
              <w:rPr>
                <w:rFonts w:hint="default"/>
              </w:rPr>
              <w:t>第一级采用框架格子梁+锚杆支护，第</w:t>
            </w:r>
            <w:r>
              <w:t>二</w:t>
            </w:r>
            <w:r>
              <w:rPr>
                <w:rFonts w:hint="default"/>
              </w:rPr>
              <w:t>级采用浆砌片石拱形骨架</w:t>
            </w:r>
            <w:r>
              <w:t>。其余两级边坡及以下均采用浆砌片石拱形骨架、片石挡土墙护坡及喷播植草防护方式。</w:t>
            </w:r>
          </w:p>
          <w:p>
            <w:pPr>
              <w:ind w:firstLine="482" w:firstLineChars="200"/>
              <w:rPr>
                <w:rFonts w:cs="宋体"/>
                <w:b/>
                <w:bCs/>
                <w:sz w:val="24"/>
              </w:rPr>
            </w:pPr>
            <w:r>
              <w:rPr>
                <w:rFonts w:hint="eastAsia" w:cs="宋体"/>
                <w:b/>
                <w:bCs/>
                <w:sz w:val="24"/>
              </w:rPr>
              <w:t>（</w:t>
            </w:r>
            <w:r>
              <w:rPr>
                <w:rFonts w:cs="宋体"/>
                <w:b/>
                <w:bCs/>
                <w:sz w:val="24"/>
              </w:rPr>
              <w:t>6</w:t>
            </w:r>
            <w:r>
              <w:rPr>
                <w:rFonts w:hint="eastAsia" w:cs="宋体"/>
                <w:b/>
                <w:bCs/>
                <w:sz w:val="24"/>
              </w:rPr>
              <w:t>）无障碍设计</w:t>
            </w:r>
          </w:p>
          <w:p>
            <w:pPr>
              <w:bidi w:val="0"/>
              <w:ind w:firstLine="480" w:firstLineChars="200"/>
              <w:rPr>
                <w:rFonts w:hint="eastAsia"/>
              </w:rPr>
            </w:pPr>
            <w:bookmarkStart w:id="0" w:name="_Toc346030297"/>
            <w:r>
              <w:rPr>
                <w:rFonts w:hint="eastAsia"/>
              </w:rPr>
              <w:t>1）路段无障碍设计</w:t>
            </w:r>
          </w:p>
          <w:p>
            <w:pPr>
              <w:bidi w:val="0"/>
              <w:ind w:firstLine="480" w:firstLineChars="200"/>
              <w:rPr>
                <w:rFonts w:hint="eastAsia"/>
              </w:rPr>
            </w:pPr>
            <w:r>
              <w:rPr>
                <w:rFonts w:hint="eastAsia"/>
              </w:rPr>
              <w:t>本道路无障碍设施，在道路路段上铺设视力残疾者行进盲道，以引导视力残疾者利用脚底的触感行走。行进盲道在路段上连续铺设，与人行道的走向一致，一般在距绿化带或行道树树池边缘500mm处设置，距路缘石不小于500mm。行进盲道宽度250mm～500mm。行进盲道在起点、终点、转弯处及其他有需要处设提示盲道。对于确实存在的障碍物，或可能引起视残者危险的物体，采用提示盲道圈围，以提醒视残者绕开。同时，路段人行道上不设有突然的高差与横坎，以方便肢残者利用轮椅行进。如有高差或横坎，以斜坡过渡，斜坡坡度满足1：20的要求。</w:t>
            </w:r>
          </w:p>
          <w:p>
            <w:pPr>
              <w:bidi w:val="0"/>
              <w:ind w:firstLine="480" w:firstLineChars="200"/>
              <w:rPr>
                <w:rFonts w:hint="eastAsia"/>
              </w:rPr>
            </w:pPr>
            <w:r>
              <w:rPr>
                <w:rFonts w:hint="eastAsia"/>
              </w:rPr>
              <w:t>2）交叉口无障碍设计</w:t>
            </w:r>
          </w:p>
          <w:p>
            <w:pPr>
              <w:bidi w:val="0"/>
              <w:ind w:firstLine="480" w:firstLineChars="200"/>
              <w:rPr>
                <w:rFonts w:hint="eastAsia"/>
              </w:rPr>
            </w:pPr>
            <w:r>
              <w:rPr>
                <w:rFonts w:hint="eastAsia"/>
              </w:rPr>
              <w:t>道路交叉口人行道在对应人行横道线的缘石部位设置缘石坡道，其中全宽式单面坡缘石坡道坡度为1：20，三面坡缘石坡道坡度为1：12。坡道下口高出车行道的地面不得大于10mm。交叉口人行横道线贯通道路两侧，经过道路与隔离带处压低高度，满足轮椅车通行。在交叉口处设置提示盲道，提示盲道与人行道的行进盲道连接。</w:t>
            </w:r>
          </w:p>
          <w:p>
            <w:pPr>
              <w:bidi w:val="0"/>
              <w:ind w:firstLine="480" w:firstLineChars="200"/>
              <w:rPr>
                <w:rFonts w:hint="eastAsia"/>
              </w:rPr>
            </w:pPr>
            <w:r>
              <w:rPr>
                <w:rFonts w:hint="eastAsia"/>
              </w:rPr>
              <w:t>3）公交车站处无障碍设计</w:t>
            </w:r>
          </w:p>
          <w:p>
            <w:pPr>
              <w:bidi w:val="0"/>
              <w:ind w:firstLine="480" w:firstLineChars="200"/>
              <w:rPr>
                <w:rFonts w:hint="eastAsia"/>
              </w:rPr>
            </w:pPr>
            <w:r>
              <w:rPr>
                <w:rFonts w:hint="eastAsia"/>
              </w:rPr>
              <w:t>公交车站处在人行道对应的位置设置提示盲道与轮椅坡道，方便视残者与肢残者候车、上下车。人行道上提示盲道与行进盲道连接提示盲道设置在行进盲道转折处，并在候车站牌一侧设长度4m的提示盲道。轮椅坡道的净宽度不小于1.00m，坡度1：20。</w:t>
            </w:r>
          </w:p>
          <w:bookmarkEnd w:id="0"/>
          <w:p>
            <w:pPr>
              <w:bidi w:val="0"/>
              <w:ind w:firstLine="482" w:firstLineChars="200"/>
              <w:rPr>
                <w:rFonts w:hint="eastAsia"/>
                <w:b/>
                <w:bCs/>
              </w:rPr>
            </w:pPr>
            <w:r>
              <w:rPr>
                <w:b/>
                <w:bCs/>
              </w:rPr>
              <w:t>2.3.</w:t>
            </w:r>
            <w:r>
              <w:rPr>
                <w:rFonts w:hint="eastAsia"/>
                <w:b/>
                <w:bCs/>
                <w:lang w:val="en-US" w:eastAsia="zh-CN"/>
              </w:rPr>
              <w:t>2</w:t>
            </w:r>
            <w:r>
              <w:rPr>
                <w:rFonts w:hint="eastAsia"/>
                <w:b/>
                <w:bCs/>
              </w:rPr>
              <w:t>给排水工程</w:t>
            </w:r>
          </w:p>
          <w:p>
            <w:pPr>
              <w:bidi w:val="0"/>
              <w:ind w:firstLine="480" w:firstLineChars="200"/>
            </w:pPr>
            <w:r>
              <w:t>本次给排水工程设计范围：同道路设计范围；设计内容：本次设计内容为市政排水(其中，d2200雨水干管已在《云龙示范区马鞍路、百合路（中特物流段）水系改造工程》中完成设计，本次直接引用其成果，不另行设计)。</w:t>
            </w:r>
          </w:p>
          <w:p>
            <w:pPr>
              <w:bidi w:val="0"/>
              <w:ind w:firstLine="482" w:firstLineChars="200"/>
              <w:rPr>
                <w:rFonts w:hint="eastAsia"/>
                <w:b/>
                <w:bCs/>
              </w:rPr>
            </w:pPr>
            <w:r>
              <w:rPr>
                <w:rFonts w:hint="eastAsia"/>
                <w:b/>
                <w:bCs/>
                <w:lang w:eastAsia="zh-CN"/>
              </w:rPr>
              <w:t>（</w:t>
            </w:r>
            <w:r>
              <w:rPr>
                <w:rFonts w:hint="eastAsia"/>
                <w:b/>
                <w:bCs/>
                <w:lang w:val="en-US" w:eastAsia="zh-CN"/>
              </w:rPr>
              <w:t>1</w:t>
            </w:r>
            <w:r>
              <w:rPr>
                <w:rFonts w:hint="eastAsia"/>
                <w:b/>
                <w:bCs/>
                <w:lang w:eastAsia="zh-CN"/>
              </w:rPr>
              <w:t>）</w:t>
            </w:r>
            <w:r>
              <w:rPr>
                <w:rFonts w:hint="eastAsia"/>
                <w:b/>
                <w:bCs/>
              </w:rPr>
              <w:t>排水体制</w:t>
            </w:r>
          </w:p>
          <w:p>
            <w:pPr>
              <w:bidi w:val="0"/>
              <w:ind w:firstLine="480" w:firstLineChars="200"/>
              <w:rPr>
                <w:rFonts w:hint="eastAsia"/>
              </w:rPr>
            </w:pPr>
            <w:r>
              <w:rPr>
                <w:rFonts w:hint="eastAsia"/>
              </w:rPr>
              <w:t>采用雨、污分流制；雨水重现期</w:t>
            </w:r>
            <w:r>
              <w:rPr>
                <w:rFonts w:hint="eastAsia"/>
                <w:lang w:val="en-US" w:eastAsia="zh-CN"/>
              </w:rPr>
              <w:t>4</w:t>
            </w:r>
            <w:r>
              <w:rPr>
                <w:rFonts w:hint="eastAsia"/>
              </w:rPr>
              <w:t xml:space="preserve"> 年。</w:t>
            </w:r>
          </w:p>
          <w:p>
            <w:pPr>
              <w:bidi w:val="0"/>
              <w:ind w:firstLine="480" w:firstLineChars="200"/>
              <w:rPr>
                <w:rFonts w:hint="eastAsia"/>
                <w:b/>
                <w:bCs/>
              </w:rPr>
            </w:pPr>
            <w:r>
              <w:rPr>
                <w:rFonts w:hint="eastAsia"/>
                <w:lang w:eastAsia="zh-CN"/>
              </w:rPr>
              <w:t>（</w:t>
            </w:r>
            <w:r>
              <w:rPr>
                <w:rFonts w:hint="eastAsia"/>
                <w:b/>
                <w:bCs/>
                <w:lang w:val="en-US" w:eastAsia="zh-CN"/>
              </w:rPr>
              <w:t>2</w:t>
            </w:r>
            <w:r>
              <w:rPr>
                <w:rFonts w:hint="eastAsia"/>
                <w:b/>
                <w:bCs/>
                <w:lang w:eastAsia="zh-CN"/>
              </w:rPr>
              <w:t>）</w:t>
            </w:r>
            <w:r>
              <w:rPr>
                <w:rFonts w:hint="eastAsia"/>
                <w:b/>
                <w:bCs/>
              </w:rPr>
              <w:t>排水方式</w:t>
            </w:r>
          </w:p>
          <w:p>
            <w:pPr>
              <w:bidi w:val="0"/>
              <w:ind w:firstLine="480" w:firstLineChars="200"/>
              <w:rPr>
                <w:rFonts w:hint="eastAsia"/>
              </w:rPr>
            </w:pPr>
            <w:r>
              <w:rPr>
                <w:rFonts w:hint="eastAsia"/>
              </w:rPr>
              <w:t>本工程采用排水管道排水。</w:t>
            </w:r>
          </w:p>
          <w:p>
            <w:pPr>
              <w:bidi w:val="0"/>
              <w:ind w:firstLine="482" w:firstLineChars="200"/>
              <w:rPr>
                <w:b/>
                <w:bCs/>
                <w:u w:val="single"/>
              </w:rPr>
            </w:pPr>
            <w:r>
              <w:rPr>
                <w:rFonts w:hint="eastAsia"/>
                <w:b/>
                <w:bCs/>
                <w:u w:val="single"/>
              </w:rPr>
              <w:t>（</w:t>
            </w:r>
            <w:r>
              <w:rPr>
                <w:rFonts w:hint="eastAsia"/>
                <w:b/>
                <w:bCs/>
                <w:u w:val="single"/>
                <w:lang w:val="en-US" w:eastAsia="zh-CN"/>
              </w:rPr>
              <w:t>3</w:t>
            </w:r>
            <w:r>
              <w:rPr>
                <w:rFonts w:hint="eastAsia"/>
                <w:b/>
                <w:bCs/>
                <w:u w:val="single"/>
              </w:rPr>
              <w:t>）排水现状及其处置</w:t>
            </w:r>
          </w:p>
          <w:p>
            <w:pPr>
              <w:bidi w:val="0"/>
              <w:ind w:firstLine="482" w:firstLineChars="200"/>
              <w:rPr>
                <w:rFonts w:hint="eastAsia"/>
                <w:u w:val="single"/>
                <w:lang w:eastAsia="zh-CN"/>
              </w:rPr>
            </w:pPr>
            <w:r>
              <w:rPr>
                <w:rFonts w:hint="eastAsia"/>
                <w:b/>
                <w:bCs/>
                <w:u w:val="single"/>
                <w:lang w:val="en-US" w:eastAsia="zh-CN"/>
              </w:rPr>
              <w:t>1）</w:t>
            </w:r>
            <w:r>
              <w:rPr>
                <w:rFonts w:hint="eastAsia"/>
                <w:b/>
                <w:bCs/>
                <w:u w:val="single"/>
                <w:lang w:eastAsia="zh-CN"/>
              </w:rPr>
              <w:t>马鞍路</w:t>
            </w:r>
            <w:r>
              <w:rPr>
                <w:rFonts w:hint="eastAsia"/>
                <w:u w:val="single"/>
                <w:lang w:eastAsia="zh-CN"/>
              </w:rPr>
              <w:t>：除起点相交马鞍路（福林路～百合路）及百合路（马鞍路～纬四路）建有临时雨水管道外，现状暂无雨、污水管道系统；同步建设百合路及桃园路排水管道系统，可作为本次道路的雨、污水受水体。</w:t>
            </w:r>
          </w:p>
          <w:p>
            <w:pPr>
              <w:bidi w:val="0"/>
              <w:ind w:firstLine="482" w:firstLineChars="200"/>
              <w:rPr>
                <w:rFonts w:hint="eastAsia"/>
                <w:u w:val="single"/>
                <w:lang w:eastAsia="zh-CN"/>
              </w:rPr>
            </w:pPr>
            <w:r>
              <w:rPr>
                <w:rFonts w:hint="eastAsia"/>
                <w:b/>
                <w:bCs/>
                <w:u w:val="single"/>
                <w:lang w:val="en-US" w:eastAsia="zh-CN"/>
              </w:rPr>
              <w:t>2）</w:t>
            </w:r>
            <w:r>
              <w:rPr>
                <w:rFonts w:hint="eastAsia"/>
                <w:b/>
                <w:bCs/>
                <w:u w:val="single"/>
                <w:lang w:eastAsia="zh-CN"/>
              </w:rPr>
              <w:t>桃园路</w:t>
            </w:r>
            <w:r>
              <w:rPr>
                <w:rFonts w:hint="eastAsia"/>
                <w:u w:val="single"/>
                <w:lang w:eastAsia="zh-CN"/>
              </w:rPr>
              <w:t>：现状暂无雨、污水管道系统；本次设计道路的雨、污水暂无去向。应加快下游百合水库支流及沿百合水库支流干管（桃园路～盘龙路）段污水干管建设。</w:t>
            </w:r>
          </w:p>
          <w:p>
            <w:pPr>
              <w:bidi w:val="0"/>
              <w:ind w:firstLine="482" w:firstLineChars="200"/>
              <w:rPr>
                <w:rFonts w:hint="eastAsia"/>
                <w:u w:val="single"/>
                <w:lang w:eastAsia="zh-CN"/>
              </w:rPr>
            </w:pPr>
            <w:r>
              <w:rPr>
                <w:rFonts w:hint="eastAsia"/>
                <w:b/>
                <w:bCs/>
                <w:u w:val="single"/>
                <w:lang w:val="en-US" w:eastAsia="zh-CN"/>
              </w:rPr>
              <w:t>3）</w:t>
            </w:r>
            <w:r>
              <w:rPr>
                <w:rFonts w:hint="eastAsia"/>
                <w:b/>
                <w:bCs/>
                <w:u w:val="single"/>
                <w:lang w:eastAsia="zh-CN"/>
              </w:rPr>
              <w:t>纬四路</w:t>
            </w:r>
            <w:r>
              <w:rPr>
                <w:rFonts w:hint="eastAsia"/>
                <w:u w:val="single"/>
                <w:lang w:eastAsia="zh-CN"/>
              </w:rPr>
              <w:t xml:space="preserve">：除起点相交百合路（马鞍路～纬四路）建有临时雨水管道外，现状暂无雨、污水管道系统；同步建设桃园路排水管道系统，可作为本次道路的雨、污水受水体。 </w:t>
            </w:r>
          </w:p>
          <w:p>
            <w:pPr>
              <w:bidi w:val="0"/>
              <w:ind w:firstLine="482" w:firstLineChars="200"/>
              <w:rPr>
                <w:rFonts w:hint="eastAsia"/>
                <w:u w:val="single"/>
                <w:lang w:eastAsia="zh-CN"/>
              </w:rPr>
            </w:pPr>
            <w:r>
              <w:rPr>
                <w:rFonts w:hint="eastAsia"/>
                <w:b/>
                <w:bCs/>
                <w:u w:val="single"/>
                <w:lang w:val="en-US" w:eastAsia="zh-CN"/>
              </w:rPr>
              <w:t>4）</w:t>
            </w:r>
            <w:r>
              <w:rPr>
                <w:rFonts w:hint="eastAsia"/>
                <w:b/>
                <w:bCs/>
                <w:u w:val="single"/>
                <w:lang w:eastAsia="zh-CN"/>
              </w:rPr>
              <w:t>百合路</w:t>
            </w:r>
            <w:r>
              <w:rPr>
                <w:rFonts w:hint="eastAsia"/>
                <w:u w:val="single"/>
                <w:lang w:eastAsia="zh-CN"/>
              </w:rPr>
              <w:t>：除《湖南电力物流服务有限责任公司地块临时排水工程》沿规划马鞍路（福林路～百合路）南侧非机动车道及百合路（马鞍路～纬四路）西侧非机动车道分别建有临时d1500及d1800雨水管道外，现状无其他雨、污水管道系统；百合水库及纬四路污水管道系统，可作为本次道路的雨、污水受水体。</w:t>
            </w:r>
          </w:p>
          <w:p>
            <w:pPr>
              <w:ind w:firstLine="560"/>
              <w:rPr>
                <w:u w:val="single"/>
              </w:rPr>
            </w:pPr>
            <w:r>
              <w:rPr>
                <w:rFonts w:hint="eastAsia"/>
                <w:u w:val="single"/>
                <w:lang w:eastAsia="zh-CN"/>
              </w:rPr>
              <w:t>因桃园路～菖塘临时污水提升泵站段污水干管暂未建设，片区内污水暂无去路。根据业主要求，该段污水干管纳入本次设计纬四路同步实施。现状沿云龙大道北侧（洞株路）排水系统主要为道路边沟，尺寸为1.0m×0.8m，且标高不满足同步建设桃园路雨水接入需求，桃园路、纬四路和马鞍路部分路段雨水暂污去路，本次设计考虑同步实施桃园路～官典坝中支流段百合水库支流建设。</w:t>
            </w:r>
            <w:r>
              <w:rPr>
                <w:u w:val="single"/>
              </w:rPr>
              <w:t>因规划道路及下游污水干管暂无建设计划，中特物流和马鞍安置区等沿线及周边地块污水暂无排放出路；建议位于百合水库西南侧设置临时污水处理站；并</w:t>
            </w:r>
            <w:r>
              <w:rPr>
                <w:rFonts w:ascii="宋体" w:hAnsi="宋体"/>
                <w:u w:val="single"/>
              </w:rPr>
              <w:t>由业主另行委托有相关资质的单位进行专项设计</w:t>
            </w:r>
          </w:p>
          <w:p>
            <w:pPr>
              <w:ind w:firstLine="560"/>
              <w:rPr>
                <w:b/>
                <w:bCs/>
                <w:u w:val="single"/>
              </w:rPr>
            </w:pPr>
            <w:r>
              <w:rPr>
                <w:b/>
                <w:bCs/>
                <w:u w:val="single"/>
              </w:rPr>
              <w:t>（</w:t>
            </w:r>
            <w:r>
              <w:rPr>
                <w:rFonts w:hint="eastAsia"/>
                <w:b/>
                <w:bCs/>
                <w:u w:val="single"/>
                <w:lang w:val="en-US" w:eastAsia="zh-CN"/>
              </w:rPr>
              <w:t>4</w:t>
            </w:r>
            <w:r>
              <w:rPr>
                <w:b/>
                <w:bCs/>
                <w:u w:val="single"/>
              </w:rPr>
              <w:t>）排水</w:t>
            </w:r>
            <w:r>
              <w:rPr>
                <w:rFonts w:hint="eastAsia"/>
                <w:b/>
                <w:bCs/>
                <w:u w:val="single"/>
                <w:lang w:eastAsia="zh-CN"/>
              </w:rPr>
              <w:t>规划</w:t>
            </w:r>
          </w:p>
          <w:p>
            <w:pPr>
              <w:bidi w:val="0"/>
              <w:ind w:firstLine="482" w:firstLineChars="200"/>
              <w:rPr>
                <w:rFonts w:hint="eastAsia"/>
                <w:b/>
                <w:bCs/>
                <w:u w:val="single"/>
                <w:lang w:eastAsia="zh-CN"/>
              </w:rPr>
            </w:pPr>
            <w:r>
              <w:rPr>
                <w:rFonts w:hint="eastAsia"/>
                <w:b/>
                <w:bCs/>
                <w:u w:val="single"/>
                <w:lang w:val="en-US" w:eastAsia="zh-CN"/>
              </w:rPr>
              <w:t>1）</w:t>
            </w:r>
            <w:r>
              <w:rPr>
                <w:rFonts w:hint="eastAsia"/>
                <w:b/>
                <w:bCs/>
                <w:u w:val="single"/>
                <w:lang w:eastAsia="zh-CN"/>
              </w:rPr>
              <w:t>马鞍路</w:t>
            </w:r>
          </w:p>
          <w:p>
            <w:pPr>
              <w:bidi w:val="0"/>
              <w:ind w:firstLine="480" w:firstLineChars="200"/>
              <w:rPr>
                <w:rFonts w:hint="eastAsia" w:eastAsia="宋体"/>
                <w:u w:val="single"/>
                <w:lang w:val="en-US" w:eastAsia="zh-CN"/>
              </w:rPr>
            </w:pPr>
            <w:r>
              <w:rPr>
                <w:rFonts w:hint="eastAsia" w:ascii="宋体" w:hAnsi="宋体" w:eastAsia="宋体" w:cs="宋体"/>
                <w:u w:val="single"/>
                <w:lang w:val="en-US" w:eastAsia="zh-CN"/>
              </w:rPr>
              <w:t>①</w:t>
            </w:r>
            <w:r>
              <w:rPr>
                <w:rFonts w:hint="eastAsia"/>
                <w:u w:val="single"/>
                <w:lang w:val="en-US" w:eastAsia="zh-CN"/>
              </w:rPr>
              <w:t>雨水规划：</w:t>
            </w:r>
            <w:r>
              <w:rPr>
                <w:rFonts w:hint="eastAsia"/>
                <w:color w:val="000000"/>
                <w:u w:val="single"/>
              </w:rPr>
              <w:t>马鞍</w:t>
            </w:r>
            <w:r>
              <w:rPr>
                <w:color w:val="000000"/>
                <w:u w:val="single"/>
              </w:rPr>
              <w:t>路</w:t>
            </w:r>
            <w:r>
              <w:rPr>
                <w:rFonts w:hint="eastAsia"/>
                <w:color w:val="000000"/>
                <w:u w:val="single"/>
              </w:rPr>
              <w:t>属官典</w:t>
            </w:r>
            <w:r>
              <w:rPr>
                <w:color w:val="000000"/>
                <w:u w:val="single"/>
              </w:rPr>
              <w:t>坝中支流</w:t>
            </w:r>
            <w:r>
              <w:rPr>
                <w:rFonts w:hint="eastAsia"/>
                <w:color w:val="000000"/>
                <w:u w:val="single"/>
              </w:rPr>
              <w:t>汇水区；道路</w:t>
            </w:r>
            <w:r>
              <w:rPr>
                <w:color w:val="000000"/>
                <w:u w:val="single"/>
              </w:rPr>
              <w:t>及两侧地块</w:t>
            </w:r>
            <w:r>
              <w:rPr>
                <w:rFonts w:hint="eastAsia"/>
                <w:color w:val="000000"/>
                <w:u w:val="single"/>
              </w:rPr>
              <w:t>雨水分段排百合路已建</w:t>
            </w:r>
            <w:r>
              <w:rPr>
                <w:color w:val="000000"/>
                <w:u w:val="single"/>
              </w:rPr>
              <w:t>雨水管</w:t>
            </w:r>
            <w:r>
              <w:rPr>
                <w:rFonts w:hint="eastAsia"/>
                <w:color w:val="000000"/>
                <w:u w:val="single"/>
              </w:rPr>
              <w:t>、和同步建设</w:t>
            </w:r>
            <w:r>
              <w:rPr>
                <w:color w:val="000000"/>
                <w:u w:val="single"/>
              </w:rPr>
              <w:t>桃园路雨水管</w:t>
            </w:r>
            <w:r>
              <w:rPr>
                <w:rFonts w:hint="eastAsia"/>
                <w:color w:val="000000"/>
                <w:u w:val="single"/>
              </w:rPr>
              <w:t>，往官典坝中</w:t>
            </w:r>
            <w:r>
              <w:rPr>
                <w:color w:val="000000"/>
                <w:u w:val="single"/>
              </w:rPr>
              <w:t>支流</w:t>
            </w:r>
            <w:r>
              <w:rPr>
                <w:rFonts w:hint="eastAsia"/>
                <w:color w:val="000000"/>
                <w:u w:val="single"/>
              </w:rPr>
              <w:t>，经盘龙湖最终汇入湘江。</w:t>
            </w:r>
          </w:p>
          <w:p>
            <w:pPr>
              <w:bidi w:val="0"/>
              <w:ind w:firstLine="480" w:firstLineChars="200"/>
              <w:rPr>
                <w:rFonts w:hint="eastAsia"/>
                <w:b/>
                <w:bCs/>
                <w:u w:val="single"/>
                <w:lang w:eastAsia="zh-CN"/>
              </w:rPr>
            </w:pPr>
            <w:r>
              <w:rPr>
                <w:rFonts w:hint="eastAsia" w:ascii="宋体" w:hAnsi="宋体" w:eastAsia="宋体" w:cs="宋体"/>
                <w:u w:val="single"/>
                <w:lang w:val="en-US" w:eastAsia="zh-CN"/>
              </w:rPr>
              <w:t>②</w:t>
            </w:r>
            <w:r>
              <w:rPr>
                <w:rFonts w:hint="eastAsia"/>
                <w:u w:val="single"/>
                <w:lang w:val="en-US" w:eastAsia="zh-CN"/>
              </w:rPr>
              <w:t>污水规划：马鞍路位于云龙污水处理厂的纳污范围。道路两侧地块分段排百合路污水管和桃园路同步建设污水管，经沿官典坝中支流污水干管，最终汇入云龙污水处理厂。</w:t>
            </w:r>
          </w:p>
          <w:p>
            <w:pPr>
              <w:bidi w:val="0"/>
              <w:ind w:firstLine="482" w:firstLineChars="200"/>
              <w:rPr>
                <w:rFonts w:hint="eastAsia"/>
                <w:b/>
                <w:bCs/>
                <w:u w:val="single"/>
                <w:lang w:eastAsia="zh-CN"/>
              </w:rPr>
            </w:pPr>
            <w:r>
              <w:rPr>
                <w:rFonts w:hint="eastAsia"/>
                <w:b/>
                <w:bCs/>
                <w:u w:val="single"/>
                <w:lang w:val="en-US" w:eastAsia="zh-CN"/>
              </w:rPr>
              <w:t>2）</w:t>
            </w:r>
            <w:r>
              <w:rPr>
                <w:rFonts w:hint="eastAsia"/>
                <w:b/>
                <w:bCs/>
                <w:u w:val="single"/>
                <w:lang w:eastAsia="zh-CN"/>
              </w:rPr>
              <w:t>桃园路</w:t>
            </w:r>
          </w:p>
          <w:p>
            <w:pPr>
              <w:bidi w:val="0"/>
              <w:ind w:firstLine="480" w:firstLineChars="200"/>
              <w:rPr>
                <w:rFonts w:hint="eastAsia"/>
                <w:u w:val="single"/>
                <w:lang w:val="en-US" w:eastAsia="zh-CN"/>
              </w:rPr>
            </w:pPr>
            <w:r>
              <w:rPr>
                <w:rFonts w:hint="eastAsia" w:ascii="宋体" w:hAnsi="宋体" w:eastAsia="宋体" w:cs="宋体"/>
                <w:u w:val="single"/>
                <w:lang w:val="en-US" w:eastAsia="zh-CN"/>
              </w:rPr>
              <w:t>①</w:t>
            </w:r>
            <w:r>
              <w:rPr>
                <w:rFonts w:hint="eastAsia"/>
                <w:u w:val="single"/>
                <w:lang w:val="en-US" w:eastAsia="zh-CN"/>
              </w:rPr>
              <w:t>雨水规划：桃园路属官典坝中支流汇水区；道路及两侧地块雨水排纬四路（桃园路～蛟龙路）雨水管，往官典坝中支流，经盘龙湖最终汇入湘江。</w:t>
            </w:r>
          </w:p>
          <w:p>
            <w:pPr>
              <w:bidi w:val="0"/>
              <w:ind w:firstLine="480" w:firstLineChars="200"/>
              <w:rPr>
                <w:rFonts w:hint="eastAsia" w:eastAsia="宋体"/>
                <w:u w:val="single"/>
                <w:lang w:val="en-US" w:eastAsia="zh-CN"/>
              </w:rPr>
            </w:pPr>
            <w:r>
              <w:rPr>
                <w:rFonts w:hint="eastAsia"/>
                <w:u w:val="single"/>
                <w:lang w:val="en-US" w:eastAsia="zh-CN"/>
              </w:rPr>
              <w:t>根据道路断面结构布置（规划断面调整为40m）、规范及片区道路建设管线常规做法；设计考虑将原规划双侧布置雨水管道调整为单侧布置；并重新计算设计雨水管道管径。因原规划纬四路（桃园路～蛟龙路）线位受房屋拆迁影响，短期内难以实施，建议桃园路雨水管直接排入百合水库支渠。</w:t>
            </w:r>
          </w:p>
          <w:p>
            <w:pPr>
              <w:bidi w:val="0"/>
              <w:ind w:firstLine="480" w:firstLineChars="200"/>
              <w:rPr>
                <w:rFonts w:hint="eastAsia"/>
                <w:u w:val="single"/>
                <w:lang w:val="en-US" w:eastAsia="zh-CN"/>
              </w:rPr>
            </w:pPr>
            <w:r>
              <w:rPr>
                <w:rFonts w:hint="eastAsia" w:ascii="宋体" w:hAnsi="宋体" w:eastAsia="宋体" w:cs="宋体"/>
                <w:u w:val="single"/>
                <w:lang w:val="en-US" w:eastAsia="zh-CN"/>
              </w:rPr>
              <w:t>②</w:t>
            </w:r>
            <w:r>
              <w:rPr>
                <w:rFonts w:hint="eastAsia"/>
                <w:u w:val="single"/>
                <w:lang w:val="en-US" w:eastAsia="zh-CN"/>
              </w:rPr>
              <w:t>污水规划：桃园路位于云龙污水处理厂的纳污范围。道路两侧地块及上游污水排沿百合水库支流污水干管，经沿官典坝中支流污水干管，最终汇入云龙污水处理厂。</w:t>
            </w:r>
          </w:p>
          <w:p>
            <w:pPr>
              <w:bidi w:val="0"/>
              <w:ind w:firstLine="480" w:firstLineChars="200"/>
              <w:rPr>
                <w:rFonts w:hint="eastAsia"/>
                <w:u w:val="single"/>
                <w:lang w:eastAsia="zh-CN"/>
              </w:rPr>
            </w:pPr>
            <w:r>
              <w:rPr>
                <w:rFonts w:hint="eastAsia"/>
                <w:u w:val="single"/>
                <w:lang w:val="en-US" w:eastAsia="zh-CN"/>
              </w:rPr>
              <w:t>根据道路断面结构布置（规划断面调整为40m）、规范及片区道路建设管线常规做法；设计考虑将原规划双侧布置污水管道调整为单侧布置；计算设计污水管道管径为DN500。</w:t>
            </w:r>
          </w:p>
          <w:p>
            <w:pPr>
              <w:bidi w:val="0"/>
              <w:ind w:firstLine="482" w:firstLineChars="200"/>
              <w:rPr>
                <w:rFonts w:hint="eastAsia"/>
                <w:b/>
                <w:bCs/>
                <w:u w:val="single"/>
                <w:lang w:eastAsia="zh-CN"/>
              </w:rPr>
            </w:pPr>
            <w:r>
              <w:rPr>
                <w:rFonts w:hint="eastAsia"/>
                <w:b/>
                <w:bCs/>
                <w:u w:val="single"/>
                <w:lang w:val="en-US" w:eastAsia="zh-CN"/>
              </w:rPr>
              <w:t>3）</w:t>
            </w:r>
            <w:r>
              <w:rPr>
                <w:rFonts w:hint="eastAsia"/>
                <w:b/>
                <w:bCs/>
                <w:u w:val="single"/>
                <w:lang w:eastAsia="zh-CN"/>
              </w:rPr>
              <w:t>纬四路</w:t>
            </w:r>
          </w:p>
          <w:p>
            <w:pPr>
              <w:bidi w:val="0"/>
              <w:ind w:firstLine="480" w:firstLineChars="200"/>
              <w:rPr>
                <w:rFonts w:hint="eastAsia" w:eastAsia="宋体"/>
                <w:u w:val="single"/>
                <w:lang w:val="en-US" w:eastAsia="zh-CN"/>
              </w:rPr>
            </w:pPr>
            <w:r>
              <w:rPr>
                <w:rFonts w:hint="eastAsia" w:ascii="宋体" w:hAnsi="宋体" w:eastAsia="宋体" w:cs="宋体"/>
                <w:u w:val="single"/>
                <w:lang w:val="en-US" w:eastAsia="zh-CN"/>
              </w:rPr>
              <w:t>①</w:t>
            </w:r>
            <w:r>
              <w:rPr>
                <w:rFonts w:hint="eastAsia"/>
                <w:u w:val="single"/>
                <w:lang w:val="en-US" w:eastAsia="zh-CN"/>
              </w:rPr>
              <w:t>雨水规划：纬四路属官典坝中支流汇水区；道路及两侧地块雨水排同步建设桃园路雨水管，往百合水库支流及官典坝中支流，经盘龙湖最终汇入湘江。</w:t>
            </w:r>
          </w:p>
          <w:p>
            <w:pPr>
              <w:bidi w:val="0"/>
              <w:ind w:firstLine="480" w:firstLineChars="200"/>
              <w:rPr>
                <w:rFonts w:hint="eastAsia"/>
                <w:u w:val="single"/>
                <w:lang w:eastAsia="zh-CN"/>
              </w:rPr>
            </w:pPr>
            <w:r>
              <w:rPr>
                <w:rFonts w:hint="eastAsia" w:ascii="宋体" w:hAnsi="宋体" w:eastAsia="宋体" w:cs="宋体"/>
                <w:u w:val="single"/>
                <w:lang w:val="en-US" w:eastAsia="zh-CN"/>
              </w:rPr>
              <w:t>②</w:t>
            </w:r>
            <w:r>
              <w:rPr>
                <w:rFonts w:hint="eastAsia"/>
                <w:u w:val="single"/>
                <w:lang w:val="en-US" w:eastAsia="zh-CN"/>
              </w:rPr>
              <w:t>污水规划：纬四路位于云龙污水处理厂的纳污范围。道路两侧地块污水排桃园路同步建设污水管，经沿百合水库支流污水干管及官典坝中支流污水干管，最终汇入云龙污水处理厂。因原规划沿云龙大道污水干管（百合路～桃园路段）横穿百合水库，为减少工程投资，减少施工难度。本次设计考虑将该段污水管调整至纬四路（百合路～桃园路）段实施。因纬四路污水管道纵坡较小及上游高福村污水提升泵站接入，设计污水管管径调整为DN600。</w:t>
            </w:r>
          </w:p>
          <w:p>
            <w:pPr>
              <w:bidi w:val="0"/>
              <w:ind w:firstLine="482" w:firstLineChars="200"/>
              <w:rPr>
                <w:rFonts w:hint="eastAsia"/>
                <w:u w:val="single"/>
                <w:lang w:eastAsia="zh-CN"/>
              </w:rPr>
            </w:pPr>
            <w:r>
              <w:rPr>
                <w:rFonts w:hint="eastAsia"/>
                <w:b/>
                <w:bCs/>
                <w:u w:val="single"/>
                <w:lang w:val="en-US" w:eastAsia="zh-CN"/>
              </w:rPr>
              <w:t>4）</w:t>
            </w:r>
            <w:r>
              <w:rPr>
                <w:rFonts w:hint="eastAsia"/>
                <w:b/>
                <w:bCs/>
                <w:u w:val="single"/>
                <w:lang w:eastAsia="zh-CN"/>
              </w:rPr>
              <w:t>百合路</w:t>
            </w:r>
          </w:p>
          <w:p>
            <w:pPr>
              <w:bidi w:val="0"/>
              <w:ind w:firstLine="480" w:firstLineChars="200"/>
              <w:rPr>
                <w:rFonts w:hint="eastAsia"/>
                <w:u w:val="single"/>
                <w:lang w:val="en-US" w:eastAsia="zh-CN"/>
              </w:rPr>
            </w:pPr>
            <w:r>
              <w:rPr>
                <w:rFonts w:hint="eastAsia"/>
                <w:u w:val="single"/>
                <w:lang w:val="en-US" w:eastAsia="zh-CN"/>
              </w:rPr>
              <w:t>①雨水规划：</w:t>
            </w:r>
            <w:r>
              <w:rPr>
                <w:rFonts w:hint="eastAsia"/>
                <w:u w:val="single"/>
              </w:rPr>
              <w:t>百合</w:t>
            </w:r>
            <w:r>
              <w:rPr>
                <w:u w:val="single"/>
              </w:rPr>
              <w:t>路</w:t>
            </w:r>
            <w:r>
              <w:rPr>
                <w:rFonts w:hint="eastAsia"/>
                <w:u w:val="single"/>
              </w:rPr>
              <w:t>属官典</w:t>
            </w:r>
            <w:r>
              <w:rPr>
                <w:u w:val="single"/>
              </w:rPr>
              <w:t>坝中支流</w:t>
            </w:r>
            <w:r>
              <w:rPr>
                <w:rFonts w:hint="eastAsia"/>
                <w:u w:val="single"/>
              </w:rPr>
              <w:t>汇水区；道路</w:t>
            </w:r>
            <w:r>
              <w:rPr>
                <w:u w:val="single"/>
              </w:rPr>
              <w:t>及两侧地块</w:t>
            </w:r>
            <w:r>
              <w:rPr>
                <w:rFonts w:hint="eastAsia"/>
                <w:u w:val="single"/>
              </w:rPr>
              <w:t>雨水分段排百合水库，往官典坝中</w:t>
            </w:r>
            <w:r>
              <w:rPr>
                <w:u w:val="single"/>
              </w:rPr>
              <w:t>支流</w:t>
            </w:r>
            <w:r>
              <w:rPr>
                <w:rFonts w:hint="eastAsia"/>
                <w:u w:val="single"/>
              </w:rPr>
              <w:t>，经盘龙湖最终汇入湘江。</w:t>
            </w:r>
          </w:p>
          <w:p>
            <w:pPr>
              <w:bidi w:val="0"/>
              <w:ind w:firstLine="480" w:firstLineChars="200"/>
              <w:rPr>
                <w:rFonts w:hint="eastAsia"/>
                <w:u w:val="single"/>
                <w:lang w:val="en-US" w:eastAsia="zh-CN"/>
              </w:rPr>
            </w:pPr>
            <w:r>
              <w:rPr>
                <w:rFonts w:hint="eastAsia"/>
                <w:u w:val="single"/>
                <w:lang w:val="en-US" w:eastAsia="zh-CN"/>
              </w:rPr>
              <w:t>②污水规划：百合路位于云龙污水处理厂的纳污范围。道路两侧地块分段排纬四路同步建设污水管，经沿官典坝中支流污水干管，最终汇入云龙污水处理厂。</w:t>
            </w:r>
          </w:p>
          <w:p>
            <w:pPr>
              <w:bidi w:val="0"/>
              <w:ind w:firstLine="480" w:firstLineChars="200"/>
              <w:rPr>
                <w:u w:val="single"/>
              </w:rPr>
            </w:pPr>
            <w:r>
              <w:rPr>
                <w:rFonts w:hint="eastAsia"/>
                <w:u w:val="single"/>
                <w:lang w:val="en-US" w:eastAsia="zh-CN"/>
              </w:rPr>
              <w:t>1）</w:t>
            </w:r>
            <w:r>
              <w:rPr>
                <w:u w:val="single"/>
              </w:rPr>
              <w:t>根据规划，工程范围内及上游马鞍路已设计雨水干管汇集的片区的雨水，经百合水库，由北向南汇入官典坝中支流，排至盘龙湖。</w:t>
            </w:r>
          </w:p>
          <w:p>
            <w:pPr>
              <w:bidi w:val="0"/>
              <w:ind w:firstLine="480" w:firstLineChars="200"/>
              <w:rPr>
                <w:rFonts w:hint="eastAsia" w:eastAsia="宋体"/>
                <w:u w:val="single"/>
                <w:lang w:eastAsia="zh-CN"/>
              </w:rPr>
            </w:pPr>
            <w:r>
              <w:rPr>
                <w:rFonts w:hint="eastAsia"/>
                <w:u w:val="single"/>
                <w:lang w:val="en-US" w:eastAsia="zh-CN"/>
              </w:rPr>
              <w:t>2）</w:t>
            </w:r>
            <w:r>
              <w:rPr>
                <w:u w:val="single"/>
              </w:rPr>
              <w:t>根据规划，新建污水沿道路由南向北经规划道路污水管排至下游规划蛟龙路污水干管，并沿规划官典坝中污水干管排至云龙污水处理厂。因规划道路及下游污水干管暂无建设计划，中特物流和马鞍安置区等沿线及周边地块污水暂无排放出路；建议位于百合水库西南侧设置临时污水处理站；并由业主另行委托有相关资质的单位进行专项设计</w:t>
            </w:r>
            <w:r>
              <w:rPr>
                <w:rFonts w:hint="eastAsia"/>
                <w:u w:val="single"/>
                <w:lang w:eastAsia="zh-CN"/>
              </w:rPr>
              <w:t>。</w:t>
            </w:r>
          </w:p>
          <w:p>
            <w:pPr>
              <w:numPr>
                <w:ilvl w:val="0"/>
                <w:numId w:val="8"/>
              </w:numPr>
              <w:bidi w:val="0"/>
              <w:ind w:firstLine="482" w:firstLineChars="200"/>
              <w:rPr>
                <w:b/>
                <w:bCs/>
              </w:rPr>
            </w:pPr>
            <w:r>
              <w:rPr>
                <w:b/>
                <w:bCs/>
              </w:rPr>
              <w:t>排水管道布置</w:t>
            </w:r>
          </w:p>
          <w:p>
            <w:pPr>
              <w:bidi w:val="0"/>
              <w:ind w:firstLine="482" w:firstLineChars="200"/>
              <w:rPr>
                <w:rFonts w:hint="eastAsia"/>
                <w:u w:val="single"/>
                <w:lang w:eastAsia="zh-CN"/>
              </w:rPr>
            </w:pPr>
            <w:r>
              <w:rPr>
                <w:rFonts w:hint="eastAsia"/>
                <w:b/>
                <w:bCs/>
                <w:u w:val="single"/>
                <w:lang w:val="en-US" w:eastAsia="zh-CN"/>
              </w:rPr>
              <w:t>1）</w:t>
            </w:r>
            <w:r>
              <w:rPr>
                <w:rFonts w:hint="eastAsia"/>
                <w:b/>
                <w:bCs/>
                <w:u w:val="single"/>
                <w:lang w:eastAsia="zh-CN"/>
              </w:rPr>
              <w:t>马鞍路</w:t>
            </w:r>
            <w:r>
              <w:rPr>
                <w:rFonts w:hint="eastAsia"/>
                <w:u w:val="single"/>
                <w:lang w:eastAsia="zh-CN"/>
              </w:rPr>
              <w:t>：据道路路幅宽度、两侧规划用地（住宅及二类工业用地）及管线综合规划的布置情况，进行排水管道平面布置。雨水单侧布置于道路南侧非机动车行道下，检查井井中心距离车行道边线1.7m；污水单侧布置于道路北侧非机动车行道下，检查井井中心距离非车行道内边线1.7m。</w:t>
            </w:r>
          </w:p>
          <w:p>
            <w:pPr>
              <w:bidi w:val="0"/>
              <w:ind w:firstLine="482" w:firstLineChars="200"/>
              <w:rPr>
                <w:rFonts w:hint="eastAsia"/>
                <w:u w:val="single"/>
                <w:lang w:eastAsia="zh-CN"/>
              </w:rPr>
            </w:pPr>
            <w:r>
              <w:rPr>
                <w:rFonts w:hint="eastAsia"/>
                <w:b/>
                <w:bCs/>
                <w:u w:val="single"/>
                <w:lang w:val="en-US" w:eastAsia="zh-CN"/>
              </w:rPr>
              <w:t>2）</w:t>
            </w:r>
            <w:r>
              <w:rPr>
                <w:rFonts w:hint="eastAsia"/>
                <w:b/>
                <w:bCs/>
                <w:u w:val="single"/>
                <w:lang w:eastAsia="zh-CN"/>
              </w:rPr>
              <w:t>桃园路</w:t>
            </w:r>
            <w:r>
              <w:rPr>
                <w:rFonts w:hint="eastAsia"/>
                <w:u w:val="single"/>
                <w:lang w:eastAsia="zh-CN"/>
              </w:rPr>
              <w:t>：依据道路路幅宽度、两侧规划用地（二类工业用地）及管线综合规划的布置情况，进行排水管道平面布置。雨水单侧布置于道路东侧非机动车行道下，检查井井中心距离非机动车行道内边线1.0m；污水单侧布置于道路西侧非机动车行道下，检查井井中心距离非机动车行道内边线1.0m。</w:t>
            </w:r>
          </w:p>
          <w:p>
            <w:pPr>
              <w:bidi w:val="0"/>
              <w:ind w:firstLine="482" w:firstLineChars="200"/>
              <w:rPr>
                <w:rFonts w:hint="eastAsia"/>
                <w:u w:val="single"/>
                <w:lang w:eastAsia="zh-CN"/>
              </w:rPr>
            </w:pPr>
            <w:r>
              <w:rPr>
                <w:rFonts w:hint="eastAsia"/>
                <w:b/>
                <w:bCs/>
                <w:u w:val="single"/>
                <w:lang w:val="en-US" w:eastAsia="zh-CN"/>
              </w:rPr>
              <w:t>3）</w:t>
            </w:r>
            <w:r>
              <w:rPr>
                <w:rFonts w:hint="eastAsia"/>
                <w:b/>
                <w:bCs/>
                <w:u w:val="single"/>
                <w:lang w:eastAsia="zh-CN"/>
              </w:rPr>
              <w:t>纬四路</w:t>
            </w:r>
            <w:r>
              <w:rPr>
                <w:rFonts w:hint="eastAsia"/>
                <w:u w:val="single"/>
                <w:lang w:eastAsia="zh-CN"/>
              </w:rPr>
              <w:t>：依据道路路幅宽度、两侧规划用地（绿地及二类工业用地）及管线综合规划的布置情况，进行排水管道平面布置。雨水单侧布置于道路南侧机动车行道下，检查井井中心距离机动车行道边线1.5m；污水单侧布置于道路北侧机动车行道下，检查井井中心距离机动车行道边线1.5m。</w:t>
            </w:r>
          </w:p>
          <w:p>
            <w:pPr>
              <w:bidi w:val="0"/>
              <w:ind w:firstLine="482" w:firstLineChars="200"/>
              <w:rPr>
                <w:u w:val="single"/>
              </w:rPr>
            </w:pPr>
            <w:r>
              <w:rPr>
                <w:rFonts w:hint="eastAsia"/>
                <w:b/>
                <w:bCs/>
                <w:u w:val="single"/>
                <w:lang w:val="en-US" w:eastAsia="zh-CN"/>
              </w:rPr>
              <w:t>4）</w:t>
            </w:r>
            <w:r>
              <w:rPr>
                <w:rFonts w:hint="eastAsia"/>
                <w:b/>
                <w:bCs/>
                <w:u w:val="single"/>
                <w:lang w:eastAsia="zh-CN"/>
              </w:rPr>
              <w:t>百合路</w:t>
            </w:r>
            <w:r>
              <w:rPr>
                <w:rFonts w:hint="eastAsia"/>
                <w:u w:val="single"/>
                <w:lang w:eastAsia="zh-CN"/>
              </w:rPr>
              <w:t>：依据道路路幅宽度、两侧规划用地（物流仓储用地及二类工业用地）及管线综合规划的布置情况，进行排水管道平面布置。雨水单侧布置于道路西侧非机动车行道下，检查井井中心距离车行道边线1.7m；污水单侧布置于道路东侧非机动车行道下，检查井井中心距离非车行道内边线1.7m。</w:t>
            </w:r>
          </w:p>
          <w:p>
            <w:pPr>
              <w:bidi w:val="0"/>
              <w:ind w:firstLine="480" w:firstLineChars="200"/>
              <w:rPr>
                <w:rFonts w:hint="eastAsia" w:eastAsia="宋体"/>
                <w:b/>
                <w:bCs/>
                <w:lang w:eastAsia="zh-CN"/>
              </w:rPr>
            </w:pPr>
            <w:r>
              <w:t>雨、污水预留井设置：为方便街区雨、污水的接入，结合规划用地性质和现状地块情况，在合适位置预留雨、污水井和横支管。各预留井均采用Φ1250圆形混凝土井，井中心距离道路人行道外边线为2.0m。预留雨水管管径一般为DN500</w:t>
            </w:r>
            <w:r>
              <w:rPr>
                <w:rFonts w:hint="eastAsia"/>
                <w:lang w:eastAsia="zh-CN"/>
              </w:rPr>
              <w:t>，</w:t>
            </w:r>
            <w:r>
              <w:t>污水管管径一般为DN400。</w:t>
            </w:r>
          </w:p>
          <w:p>
            <w:pPr>
              <w:bidi w:val="0"/>
              <w:ind w:firstLine="482" w:firstLineChars="200"/>
              <w:rPr>
                <w:b/>
                <w:bCs/>
              </w:rPr>
            </w:pPr>
            <w:r>
              <w:rPr>
                <w:b/>
                <w:bCs/>
              </w:rPr>
              <w:t>（</w:t>
            </w:r>
            <w:r>
              <w:rPr>
                <w:rFonts w:hint="eastAsia"/>
                <w:b/>
                <w:bCs/>
                <w:lang w:val="en-US" w:eastAsia="zh-CN"/>
              </w:rPr>
              <w:t>6</w:t>
            </w:r>
            <w:r>
              <w:rPr>
                <w:b/>
                <w:bCs/>
              </w:rPr>
              <w:t>）排水纵断面设计</w:t>
            </w:r>
          </w:p>
          <w:p>
            <w:pPr>
              <w:bidi w:val="0"/>
              <w:ind w:firstLine="482" w:firstLineChars="200"/>
              <w:rPr>
                <w:rFonts w:hint="eastAsia"/>
                <w:u w:val="none"/>
                <w:lang w:eastAsia="zh-CN"/>
              </w:rPr>
            </w:pPr>
            <w:r>
              <w:rPr>
                <w:rFonts w:hint="eastAsia"/>
                <w:b/>
                <w:bCs/>
                <w:u w:val="none"/>
                <w:lang w:val="en-US" w:eastAsia="zh-CN"/>
              </w:rPr>
              <w:t>1）</w:t>
            </w:r>
            <w:r>
              <w:rPr>
                <w:rFonts w:hint="eastAsia"/>
                <w:b/>
                <w:bCs/>
                <w:u w:val="none"/>
                <w:lang w:eastAsia="zh-CN"/>
              </w:rPr>
              <w:t>马鞍路</w:t>
            </w:r>
            <w:r>
              <w:rPr>
                <w:rFonts w:hint="eastAsia"/>
                <w:u w:val="none"/>
                <w:lang w:eastAsia="zh-CN"/>
              </w:rPr>
              <w:t>：排水管道尽量顺道路纵坡敷设。雨水管道管内底纵坡0.3%～2.0%，埋深2.75～3.27m；污水管道管内底纵坡0.90%～1.80%，埋深2.50～3.00m。</w:t>
            </w:r>
          </w:p>
          <w:p>
            <w:pPr>
              <w:bidi w:val="0"/>
              <w:ind w:firstLine="482" w:firstLineChars="200"/>
              <w:rPr>
                <w:rFonts w:hint="eastAsia"/>
                <w:u w:val="none"/>
                <w:lang w:eastAsia="zh-CN"/>
              </w:rPr>
            </w:pPr>
            <w:r>
              <w:rPr>
                <w:rFonts w:hint="eastAsia"/>
                <w:b/>
                <w:bCs/>
                <w:u w:val="none"/>
                <w:lang w:val="en-US" w:eastAsia="zh-CN"/>
              </w:rPr>
              <w:t>2）</w:t>
            </w:r>
            <w:r>
              <w:rPr>
                <w:rFonts w:hint="eastAsia"/>
                <w:b/>
                <w:bCs/>
                <w:u w:val="none"/>
                <w:lang w:eastAsia="zh-CN"/>
              </w:rPr>
              <w:t>桃园路</w:t>
            </w:r>
            <w:r>
              <w:rPr>
                <w:rFonts w:hint="eastAsia"/>
                <w:u w:val="none"/>
                <w:lang w:eastAsia="zh-CN"/>
              </w:rPr>
              <w:t>：排水管道尽量顺道路纵坡敷设。雨水管道管内底纵坡0.49%～1.39%，埋深2.83～4.95m；污水管道管内底纵坡0.30%～1.280%，埋深3.13～4.38m。</w:t>
            </w:r>
          </w:p>
          <w:p>
            <w:pPr>
              <w:bidi w:val="0"/>
              <w:ind w:firstLine="482" w:firstLineChars="200"/>
              <w:rPr>
                <w:rFonts w:hint="eastAsia"/>
                <w:u w:val="none"/>
                <w:lang w:eastAsia="zh-CN"/>
              </w:rPr>
            </w:pPr>
            <w:r>
              <w:rPr>
                <w:rFonts w:hint="eastAsia"/>
                <w:b/>
                <w:bCs/>
                <w:u w:val="none"/>
                <w:lang w:val="en-US" w:eastAsia="zh-CN"/>
              </w:rPr>
              <w:t>3）</w:t>
            </w:r>
            <w:r>
              <w:rPr>
                <w:rFonts w:hint="eastAsia"/>
                <w:b/>
                <w:bCs/>
                <w:u w:val="none"/>
                <w:lang w:eastAsia="zh-CN"/>
              </w:rPr>
              <w:t>纬四路</w:t>
            </w:r>
            <w:r>
              <w:rPr>
                <w:rFonts w:hint="eastAsia"/>
                <w:u w:val="none"/>
                <w:lang w:eastAsia="zh-CN"/>
              </w:rPr>
              <w:t>：排水管道尽量顺道路纵坡敷设。雨水管道管内底纵坡0.3%～0.86%，埋深2.97～3.18m；污水管道管内底纵坡0.30%～0.86%，埋深2.95～4.29m。</w:t>
            </w:r>
          </w:p>
          <w:p>
            <w:pPr>
              <w:bidi w:val="0"/>
              <w:ind w:firstLine="482" w:firstLineChars="200"/>
              <w:rPr>
                <w:u w:val="none"/>
              </w:rPr>
            </w:pPr>
            <w:r>
              <w:rPr>
                <w:rFonts w:hint="eastAsia"/>
                <w:b/>
                <w:bCs/>
                <w:u w:val="none"/>
                <w:lang w:val="en-US" w:eastAsia="zh-CN"/>
              </w:rPr>
              <w:t>4）</w:t>
            </w:r>
            <w:r>
              <w:rPr>
                <w:rFonts w:hint="eastAsia"/>
                <w:b/>
                <w:bCs/>
                <w:u w:val="none"/>
                <w:lang w:eastAsia="zh-CN"/>
              </w:rPr>
              <w:t>百合路</w:t>
            </w:r>
            <w:r>
              <w:rPr>
                <w:rFonts w:hint="eastAsia"/>
                <w:u w:val="none"/>
                <w:lang w:eastAsia="zh-CN"/>
              </w:rPr>
              <w:t>：排水管道尽量顺道路纵坡敷设。雨水管道管内底纵坡0.3%～1.0%，埋深2.75～3.27m；污水管道管内底纵坡0.20%～0.60%，埋深1.55～4.10m。</w:t>
            </w:r>
          </w:p>
          <w:p>
            <w:pPr>
              <w:bidi w:val="0"/>
              <w:ind w:firstLine="482" w:firstLineChars="200"/>
              <w:rPr>
                <w:b/>
                <w:bCs/>
              </w:rPr>
            </w:pPr>
            <w:r>
              <w:rPr>
                <w:b/>
                <w:bCs/>
              </w:rPr>
              <w:t>（</w:t>
            </w:r>
            <w:r>
              <w:rPr>
                <w:rFonts w:hint="eastAsia"/>
                <w:b/>
                <w:bCs/>
                <w:lang w:val="en-US" w:eastAsia="zh-CN"/>
              </w:rPr>
              <w:t>7</w:t>
            </w:r>
            <w:r>
              <w:rPr>
                <w:b/>
                <w:bCs/>
              </w:rPr>
              <w:t>）管径及管材</w:t>
            </w:r>
          </w:p>
          <w:p>
            <w:pPr>
              <w:bidi w:val="0"/>
              <w:ind w:firstLine="482" w:firstLineChars="200"/>
              <w:rPr>
                <w:rFonts w:hint="eastAsia"/>
                <w:u w:val="none"/>
                <w:lang w:eastAsia="zh-CN"/>
              </w:rPr>
            </w:pPr>
            <w:r>
              <w:rPr>
                <w:rFonts w:hint="eastAsia"/>
                <w:b/>
                <w:bCs/>
                <w:u w:val="none"/>
                <w:lang w:val="en-US" w:eastAsia="zh-CN"/>
              </w:rPr>
              <w:t>1）</w:t>
            </w:r>
            <w:r>
              <w:rPr>
                <w:rFonts w:hint="eastAsia"/>
                <w:b/>
                <w:bCs/>
                <w:u w:val="none"/>
                <w:lang w:eastAsia="zh-CN"/>
              </w:rPr>
              <w:t>马鞍路</w:t>
            </w:r>
            <w:r>
              <w:rPr>
                <w:rFonts w:hint="eastAsia"/>
                <w:u w:val="none"/>
                <w:lang w:eastAsia="zh-CN"/>
              </w:rPr>
              <w:t>：雨水管管径DN600～d1000，污水管管径DN400。</w:t>
            </w:r>
          </w:p>
          <w:p>
            <w:pPr>
              <w:bidi w:val="0"/>
              <w:ind w:firstLine="480" w:firstLineChars="200"/>
              <w:rPr>
                <w:rFonts w:hint="eastAsia"/>
                <w:u w:val="none"/>
                <w:lang w:eastAsia="zh-CN"/>
              </w:rPr>
            </w:pPr>
            <w:r>
              <w:rPr>
                <w:rFonts w:hint="eastAsia"/>
                <w:u w:val="none"/>
                <w:lang w:eastAsia="zh-CN"/>
              </w:rPr>
              <w:t>雨水管管材：当DN600≤直径≤DN800时，采用HDPE缠绕结构壁管（环刚度不小于SN8，A型管），承插密封圈连接，粗砂垫层基础。当DN≥1000mm时，采用II级钢筋混凝土管(企口管)，180°混凝土带型基础，钢丝网水泥砂浆抹带接口，砂砾石垫层。</w:t>
            </w:r>
          </w:p>
          <w:p>
            <w:pPr>
              <w:bidi w:val="0"/>
              <w:ind w:firstLine="480" w:firstLineChars="200"/>
              <w:rPr>
                <w:rFonts w:hint="eastAsia"/>
                <w:u w:val="none"/>
                <w:lang w:eastAsia="zh-CN"/>
              </w:rPr>
            </w:pPr>
            <w:r>
              <w:rPr>
                <w:rFonts w:hint="eastAsia"/>
                <w:u w:val="none"/>
                <w:lang w:eastAsia="zh-CN"/>
              </w:rPr>
              <w:t>污水管管材：当DN400≤直径≤DN800时，采用HDPE多肋增强缠绕波纹管 （环刚度不小于SN8，B型管），承插密封圈连接，粗砂垫层基础。</w:t>
            </w:r>
          </w:p>
          <w:p>
            <w:pPr>
              <w:bidi w:val="0"/>
              <w:ind w:firstLine="482" w:firstLineChars="200"/>
              <w:rPr>
                <w:rFonts w:hint="eastAsia"/>
                <w:u w:val="none"/>
                <w:lang w:eastAsia="zh-CN"/>
              </w:rPr>
            </w:pPr>
            <w:r>
              <w:rPr>
                <w:rFonts w:hint="eastAsia"/>
                <w:b/>
                <w:bCs/>
                <w:u w:val="none"/>
                <w:lang w:val="en-US" w:eastAsia="zh-CN"/>
              </w:rPr>
              <w:t>2）</w:t>
            </w:r>
            <w:r>
              <w:rPr>
                <w:rFonts w:hint="eastAsia"/>
                <w:b/>
                <w:bCs/>
                <w:u w:val="none"/>
                <w:lang w:eastAsia="zh-CN"/>
              </w:rPr>
              <w:t>桃园路</w:t>
            </w:r>
            <w:r>
              <w:rPr>
                <w:rFonts w:hint="eastAsia"/>
                <w:u w:val="none"/>
                <w:lang w:eastAsia="zh-CN"/>
              </w:rPr>
              <w:t>：雨水管管径DN600～d1200，污水管管径DN400～DN600。</w:t>
            </w:r>
          </w:p>
          <w:p>
            <w:pPr>
              <w:bidi w:val="0"/>
              <w:ind w:firstLine="480" w:firstLineChars="200"/>
              <w:rPr>
                <w:rFonts w:hint="eastAsia"/>
                <w:u w:val="none"/>
                <w:lang w:eastAsia="zh-CN"/>
              </w:rPr>
            </w:pPr>
            <w:r>
              <w:rPr>
                <w:rFonts w:hint="eastAsia"/>
                <w:u w:val="none"/>
                <w:lang w:eastAsia="zh-CN"/>
              </w:rPr>
              <w:t>雨水管管材：当DN600≤直径≤DN1000时，采用HDPE缠绕结构壁管（环刚度不小于SN8，A型8管），承插密封圈连接，粗砂垫层基础。当DN≥1200mm时，采用II级钢筋混凝土管(企口管)，180°混凝土带型基础，钢丝网水泥砂浆抹带接口，砂砾石垫层。</w:t>
            </w:r>
          </w:p>
          <w:p>
            <w:pPr>
              <w:bidi w:val="0"/>
              <w:ind w:firstLine="480" w:firstLineChars="200"/>
              <w:rPr>
                <w:rFonts w:hint="eastAsia"/>
                <w:u w:val="none"/>
                <w:lang w:eastAsia="zh-CN"/>
              </w:rPr>
            </w:pPr>
            <w:r>
              <w:rPr>
                <w:rFonts w:hint="eastAsia"/>
                <w:u w:val="none"/>
                <w:lang w:eastAsia="zh-CN"/>
              </w:rPr>
              <w:t>污水管管材：当DN400≤直径≤DN600时，采用HDPE多肋增强缠绕波纹管 （环刚度不小于SN8，B型管），承插密封圈连接，粗砂垫层基础。</w:t>
            </w:r>
          </w:p>
          <w:p>
            <w:pPr>
              <w:bidi w:val="0"/>
              <w:ind w:firstLine="482" w:firstLineChars="200"/>
              <w:rPr>
                <w:rFonts w:hint="eastAsia"/>
                <w:u w:val="none"/>
                <w:lang w:eastAsia="zh-CN"/>
              </w:rPr>
            </w:pPr>
            <w:r>
              <w:rPr>
                <w:rFonts w:hint="eastAsia"/>
                <w:b/>
                <w:bCs/>
                <w:u w:val="none"/>
                <w:lang w:val="en-US" w:eastAsia="zh-CN"/>
              </w:rPr>
              <w:t>3）</w:t>
            </w:r>
            <w:r>
              <w:rPr>
                <w:rFonts w:hint="eastAsia"/>
                <w:b/>
                <w:bCs/>
                <w:u w:val="none"/>
                <w:lang w:eastAsia="zh-CN"/>
              </w:rPr>
              <w:t>纬四路</w:t>
            </w:r>
            <w:r>
              <w:rPr>
                <w:rFonts w:hint="eastAsia"/>
                <w:u w:val="none"/>
                <w:lang w:eastAsia="zh-CN"/>
              </w:rPr>
              <w:t>：雨水管管径DN600～d1000，污水管管径DN600。</w:t>
            </w:r>
          </w:p>
          <w:p>
            <w:pPr>
              <w:bidi w:val="0"/>
              <w:ind w:firstLine="480" w:firstLineChars="200"/>
              <w:rPr>
                <w:rFonts w:hint="eastAsia"/>
                <w:u w:val="none"/>
                <w:lang w:eastAsia="zh-CN"/>
              </w:rPr>
            </w:pPr>
            <w:r>
              <w:rPr>
                <w:rFonts w:hint="eastAsia"/>
                <w:u w:val="none"/>
                <w:lang w:eastAsia="zh-CN"/>
              </w:rPr>
              <w:t>雨水管管材：当DN600≤直径≤DN800时，采用HDPE缠绕结构壁管（环刚度不小于SN8，A型管），承插密封圈连接，粗砂垫层基础。当DN≥1000mm时，采用II级钢筋混凝土管(企口管)，180°混凝土带型基础，钢丝网水泥砂浆抹带接口，砂砾石垫层。</w:t>
            </w:r>
          </w:p>
          <w:p>
            <w:pPr>
              <w:bidi w:val="0"/>
              <w:ind w:firstLine="480" w:firstLineChars="200"/>
              <w:rPr>
                <w:rFonts w:hint="eastAsia"/>
                <w:u w:val="none"/>
                <w:lang w:eastAsia="zh-CN"/>
              </w:rPr>
            </w:pPr>
            <w:r>
              <w:rPr>
                <w:rFonts w:hint="eastAsia"/>
                <w:u w:val="none"/>
                <w:lang w:eastAsia="zh-CN"/>
              </w:rPr>
              <w:t>污水管管材：当DN400≤直径≤DN800时，采用HDPE多肋增强缠绕波纹管 （环刚度不小于SN8/12.5，B型管），承插密封圈连接，粗砂垫层基础。拖管段采用PE管，SDR11，壁厚64.5mm。</w:t>
            </w:r>
          </w:p>
          <w:p>
            <w:pPr>
              <w:bidi w:val="0"/>
              <w:ind w:firstLine="482" w:firstLineChars="200"/>
              <w:rPr>
                <w:rFonts w:hint="eastAsia"/>
                <w:u w:val="none"/>
                <w:lang w:eastAsia="zh-CN"/>
              </w:rPr>
            </w:pPr>
            <w:r>
              <w:rPr>
                <w:rFonts w:hint="eastAsia"/>
                <w:b/>
                <w:bCs/>
                <w:u w:val="none"/>
                <w:lang w:val="en-US" w:eastAsia="zh-CN"/>
              </w:rPr>
              <w:t>4）</w:t>
            </w:r>
            <w:r>
              <w:rPr>
                <w:rFonts w:hint="eastAsia"/>
                <w:b/>
                <w:bCs/>
                <w:u w:val="none"/>
                <w:lang w:eastAsia="zh-CN"/>
              </w:rPr>
              <w:t>百合路</w:t>
            </w:r>
            <w:r>
              <w:rPr>
                <w:rFonts w:hint="eastAsia"/>
                <w:u w:val="none"/>
                <w:lang w:eastAsia="zh-CN"/>
              </w:rPr>
              <w:t>：雨水管管径DN600～d1800，污水管管径DN400～DN600。</w:t>
            </w:r>
          </w:p>
          <w:p>
            <w:pPr>
              <w:bidi w:val="0"/>
              <w:ind w:firstLine="480" w:firstLineChars="200"/>
              <w:rPr>
                <w:rFonts w:hint="eastAsia"/>
                <w:u w:val="none"/>
                <w:lang w:eastAsia="zh-CN"/>
              </w:rPr>
            </w:pPr>
            <w:r>
              <w:rPr>
                <w:rFonts w:hint="eastAsia"/>
                <w:u w:val="none"/>
                <w:lang w:eastAsia="zh-CN"/>
              </w:rPr>
              <w:t>雨水管管材：排水管道≤DN1000时，采用HDPE缠绕结构壁管（环刚度不小于SN8/12.5，A型管），承插密封圈连接，粗砂垫层基础。当DN≥1200mm时，采用II级钢筋混凝土管(企口管)，180°混凝土带型基础，承插橡胶圈接口，砂砾石垫层。</w:t>
            </w:r>
          </w:p>
          <w:p>
            <w:pPr>
              <w:bidi w:val="0"/>
              <w:ind w:firstLine="480" w:firstLineChars="200"/>
              <w:rPr>
                <w:rFonts w:hint="eastAsia"/>
                <w:u w:val="none"/>
                <w:lang w:eastAsia="zh-CN"/>
              </w:rPr>
            </w:pPr>
            <w:r>
              <w:rPr>
                <w:rFonts w:hint="eastAsia"/>
                <w:u w:val="none"/>
                <w:lang w:eastAsia="zh-CN"/>
              </w:rPr>
              <w:t>污水管管材：采用HDPE多肋增强缠绕波纹管（环刚度不小于SN8/12.5，B型管），承插密封圈连接，粗砂垫层基础</w:t>
            </w:r>
          </w:p>
          <w:p>
            <w:pPr>
              <w:bidi w:val="0"/>
              <w:ind w:firstLine="480" w:firstLineChars="200"/>
              <w:rPr>
                <w:rFonts w:hint="eastAsia"/>
              </w:rPr>
            </w:pPr>
            <w:r>
              <w:rPr>
                <w:rFonts w:hint="eastAsia"/>
              </w:rPr>
              <w:t>排水塑料管管顶覆土≤3.5m时，要求管道环刚度不小于SN8，＞3.5m时，要求管道环刚度不小于SN12.5；冲击性能（TIR）/%≤10、蠕变比率≤4；环柔性要求：试样圆滑，无反向弯曲及破裂，两壁无脱开。</w:t>
            </w:r>
          </w:p>
          <w:p>
            <w:pPr>
              <w:ind w:firstLine="560"/>
              <w:rPr>
                <w:b/>
                <w:bCs/>
              </w:rPr>
            </w:pPr>
            <w:r>
              <w:rPr>
                <w:b/>
                <w:bCs/>
              </w:rPr>
              <w:t>（</w:t>
            </w:r>
            <w:r>
              <w:rPr>
                <w:rFonts w:hint="eastAsia"/>
                <w:b/>
                <w:bCs/>
                <w:lang w:val="en-US" w:eastAsia="zh-CN"/>
              </w:rPr>
              <w:t>8</w:t>
            </w:r>
            <w:r>
              <w:rPr>
                <w:b/>
                <w:bCs/>
              </w:rPr>
              <w:t>）排水构筑物设计</w:t>
            </w:r>
          </w:p>
          <w:p>
            <w:pPr>
              <w:bidi w:val="0"/>
              <w:ind w:firstLine="480" w:firstLineChars="200"/>
            </w:pPr>
            <w:r>
              <w:t>1）检查井设计</w:t>
            </w:r>
          </w:p>
          <w:p>
            <w:pPr>
              <w:bidi w:val="0"/>
              <w:ind w:firstLine="480" w:firstLineChars="200"/>
            </w:pPr>
            <w:r>
              <w:t>排水管道上每隔36m左右设置一座检查井。排水检查井均采用钢筋混凝土检查井；其中，管道直径≤D600采用φ1250雨水检查井；当D800≤直径≤D1000采用φ1500检查井；直径=d1500采用1800×1100mm雨水检查井，井选型及做法参见06MS201-3。</w:t>
            </w:r>
          </w:p>
          <w:p>
            <w:pPr>
              <w:bidi w:val="0"/>
              <w:ind w:firstLine="480" w:firstLineChars="200"/>
            </w:pPr>
            <w:r>
              <w:t>井盖及井座：位于机动车道下采用球墨铸铁可调式防沉降双层井盖， E600KN标准（试验荷载不小于60T），子盖镂空可透水，试验荷载不小于34KN。其他位置采用普通复合材料双层井座井盖（要求颜色与所在位置处周边环境统一协调），主盖采用D400KN标准（试验荷载不小于40T）；子盖采用D34KN标准。</w:t>
            </w:r>
          </w:p>
          <w:p>
            <w:pPr>
              <w:bidi w:val="0"/>
              <w:ind w:firstLine="480" w:firstLineChars="200"/>
            </w:pPr>
            <w:r>
              <w:t>道路雨、污水检查井在有支管接入处及适当位置设置沉泥井，沉泥井做法参考对应检查井，检查井底板降0.5m。</w:t>
            </w:r>
          </w:p>
          <w:p>
            <w:pPr>
              <w:bidi w:val="0"/>
              <w:ind w:firstLine="480" w:firstLineChars="200"/>
            </w:pPr>
            <w:r>
              <w:t>2）雨水口井设计</w:t>
            </w:r>
          </w:p>
          <w:p>
            <w:pPr>
              <w:bidi w:val="0"/>
              <w:ind w:firstLine="480" w:firstLineChars="200"/>
            </w:pPr>
            <w:r>
              <w:t>对应雨水检查井上游2m处，于车行道两侧侧石处各设置雨水口井，雨水口井做法参照国标图集06MS201-8施工。雨水口连管采用DN300 HDPE缠绕结构壁管（环刚度不小于SN8，A型管），电热熔带连接，粗砂基础，管内底纵坡不小于1.0%。雨水口井一般采用750×450偏沟式双箅雨水口井，配防盗型球墨铸铁雨水口井圈与篦子，D400KN型标准（荷载不小于400KN）。</w:t>
            </w:r>
          </w:p>
          <w:p>
            <w:pPr>
              <w:bidi w:val="0"/>
              <w:ind w:firstLine="482" w:firstLineChars="200"/>
              <w:rPr>
                <w:b/>
                <w:bCs/>
              </w:rPr>
            </w:pPr>
            <w:r>
              <w:rPr>
                <w:rFonts w:hint="eastAsia"/>
                <w:b/>
                <w:bCs/>
                <w:lang w:eastAsia="zh-CN"/>
              </w:rPr>
              <w:t>（</w:t>
            </w:r>
            <w:r>
              <w:rPr>
                <w:rFonts w:hint="eastAsia"/>
                <w:b/>
                <w:bCs/>
                <w:lang w:val="en-US" w:eastAsia="zh-CN"/>
              </w:rPr>
              <w:t>9</w:t>
            </w:r>
            <w:r>
              <w:rPr>
                <w:rFonts w:hint="eastAsia"/>
                <w:b/>
                <w:bCs/>
                <w:lang w:eastAsia="zh-CN"/>
              </w:rPr>
              <w:t>）</w:t>
            </w:r>
            <w:r>
              <w:rPr>
                <w:b/>
                <w:bCs/>
              </w:rPr>
              <w:t>临时排水沟设计</w:t>
            </w:r>
          </w:p>
          <w:p>
            <w:pPr>
              <w:bidi w:val="0"/>
              <w:ind w:firstLine="480" w:firstLineChars="200"/>
            </w:pPr>
            <w:r>
              <w:t>考虑近、远期的有机结合，在道路两厢土地尚未开发完善时，于道路两侧填方地段设置临时路基排水边沟系统，以拦截坡面雨水径流，避免对路基、民宅、农田、菜地造成冲刷。随开发程度的不断深入，路基边沟可逐步废除。</w:t>
            </w:r>
          </w:p>
          <w:p>
            <w:pPr>
              <w:bidi w:val="0"/>
              <w:ind w:firstLine="480" w:firstLineChars="200"/>
            </w:pPr>
            <w:r>
              <w:t>填方路段排水边沟一般采用矩形砖砌排水明沟，断面尺寸为W=0.4~0.6m。排水边沟要求与现状水系和拟建的雨水预留管连接，沟管连接处，管道两侧边沟（1m范围）沟底下沉0.8m。</w:t>
            </w:r>
          </w:p>
          <w:p>
            <w:pPr>
              <w:bidi w:val="0"/>
              <w:ind w:firstLine="482" w:firstLineChars="200"/>
              <w:rPr>
                <w:rFonts w:hint="default"/>
              </w:rPr>
            </w:pPr>
            <w:r>
              <w:rPr>
                <w:b/>
                <w:bCs/>
                <w:color w:val="000000"/>
                <w:sz w:val="24"/>
              </w:rPr>
              <w:t>2.3.</w:t>
            </w:r>
            <w:r>
              <w:rPr>
                <w:rFonts w:hint="eastAsia"/>
                <w:b/>
                <w:bCs/>
                <w:color w:val="000000"/>
                <w:sz w:val="24"/>
                <w:lang w:val="en-US" w:eastAsia="zh-CN"/>
              </w:rPr>
              <w:t>3</w:t>
            </w:r>
            <w:r>
              <w:rPr>
                <w:rFonts w:hint="eastAsia"/>
                <w:b/>
                <w:bCs/>
                <w:color w:val="000000"/>
                <w:sz w:val="24"/>
              </w:rPr>
              <w:t>管线综合工程</w:t>
            </w:r>
          </w:p>
          <w:p>
            <w:pPr>
              <w:bidi w:val="0"/>
              <w:ind w:firstLine="482" w:firstLineChars="200"/>
              <w:rPr>
                <w:rFonts w:hint="default"/>
                <w:b/>
                <w:bCs/>
              </w:rPr>
            </w:pPr>
            <w:bookmarkStart w:id="1" w:name="_Toc353267820"/>
            <w:r>
              <w:rPr>
                <w:rFonts w:hint="eastAsia"/>
                <w:b/>
                <w:bCs/>
                <w:lang w:eastAsia="zh-CN"/>
              </w:rPr>
              <w:t>（</w:t>
            </w:r>
            <w:r>
              <w:rPr>
                <w:rFonts w:hint="eastAsia"/>
                <w:b/>
                <w:bCs/>
                <w:lang w:val="en-US" w:eastAsia="zh-CN"/>
              </w:rPr>
              <w:t>1</w:t>
            </w:r>
            <w:r>
              <w:rPr>
                <w:rFonts w:hint="eastAsia"/>
                <w:b/>
                <w:bCs/>
                <w:lang w:eastAsia="zh-CN"/>
              </w:rPr>
              <w:t>）</w:t>
            </w:r>
            <w:r>
              <w:rPr>
                <w:rFonts w:hint="default"/>
                <w:b/>
                <w:bCs/>
              </w:rPr>
              <w:t>设计内容</w:t>
            </w:r>
            <w:bookmarkEnd w:id="1"/>
          </w:p>
          <w:p>
            <w:pPr>
              <w:bidi w:val="0"/>
              <w:ind w:firstLine="480" w:firstLineChars="200"/>
              <w:rPr>
                <w:rFonts w:hint="default"/>
              </w:rPr>
            </w:pPr>
            <w:r>
              <w:rPr>
                <w:rFonts w:hint="default"/>
              </w:rPr>
              <w:t>依据管线综合相关规范和各管线部门专业规划要求，本次拟建道路共考虑了七种城市地下工程管线的布置：包括给水、燃气、电力、通信（集约化）、路灯、雨水、污水。</w:t>
            </w:r>
          </w:p>
          <w:p>
            <w:pPr>
              <w:bidi w:val="0"/>
              <w:ind w:firstLine="482" w:firstLineChars="200"/>
              <w:rPr>
                <w:rFonts w:hint="default"/>
                <w:b/>
                <w:bCs/>
              </w:rPr>
            </w:pPr>
            <w:bookmarkStart w:id="2" w:name="_Toc353267821"/>
            <w:r>
              <w:rPr>
                <w:rFonts w:hint="eastAsia"/>
                <w:b/>
                <w:bCs/>
                <w:lang w:eastAsia="zh-CN"/>
              </w:rPr>
              <w:t>（</w:t>
            </w:r>
            <w:r>
              <w:rPr>
                <w:rFonts w:hint="eastAsia"/>
                <w:b/>
                <w:bCs/>
                <w:lang w:val="en-US" w:eastAsia="zh-CN"/>
              </w:rPr>
              <w:t>2</w:t>
            </w:r>
            <w:r>
              <w:rPr>
                <w:rFonts w:hint="eastAsia"/>
                <w:b/>
                <w:bCs/>
                <w:lang w:eastAsia="zh-CN"/>
              </w:rPr>
              <w:t>）</w:t>
            </w:r>
            <w:r>
              <w:rPr>
                <w:rFonts w:hint="default"/>
                <w:b/>
                <w:bCs/>
              </w:rPr>
              <w:t>布置原则</w:t>
            </w:r>
            <w:bookmarkEnd w:id="2"/>
          </w:p>
          <w:p>
            <w:pPr>
              <w:bidi w:val="0"/>
              <w:ind w:firstLine="480" w:firstLineChars="200"/>
              <w:rPr>
                <w:rFonts w:hint="default"/>
              </w:rPr>
            </w:pPr>
            <w:bookmarkStart w:id="3" w:name="_Toc353267822"/>
            <w:r>
              <w:rPr>
                <w:rFonts w:hint="default"/>
              </w:rPr>
              <w:t>1）根据用地规划，合理布置各种管线，管线尽量敷设于路幅范围以内。</w:t>
            </w:r>
          </w:p>
          <w:p>
            <w:pPr>
              <w:bidi w:val="0"/>
              <w:ind w:firstLine="480" w:firstLineChars="200"/>
              <w:rPr>
                <w:rFonts w:hint="default"/>
              </w:rPr>
            </w:pPr>
            <w:r>
              <w:rPr>
                <w:rFonts w:hint="default"/>
              </w:rPr>
              <w:t>2）管线集约化，合并直埋敷设，节约地下空间资源。</w:t>
            </w:r>
          </w:p>
          <w:p>
            <w:pPr>
              <w:bidi w:val="0"/>
              <w:ind w:firstLine="480" w:firstLineChars="200"/>
              <w:rPr>
                <w:rFonts w:hint="default"/>
              </w:rPr>
            </w:pPr>
            <w:r>
              <w:t>3</w:t>
            </w:r>
            <w:r>
              <w:rPr>
                <w:rFonts w:hint="default"/>
              </w:rPr>
              <w:t>）道路设置交叉口位置附近及每间隔200~300m左右敷设过街横管，以连通道路两侧管线或服务对侧街区。</w:t>
            </w:r>
          </w:p>
          <w:p>
            <w:pPr>
              <w:bidi w:val="0"/>
              <w:ind w:firstLine="480" w:firstLineChars="200"/>
              <w:rPr>
                <w:rFonts w:hint="default"/>
              </w:rPr>
            </w:pPr>
            <w:r>
              <w:t>4</w:t>
            </w:r>
            <w:r>
              <w:rPr>
                <w:rFonts w:hint="default"/>
              </w:rPr>
              <w:t>）因该片区无各市政管线规划，本次管线综合设计仅按一般常规布置。</w:t>
            </w:r>
          </w:p>
          <w:bookmarkEnd w:id="3"/>
          <w:p>
            <w:pPr>
              <w:bidi w:val="0"/>
              <w:ind w:firstLine="482" w:firstLineChars="200"/>
              <w:rPr>
                <w:rFonts w:hint="eastAsia"/>
                <w:b/>
                <w:bCs/>
                <w:lang w:eastAsia="zh-CN"/>
              </w:rPr>
            </w:pPr>
            <w:r>
              <w:rPr>
                <w:rFonts w:hint="eastAsia"/>
                <w:b/>
                <w:bCs/>
                <w:lang w:eastAsia="zh-CN"/>
              </w:rPr>
              <w:t>（</w:t>
            </w:r>
            <w:r>
              <w:rPr>
                <w:rFonts w:hint="eastAsia"/>
                <w:b/>
                <w:bCs/>
                <w:lang w:val="en-US" w:eastAsia="zh-CN"/>
              </w:rPr>
              <w:t>3</w:t>
            </w:r>
            <w:r>
              <w:rPr>
                <w:rFonts w:hint="eastAsia"/>
                <w:b/>
                <w:bCs/>
                <w:lang w:eastAsia="zh-CN"/>
              </w:rPr>
              <w:t>）规划设计</w:t>
            </w:r>
          </w:p>
          <w:p>
            <w:pPr>
              <w:pStyle w:val="71"/>
              <w:ind w:firstLine="562"/>
              <w:rPr>
                <w:rFonts w:hint="eastAsia"/>
                <w:u w:val="single"/>
                <w:lang w:eastAsia="zh-CN"/>
              </w:rPr>
            </w:pPr>
            <w:r>
              <w:rPr>
                <w:rFonts w:hint="eastAsia"/>
                <w:b/>
                <w:bCs/>
                <w:u w:val="single"/>
                <w:lang w:val="en-US" w:eastAsia="zh-CN"/>
              </w:rPr>
              <w:t>1）</w:t>
            </w:r>
            <w:r>
              <w:rPr>
                <w:rFonts w:hint="eastAsia"/>
                <w:b/>
                <w:bCs/>
                <w:u w:val="single"/>
                <w:lang w:eastAsia="zh-CN"/>
              </w:rPr>
              <w:t>马鞍路</w:t>
            </w:r>
            <w:r>
              <w:rPr>
                <w:rFonts w:hint="eastAsia"/>
                <w:u w:val="single"/>
                <w:lang w:eastAsia="zh-CN"/>
              </w:rPr>
              <w:t>：</w:t>
            </w:r>
            <w:r>
              <w:rPr>
                <w:rFonts w:hint="eastAsia"/>
                <w:b/>
                <w:color w:val="000000" w:themeColor="text1"/>
                <w:u w:val="single"/>
                <w14:textFill>
                  <w14:solidFill>
                    <w14:schemeClr w14:val="tx1"/>
                  </w14:solidFill>
                </w14:textFill>
              </w:rPr>
              <w:t>雨水：</w:t>
            </w:r>
            <w:r>
              <w:rPr>
                <w:rFonts w:hint="eastAsia"/>
                <w:color w:val="000000" w:themeColor="text1"/>
                <w:u w:val="single"/>
                <w14:textFill>
                  <w14:solidFill>
                    <w14:schemeClr w14:val="tx1"/>
                  </w14:solidFill>
                </w14:textFill>
              </w:rPr>
              <w:t>单侧布置于道路西侧非</w:t>
            </w:r>
            <w:r>
              <w:rPr>
                <w:color w:val="000000" w:themeColor="text1"/>
                <w:u w:val="single"/>
                <w14:textFill>
                  <w14:solidFill>
                    <w14:schemeClr w14:val="tx1"/>
                  </w14:solidFill>
                </w14:textFill>
              </w:rPr>
              <w:t>机动</w:t>
            </w:r>
            <w:r>
              <w:rPr>
                <w:rFonts w:hint="eastAsia"/>
                <w:color w:val="000000" w:themeColor="text1"/>
                <w:u w:val="single"/>
                <w14:textFill>
                  <w14:solidFill>
                    <w14:schemeClr w14:val="tx1"/>
                  </w14:solidFill>
                </w14:textFill>
              </w:rPr>
              <w:t>车行道下，管道中心距离车行道边线</w:t>
            </w:r>
            <w:r>
              <w:rPr>
                <w:color w:val="000000" w:themeColor="text1"/>
                <w:u w:val="single"/>
                <w14:textFill>
                  <w14:solidFill>
                    <w14:schemeClr w14:val="tx1"/>
                  </w14:solidFill>
                </w14:textFill>
              </w:rPr>
              <w:t>1.7</w:t>
            </w:r>
            <w:r>
              <w:rPr>
                <w:rFonts w:hint="eastAsia"/>
                <w:color w:val="000000" w:themeColor="text1"/>
                <w:u w:val="single"/>
                <w14:textFill>
                  <w14:solidFill>
                    <w14:schemeClr w14:val="tx1"/>
                  </w14:solidFill>
                </w14:textFill>
              </w:rPr>
              <w:t>m，管径为DN</w:t>
            </w:r>
            <w:r>
              <w:rPr>
                <w:color w:val="000000" w:themeColor="text1"/>
                <w:u w:val="single"/>
                <w14:textFill>
                  <w14:solidFill>
                    <w14:schemeClr w14:val="tx1"/>
                  </w14:solidFill>
                </w14:textFill>
              </w:rPr>
              <w:t>5</w:t>
            </w:r>
            <w:r>
              <w:rPr>
                <w:rFonts w:hint="eastAsia"/>
                <w:color w:val="000000" w:themeColor="text1"/>
                <w:u w:val="single"/>
                <w14:textFill>
                  <w14:solidFill>
                    <w14:schemeClr w14:val="tx1"/>
                  </w14:solidFill>
                </w14:textFill>
              </w:rPr>
              <w:t>00~</w:t>
            </w:r>
            <w:r>
              <w:rPr>
                <w:color w:val="000000" w:themeColor="text1"/>
                <w:u w:val="single"/>
                <w14:textFill>
                  <w14:solidFill>
                    <w14:schemeClr w14:val="tx1"/>
                  </w14:solidFill>
                </w14:textFill>
              </w:rPr>
              <w:t>d18</w:t>
            </w:r>
            <w:r>
              <w:rPr>
                <w:rFonts w:hint="eastAsia"/>
                <w:color w:val="000000" w:themeColor="text1"/>
                <w:u w:val="single"/>
                <w14:textFill>
                  <w14:solidFill>
                    <w14:schemeClr w14:val="tx1"/>
                  </w14:solidFill>
                </w14:textFill>
              </w:rPr>
              <w:t>00</w:t>
            </w:r>
            <w:r>
              <w:rPr>
                <w:rFonts w:hint="eastAsia"/>
                <w:color w:val="000000" w:themeColor="text1"/>
                <w:u w:val="single"/>
                <w:lang w:eastAsia="zh-CN"/>
                <w14:textFill>
                  <w14:solidFill>
                    <w14:schemeClr w14:val="tx1"/>
                  </w14:solidFill>
                </w14:textFill>
              </w:rPr>
              <w:t>；</w:t>
            </w:r>
            <w:r>
              <w:rPr>
                <w:rFonts w:hint="eastAsia"/>
                <w:b/>
                <w:color w:val="000000" w:themeColor="text1"/>
                <w:u w:val="single"/>
                <w14:textFill>
                  <w14:solidFill>
                    <w14:schemeClr w14:val="tx1"/>
                  </w14:solidFill>
                </w14:textFill>
              </w:rPr>
              <w:t>污水：</w:t>
            </w:r>
            <w:r>
              <w:rPr>
                <w:rFonts w:hint="eastAsia"/>
                <w:color w:val="000000" w:themeColor="text1"/>
                <w:u w:val="single"/>
                <w14:textFill>
                  <w14:solidFill>
                    <w14:schemeClr w14:val="tx1"/>
                  </w14:solidFill>
                </w14:textFill>
              </w:rPr>
              <w:t>单侧布置于道路东侧非车行道下，管道中心距离车行道边线</w:t>
            </w:r>
            <w:r>
              <w:rPr>
                <w:color w:val="000000" w:themeColor="text1"/>
                <w:u w:val="single"/>
                <w14:textFill>
                  <w14:solidFill>
                    <w14:schemeClr w14:val="tx1"/>
                  </w14:solidFill>
                </w14:textFill>
              </w:rPr>
              <w:t>1.7</w:t>
            </w:r>
            <w:r>
              <w:rPr>
                <w:rFonts w:hint="eastAsia"/>
                <w:color w:val="000000" w:themeColor="text1"/>
                <w:u w:val="single"/>
                <w14:textFill>
                  <w14:solidFill>
                    <w14:schemeClr w14:val="tx1"/>
                  </w14:solidFill>
                </w14:textFill>
              </w:rPr>
              <w:t>m，管径为</w:t>
            </w:r>
            <w:r>
              <w:rPr>
                <w:color w:val="000000" w:themeColor="text1"/>
                <w:u w:val="single"/>
                <w14:textFill>
                  <w14:solidFill>
                    <w14:schemeClr w14:val="tx1"/>
                  </w14:solidFill>
                </w14:textFill>
              </w:rPr>
              <w:t>DN</w:t>
            </w:r>
            <w:r>
              <w:rPr>
                <w:rFonts w:hint="eastAsia"/>
                <w:color w:val="000000" w:themeColor="text1"/>
                <w:u w:val="single"/>
                <w14:textFill>
                  <w14:solidFill>
                    <w14:schemeClr w14:val="tx1"/>
                  </w14:solidFill>
                </w14:textFill>
              </w:rPr>
              <w:t>4</w:t>
            </w:r>
            <w:r>
              <w:rPr>
                <w:color w:val="000000" w:themeColor="text1"/>
                <w:u w:val="single"/>
                <w14:textFill>
                  <w14:solidFill>
                    <w14:schemeClr w14:val="tx1"/>
                  </w14:solidFill>
                </w14:textFill>
              </w:rPr>
              <w:t>00</w:t>
            </w:r>
            <w:r>
              <w:rPr>
                <w:rFonts w:hint="eastAsia" w:ascii="微软雅黑" w:hAnsi="微软雅黑" w:eastAsia="微软雅黑"/>
                <w:color w:val="000000" w:themeColor="text1"/>
                <w:u w:val="single"/>
                <w14:textFill>
                  <w14:solidFill>
                    <w14:schemeClr w14:val="tx1"/>
                  </w14:solidFill>
                </w14:textFill>
              </w:rPr>
              <w:t>～</w:t>
            </w:r>
            <w:r>
              <w:rPr>
                <w:color w:val="000000" w:themeColor="text1"/>
                <w:u w:val="single"/>
                <w14:textFill>
                  <w14:solidFill>
                    <w14:schemeClr w14:val="tx1"/>
                  </w14:solidFill>
                </w14:textFill>
              </w:rPr>
              <w:t>DN600</w:t>
            </w:r>
            <w:r>
              <w:rPr>
                <w:rFonts w:hint="eastAsia"/>
                <w:color w:val="000000" w:themeColor="text1"/>
                <w:u w:val="single"/>
                <w:lang w:eastAsia="zh-CN"/>
                <w14:textFill>
                  <w14:solidFill>
                    <w14:schemeClr w14:val="tx1"/>
                  </w14:solidFill>
                </w14:textFill>
              </w:rPr>
              <w:t>；</w:t>
            </w:r>
            <w:r>
              <w:rPr>
                <w:rFonts w:ascii="宋体"/>
                <w:b/>
                <w:color w:val="000000" w:themeColor="text1"/>
                <w:u w:val="single"/>
                <w14:textFill>
                  <w14:solidFill>
                    <w14:schemeClr w14:val="tx1"/>
                  </w14:solidFill>
                </w14:textFill>
              </w:rPr>
              <w:t>给水：</w:t>
            </w:r>
            <w:r>
              <w:rPr>
                <w:rFonts w:ascii="宋体"/>
                <w:color w:val="000000" w:themeColor="text1"/>
                <w:u w:val="single"/>
                <w14:textFill>
                  <w14:solidFill>
                    <w14:schemeClr w14:val="tx1"/>
                  </w14:solidFill>
                </w14:textFill>
              </w:rPr>
              <w:t>新建</w:t>
            </w:r>
            <w:r>
              <w:rPr>
                <w:color w:val="000000" w:themeColor="text1"/>
                <w:u w:val="single"/>
                <w14:textFill>
                  <w14:solidFill>
                    <w14:schemeClr w14:val="tx1"/>
                  </w14:solidFill>
                </w14:textFill>
              </w:rPr>
              <w:t>DN300</w:t>
            </w:r>
            <w:r>
              <w:rPr>
                <w:rFonts w:ascii="宋体"/>
                <w:color w:val="000000" w:themeColor="text1"/>
                <w:u w:val="single"/>
                <w14:textFill>
                  <w14:solidFill>
                    <w14:schemeClr w14:val="tx1"/>
                  </w14:solidFill>
                </w14:textFill>
              </w:rPr>
              <w:t>给水管</w:t>
            </w:r>
            <w:r>
              <w:rPr>
                <w:rFonts w:hint="eastAsia" w:ascii="宋体"/>
                <w:color w:val="000000" w:themeColor="text1"/>
                <w:u w:val="single"/>
                <w14:textFill>
                  <w14:solidFill>
                    <w14:schemeClr w14:val="tx1"/>
                  </w14:solidFill>
                </w14:textFill>
              </w:rPr>
              <w:t>单侧布置于道路东侧人行道下，其中心距离人行道外边线</w:t>
            </w:r>
            <w:r>
              <w:rPr>
                <w:color w:val="000000" w:themeColor="text1"/>
                <w:u w:val="single"/>
                <w14:textFill>
                  <w14:solidFill>
                    <w14:schemeClr w14:val="tx1"/>
                  </w14:solidFill>
                </w14:textFill>
              </w:rPr>
              <w:t>1.8</w:t>
            </w:r>
            <w:r>
              <w:rPr>
                <w:rFonts w:hint="eastAsia"/>
                <w:color w:val="000000" w:themeColor="text1"/>
                <w:u w:val="single"/>
                <w14:textFill>
                  <w14:solidFill>
                    <w14:schemeClr w14:val="tx1"/>
                  </w14:solidFill>
                </w14:textFill>
              </w:rPr>
              <w:t>m</w:t>
            </w:r>
            <w:r>
              <w:rPr>
                <w:rFonts w:hint="eastAsia" w:ascii="宋体"/>
                <w:color w:val="000000" w:themeColor="text1"/>
                <w:u w:val="single"/>
                <w:lang w:eastAsia="zh-CN"/>
                <w14:textFill>
                  <w14:solidFill>
                    <w14:schemeClr w14:val="tx1"/>
                  </w14:solidFill>
                </w14:textFill>
              </w:rPr>
              <w:t>；</w:t>
            </w:r>
            <w:r>
              <w:rPr>
                <w:rFonts w:hint="eastAsia" w:ascii="宋体"/>
                <w:b/>
                <w:color w:val="000000" w:themeColor="text1"/>
                <w:u w:val="single"/>
                <w14:textFill>
                  <w14:solidFill>
                    <w14:schemeClr w14:val="tx1"/>
                  </w14:solidFill>
                </w14:textFill>
              </w:rPr>
              <w:t>燃气：</w:t>
            </w:r>
            <w:r>
              <w:rPr>
                <w:rFonts w:ascii="宋体"/>
                <w:color w:val="000000" w:themeColor="text1"/>
                <w:u w:val="single"/>
                <w14:textFill>
                  <w14:solidFill>
                    <w14:schemeClr w14:val="tx1"/>
                  </w14:solidFill>
                </w14:textFill>
              </w:rPr>
              <w:t>新建</w:t>
            </w:r>
            <w:r>
              <w:rPr>
                <w:color w:val="000000" w:themeColor="text1"/>
                <w:u w:val="single"/>
                <w14:textFill>
                  <w14:solidFill>
                    <w14:schemeClr w14:val="tx1"/>
                  </w14:solidFill>
                </w14:textFill>
              </w:rPr>
              <w:t>DN200</w:t>
            </w:r>
            <w:r>
              <w:rPr>
                <w:rFonts w:hint="eastAsia" w:ascii="宋体"/>
                <w:color w:val="000000" w:themeColor="text1"/>
                <w:u w:val="single"/>
                <w14:textFill>
                  <w14:solidFill>
                    <w14:schemeClr w14:val="tx1"/>
                  </w14:solidFill>
                </w14:textFill>
              </w:rPr>
              <w:t>燃气</w:t>
            </w:r>
            <w:r>
              <w:rPr>
                <w:rFonts w:ascii="宋体"/>
                <w:color w:val="000000" w:themeColor="text1"/>
                <w:u w:val="single"/>
                <w14:textFill>
                  <w14:solidFill>
                    <w14:schemeClr w14:val="tx1"/>
                  </w14:solidFill>
                </w14:textFill>
              </w:rPr>
              <w:t>管</w:t>
            </w:r>
            <w:r>
              <w:rPr>
                <w:rFonts w:hint="eastAsia" w:ascii="宋体"/>
                <w:color w:val="000000" w:themeColor="text1"/>
                <w:u w:val="single"/>
                <w14:textFill>
                  <w14:solidFill>
                    <w14:schemeClr w14:val="tx1"/>
                  </w14:solidFill>
                </w14:textFill>
              </w:rPr>
              <w:t>单侧布置于道路西侧人行道下，其中心距离人行道</w:t>
            </w:r>
            <w:r>
              <w:rPr>
                <w:rFonts w:ascii="宋体"/>
                <w:color w:val="000000" w:themeColor="text1"/>
                <w:u w:val="single"/>
                <w14:textFill>
                  <w14:solidFill>
                    <w14:schemeClr w14:val="tx1"/>
                  </w14:solidFill>
                </w14:textFill>
              </w:rPr>
              <w:t>外</w:t>
            </w:r>
            <w:r>
              <w:rPr>
                <w:rFonts w:hint="eastAsia" w:ascii="宋体"/>
                <w:color w:val="000000" w:themeColor="text1"/>
                <w:u w:val="single"/>
                <w14:textFill>
                  <w14:solidFill>
                    <w14:schemeClr w14:val="tx1"/>
                  </w14:solidFill>
                </w14:textFill>
              </w:rPr>
              <w:t>边线</w:t>
            </w:r>
            <w:r>
              <w:rPr>
                <w:color w:val="000000" w:themeColor="text1"/>
                <w:u w:val="single"/>
                <w14:textFill>
                  <w14:solidFill>
                    <w14:schemeClr w14:val="tx1"/>
                  </w14:solidFill>
                </w14:textFill>
              </w:rPr>
              <w:t>1.8</w:t>
            </w:r>
            <w:r>
              <w:rPr>
                <w:rFonts w:hint="eastAsia"/>
                <w:color w:val="000000" w:themeColor="text1"/>
                <w:u w:val="single"/>
                <w14:textFill>
                  <w14:solidFill>
                    <w14:schemeClr w14:val="tx1"/>
                  </w14:solidFill>
                </w14:textFill>
              </w:rPr>
              <w:t>m</w:t>
            </w:r>
            <w:r>
              <w:rPr>
                <w:rFonts w:hint="eastAsia" w:ascii="宋体"/>
                <w:color w:val="000000" w:themeColor="text1"/>
                <w:u w:val="single"/>
                <w:lang w:eastAsia="zh-CN"/>
                <w14:textFill>
                  <w14:solidFill>
                    <w14:schemeClr w14:val="tx1"/>
                  </w14:solidFill>
                </w14:textFill>
              </w:rPr>
              <w:t>；</w:t>
            </w:r>
            <w:r>
              <w:rPr>
                <w:rFonts w:hint="eastAsia"/>
                <w:b/>
                <w:color w:val="000000" w:themeColor="text1"/>
                <w:u w:val="single"/>
                <w14:textFill>
                  <w14:solidFill>
                    <w14:schemeClr w14:val="tx1"/>
                  </w14:solidFill>
                </w14:textFill>
              </w:rPr>
              <w:t>路灯：</w:t>
            </w:r>
            <w:r>
              <w:rPr>
                <w:rFonts w:hint="eastAsia"/>
                <w:color w:val="000000" w:themeColor="text1"/>
                <w:u w:val="single"/>
                <w14:textFill>
                  <w14:solidFill>
                    <w14:schemeClr w14:val="tx1"/>
                  </w14:solidFill>
                </w14:textFill>
              </w:rPr>
              <w:t>路灯供电线双侧布置于道路非机动</w:t>
            </w:r>
            <w:r>
              <w:rPr>
                <w:color w:val="000000" w:themeColor="text1"/>
                <w:u w:val="single"/>
                <w14:textFill>
                  <w14:solidFill>
                    <w14:schemeClr w14:val="tx1"/>
                  </w14:solidFill>
                </w14:textFill>
              </w:rPr>
              <w:t>车</w:t>
            </w:r>
            <w:r>
              <w:rPr>
                <w:rFonts w:hint="eastAsia"/>
                <w:color w:val="000000" w:themeColor="text1"/>
                <w:u w:val="single"/>
                <w14:textFill>
                  <w14:solidFill>
                    <w14:schemeClr w14:val="tx1"/>
                  </w14:solidFill>
                </w14:textFill>
              </w:rPr>
              <w:t>道下，距离道路机动</w:t>
            </w:r>
            <w:r>
              <w:rPr>
                <w:color w:val="000000" w:themeColor="text1"/>
                <w:u w:val="single"/>
                <w14:textFill>
                  <w14:solidFill>
                    <w14:schemeClr w14:val="tx1"/>
                  </w14:solidFill>
                </w14:textFill>
              </w:rPr>
              <w:t>车道边线</w:t>
            </w:r>
            <w:r>
              <w:rPr>
                <w:rFonts w:hint="eastAsia"/>
                <w:color w:val="000000" w:themeColor="text1"/>
                <w:u w:val="single"/>
                <w14:textFill>
                  <w14:solidFill>
                    <w14:schemeClr w14:val="tx1"/>
                  </w14:solidFill>
                </w14:textFill>
              </w:rPr>
              <w:t>0.</w:t>
            </w:r>
            <w:r>
              <w:rPr>
                <w:color w:val="000000" w:themeColor="text1"/>
                <w:u w:val="single"/>
                <w14:textFill>
                  <w14:solidFill>
                    <w14:schemeClr w14:val="tx1"/>
                  </w14:solidFill>
                </w14:textFill>
              </w:rPr>
              <w:t>5m</w:t>
            </w:r>
            <w:r>
              <w:rPr>
                <w:rFonts w:hint="eastAsia"/>
                <w:color w:val="000000" w:themeColor="text1"/>
                <w:u w:val="single"/>
                <w14:textFill>
                  <w14:solidFill>
                    <w14:schemeClr w14:val="tx1"/>
                  </w14:solidFill>
                </w14:textFill>
              </w:rPr>
              <w:t>，孔数为</w:t>
            </w:r>
            <w:r>
              <w:rPr>
                <w:color w:val="000000" w:themeColor="text1"/>
                <w:u w:val="single"/>
                <w14:textFill>
                  <w14:solidFill>
                    <w14:schemeClr w14:val="tx1"/>
                  </w14:solidFill>
                </w14:textFill>
              </w:rPr>
              <w:t>4Φ110</w:t>
            </w:r>
            <w:r>
              <w:rPr>
                <w:rFonts w:hint="eastAsia"/>
                <w:color w:val="000000" w:themeColor="text1"/>
                <w:u w:val="single"/>
                <w14:textFill>
                  <w14:solidFill>
                    <w14:schemeClr w14:val="tx1"/>
                  </w14:solidFill>
                </w14:textFill>
              </w:rPr>
              <w:t>（含公用设备电力线</w:t>
            </w:r>
            <w:r>
              <w:rPr>
                <w:color w:val="000000" w:themeColor="text1"/>
                <w:u w:val="single"/>
                <w14:textFill>
                  <w14:solidFill>
                    <w14:schemeClr w14:val="tx1"/>
                  </w14:solidFill>
                </w14:textFill>
              </w:rPr>
              <w:t>1Φ110</w:t>
            </w:r>
            <w:r>
              <w:rPr>
                <w:rFonts w:hint="eastAsia"/>
                <w:color w:val="000000" w:themeColor="text1"/>
                <w:u w:val="single"/>
                <w14:textFill>
                  <w14:solidFill>
                    <w14:schemeClr w14:val="tx1"/>
                  </w14:solidFill>
                </w14:textFill>
              </w:rPr>
              <w:t>）</w:t>
            </w:r>
            <w:r>
              <w:rPr>
                <w:rFonts w:hint="eastAsia"/>
                <w:color w:val="000000" w:themeColor="text1"/>
                <w:u w:val="single"/>
                <w:lang w:eastAsia="zh-CN"/>
                <w14:textFill>
                  <w14:solidFill>
                    <w14:schemeClr w14:val="tx1"/>
                  </w14:solidFill>
                </w14:textFill>
              </w:rPr>
              <w:t>；</w:t>
            </w:r>
            <w:r>
              <w:rPr>
                <w:rFonts w:ascii="宋体" w:hAnsi="宋体"/>
                <w:b/>
                <w:color w:val="000000" w:themeColor="text1"/>
                <w:u w:val="single"/>
                <w14:textFill>
                  <w14:solidFill>
                    <w14:schemeClr w14:val="tx1"/>
                  </w14:solidFill>
                </w14:textFill>
              </w:rPr>
              <w:t>电力：</w:t>
            </w:r>
            <w:r>
              <w:rPr>
                <w:rFonts w:hint="eastAsia" w:ascii="宋体" w:hAnsi="宋体"/>
                <w:color w:val="000000" w:themeColor="text1"/>
                <w:u w:val="single"/>
                <w14:textFill>
                  <w14:solidFill>
                    <w14:schemeClr w14:val="tx1"/>
                  </w14:solidFill>
                </w14:textFill>
              </w:rPr>
              <w:t>单侧布置于道路东侧人行道下，其中心距离人行道</w:t>
            </w:r>
            <w:r>
              <w:rPr>
                <w:rFonts w:ascii="宋体" w:hAnsi="宋体"/>
                <w:color w:val="000000" w:themeColor="text1"/>
                <w:u w:val="single"/>
                <w14:textFill>
                  <w14:solidFill>
                    <w14:schemeClr w14:val="tx1"/>
                  </w14:solidFill>
                </w14:textFill>
              </w:rPr>
              <w:t>外</w:t>
            </w:r>
            <w:r>
              <w:rPr>
                <w:rFonts w:hint="eastAsia" w:ascii="宋体" w:hAnsi="宋体"/>
                <w:color w:val="000000" w:themeColor="text1"/>
                <w:u w:val="single"/>
                <w14:textFill>
                  <w14:solidFill>
                    <w14:schemeClr w14:val="tx1"/>
                  </w14:solidFill>
                </w14:textFill>
              </w:rPr>
              <w:t>边线</w:t>
            </w:r>
            <w:r>
              <w:rPr>
                <w:color w:val="000000" w:themeColor="text1"/>
                <w:u w:val="single"/>
                <w14:textFill>
                  <w14:solidFill>
                    <w14:schemeClr w14:val="tx1"/>
                  </w14:solidFill>
                </w14:textFill>
              </w:rPr>
              <w:t>0.5</w:t>
            </w:r>
            <w:r>
              <w:rPr>
                <w:rFonts w:hint="eastAsia"/>
                <w:color w:val="000000" w:themeColor="text1"/>
                <w:u w:val="single"/>
                <w14:textFill>
                  <w14:solidFill>
                    <w14:schemeClr w14:val="tx1"/>
                  </w14:solidFill>
                </w14:textFill>
              </w:rPr>
              <w:t>m</w:t>
            </w:r>
            <w:r>
              <w:rPr>
                <w:rFonts w:ascii="宋体" w:hAnsi="宋体"/>
                <w:color w:val="000000" w:themeColor="text1"/>
                <w:u w:val="single"/>
                <w14:textFill>
                  <w14:solidFill>
                    <w14:schemeClr w14:val="tx1"/>
                  </w14:solidFill>
                </w14:textFill>
              </w:rPr>
              <w:t>，规划孔数为：</w:t>
            </w:r>
            <w:r>
              <w:rPr>
                <w:color w:val="000000" w:themeColor="text1"/>
                <w:u w:val="single"/>
                <w14:textFill>
                  <w14:solidFill>
                    <w14:schemeClr w14:val="tx1"/>
                  </w14:solidFill>
                </w14:textFill>
              </w:rPr>
              <w:t>6Φ150+3Φ100+</w:t>
            </w:r>
            <w:r>
              <w:rPr>
                <w:rFonts w:hint="eastAsia"/>
                <w:color w:val="000000" w:themeColor="text1"/>
                <w:u w:val="single"/>
                <w14:textFill>
                  <w14:solidFill>
                    <w14:schemeClr w14:val="tx1"/>
                  </w14:solidFill>
                </w14:textFill>
              </w:rPr>
              <w:t>1</w:t>
            </w:r>
            <w:r>
              <w:rPr>
                <w:color w:val="000000" w:themeColor="text1"/>
                <w:u w:val="single"/>
                <w14:textFill>
                  <w14:solidFill>
                    <w14:schemeClr w14:val="tx1"/>
                  </w14:solidFill>
                </w14:textFill>
              </w:rPr>
              <w:t>Φ</w:t>
            </w:r>
            <w:r>
              <w:rPr>
                <w:rFonts w:hint="eastAsia"/>
                <w:color w:val="000000" w:themeColor="text1"/>
                <w:u w:val="single"/>
                <w14:textFill>
                  <w14:solidFill>
                    <w14:schemeClr w14:val="tx1"/>
                  </w14:solidFill>
                </w14:textFill>
              </w:rPr>
              <w:t>7</w:t>
            </w:r>
            <w:r>
              <w:rPr>
                <w:color w:val="000000" w:themeColor="text1"/>
                <w:u w:val="single"/>
                <w14:textFill>
                  <w14:solidFill>
                    <w14:schemeClr w14:val="tx1"/>
                  </w14:solidFill>
                </w14:textFill>
              </w:rPr>
              <w:t>0</w:t>
            </w:r>
            <w:r>
              <w:rPr>
                <w:rFonts w:hint="eastAsia" w:ascii="宋体" w:hAnsi="宋体"/>
                <w:color w:val="000000" w:themeColor="text1"/>
                <w:u w:val="single"/>
                <w:lang w:eastAsia="zh-CN"/>
                <w14:textFill>
                  <w14:solidFill>
                    <w14:schemeClr w14:val="tx1"/>
                  </w14:solidFill>
                </w14:textFill>
              </w:rPr>
              <w:t>；</w:t>
            </w:r>
            <w:r>
              <w:rPr>
                <w:rFonts w:ascii="宋体" w:hAnsi="宋体"/>
                <w:b/>
                <w:color w:val="000000" w:themeColor="text1"/>
                <w:u w:val="single"/>
                <w14:textFill>
                  <w14:solidFill>
                    <w14:schemeClr w14:val="tx1"/>
                  </w14:solidFill>
                </w14:textFill>
              </w:rPr>
              <w:t>通</w:t>
            </w:r>
            <w:r>
              <w:rPr>
                <w:rFonts w:hint="eastAsia" w:ascii="宋体" w:hAnsi="宋体"/>
                <w:b/>
                <w:color w:val="000000" w:themeColor="text1"/>
                <w:u w:val="single"/>
                <w14:textFill>
                  <w14:solidFill>
                    <w14:schemeClr w14:val="tx1"/>
                  </w14:solidFill>
                </w14:textFill>
              </w:rPr>
              <w:t>信</w:t>
            </w:r>
            <w:r>
              <w:rPr>
                <w:rFonts w:ascii="宋体" w:hAnsi="宋体"/>
                <w:b/>
                <w:color w:val="000000" w:themeColor="text1"/>
                <w:u w:val="single"/>
                <w14:textFill>
                  <w14:solidFill>
                    <w14:schemeClr w14:val="tx1"/>
                  </w14:solidFill>
                </w14:textFill>
              </w:rPr>
              <w:t>：</w:t>
            </w:r>
            <w:r>
              <w:rPr>
                <w:rFonts w:ascii="宋体" w:hAnsi="宋体"/>
                <w:color w:val="000000" w:themeColor="text1"/>
                <w:u w:val="single"/>
                <w14:textFill>
                  <w14:solidFill>
                    <w14:schemeClr w14:val="tx1"/>
                  </w14:solidFill>
                </w14:textFill>
              </w:rPr>
              <w:t>新建通</w:t>
            </w:r>
            <w:r>
              <w:rPr>
                <w:rFonts w:hint="eastAsia" w:ascii="宋体" w:hAnsi="宋体"/>
                <w:color w:val="000000" w:themeColor="text1"/>
                <w:u w:val="single"/>
                <w14:textFill>
                  <w14:solidFill>
                    <w14:schemeClr w14:val="tx1"/>
                  </w14:solidFill>
                </w14:textFill>
              </w:rPr>
              <w:t>信</w:t>
            </w:r>
            <w:r>
              <w:rPr>
                <w:rFonts w:ascii="宋体" w:hAnsi="宋体"/>
                <w:color w:val="000000" w:themeColor="text1"/>
                <w:u w:val="single"/>
                <w14:textFill>
                  <w14:solidFill>
                    <w14:schemeClr w14:val="tx1"/>
                  </w14:solidFill>
                </w14:textFill>
              </w:rPr>
              <w:t>电缆</w:t>
            </w:r>
            <w:r>
              <w:rPr>
                <w:rFonts w:hint="eastAsia" w:ascii="宋体" w:hAnsi="宋体"/>
                <w:color w:val="000000" w:themeColor="text1"/>
                <w:u w:val="single"/>
                <w14:textFill>
                  <w14:solidFill>
                    <w14:schemeClr w14:val="tx1"/>
                  </w14:solidFill>
                </w14:textFill>
              </w:rPr>
              <w:t>单侧布置于道路西侧人行道下，其中心距离人行道外边线</w:t>
            </w:r>
            <w:r>
              <w:rPr>
                <w:rFonts w:ascii="宋体" w:hAnsi="宋体"/>
                <w:color w:val="000000" w:themeColor="text1"/>
                <w:u w:val="single"/>
                <w14:textFill>
                  <w14:solidFill>
                    <w14:schemeClr w14:val="tx1"/>
                  </w14:solidFill>
                </w14:textFill>
              </w:rPr>
              <w:t>0.4</w:t>
            </w:r>
            <w:r>
              <w:rPr>
                <w:rFonts w:hint="eastAsia" w:ascii="宋体" w:hAnsi="宋体"/>
                <w:color w:val="000000" w:themeColor="text1"/>
                <w:u w:val="single"/>
                <w14:textFill>
                  <w14:solidFill>
                    <w14:schemeClr w14:val="tx1"/>
                  </w14:solidFill>
                </w14:textFill>
              </w:rPr>
              <w:t>m</w:t>
            </w:r>
            <w:r>
              <w:rPr>
                <w:rFonts w:ascii="宋体" w:hAnsi="宋体"/>
                <w:color w:val="000000" w:themeColor="text1"/>
                <w:u w:val="single"/>
                <w14:textFill>
                  <w14:solidFill>
                    <w14:schemeClr w14:val="tx1"/>
                  </w14:solidFill>
                </w14:textFill>
              </w:rPr>
              <w:t>，规划孔数为：</w:t>
            </w:r>
            <w:r>
              <w:rPr>
                <w:rFonts w:hint="eastAsia"/>
                <w:color w:val="000000" w:themeColor="text1"/>
                <w:u w:val="single"/>
                <w14:textFill>
                  <w14:solidFill>
                    <w14:schemeClr w14:val="tx1"/>
                  </w14:solidFill>
                </w14:textFill>
              </w:rPr>
              <w:t>6</w:t>
            </w:r>
            <w:r>
              <w:rPr>
                <w:color w:val="000000" w:themeColor="text1"/>
                <w:u w:val="single"/>
                <w14:textFill>
                  <w14:solidFill>
                    <w14:schemeClr w14:val="tx1"/>
                  </w14:solidFill>
                </w14:textFill>
              </w:rPr>
              <w:t>Φ110</w:t>
            </w:r>
            <w:r>
              <w:rPr>
                <w:rFonts w:ascii="宋体" w:hAnsi="宋体"/>
                <w:color w:val="000000" w:themeColor="text1"/>
                <w:u w:val="single"/>
                <w14:textFill>
                  <w14:solidFill>
                    <w14:schemeClr w14:val="tx1"/>
                  </w14:solidFill>
                </w14:textFill>
              </w:rPr>
              <w:t>。通</w:t>
            </w:r>
            <w:r>
              <w:rPr>
                <w:rFonts w:hint="eastAsia" w:ascii="宋体" w:hAnsi="宋体"/>
                <w:color w:val="000000" w:themeColor="text1"/>
                <w:u w:val="single"/>
                <w14:textFill>
                  <w14:solidFill>
                    <w14:schemeClr w14:val="tx1"/>
                  </w14:solidFill>
                </w14:textFill>
              </w:rPr>
              <w:t>信</w:t>
            </w:r>
            <w:r>
              <w:rPr>
                <w:rFonts w:ascii="宋体" w:hAnsi="宋体"/>
                <w:color w:val="000000" w:themeColor="text1"/>
                <w:u w:val="single"/>
                <w14:textFill>
                  <w14:solidFill>
                    <w14:schemeClr w14:val="tx1"/>
                  </w14:solidFill>
                </w14:textFill>
              </w:rPr>
              <w:t>（集约化）包含：电信、移动、联通、</w:t>
            </w:r>
            <w:r>
              <w:rPr>
                <w:rFonts w:hint="eastAsia" w:ascii="宋体" w:hAnsi="宋体"/>
                <w:color w:val="000000" w:themeColor="text1"/>
                <w:u w:val="single"/>
                <w14:textFill>
                  <w14:solidFill>
                    <w14:schemeClr w14:val="tx1"/>
                  </w14:solidFill>
                </w14:textFill>
              </w:rPr>
              <w:t>有线电视</w:t>
            </w:r>
            <w:r>
              <w:rPr>
                <w:rFonts w:ascii="宋体" w:hAnsi="宋体"/>
                <w:color w:val="000000" w:themeColor="text1"/>
                <w:u w:val="single"/>
                <w14:textFill>
                  <w14:solidFill>
                    <w14:schemeClr w14:val="tx1"/>
                  </w14:solidFill>
                </w14:textFill>
              </w:rPr>
              <w:t>。</w:t>
            </w:r>
          </w:p>
          <w:p>
            <w:pPr>
              <w:bidi w:val="0"/>
              <w:ind w:firstLine="482" w:firstLineChars="200"/>
              <w:rPr>
                <w:rFonts w:hint="eastAsia"/>
                <w:u w:val="single"/>
                <w:lang w:eastAsia="zh-CN"/>
              </w:rPr>
            </w:pPr>
            <w:r>
              <w:rPr>
                <w:rFonts w:hint="eastAsia"/>
                <w:b/>
                <w:bCs/>
                <w:u w:val="single"/>
                <w:lang w:val="en-US" w:eastAsia="zh-CN"/>
              </w:rPr>
              <w:t>2）</w:t>
            </w:r>
            <w:r>
              <w:rPr>
                <w:rFonts w:hint="eastAsia"/>
                <w:b/>
                <w:bCs/>
                <w:u w:val="single"/>
                <w:lang w:eastAsia="zh-CN"/>
              </w:rPr>
              <w:t>桃园路</w:t>
            </w:r>
            <w:r>
              <w:rPr>
                <w:rFonts w:hint="eastAsia"/>
                <w:u w:val="single"/>
                <w:lang w:eastAsia="zh-CN"/>
              </w:rPr>
              <w:t xml:space="preserve">： </w:t>
            </w:r>
            <w:r>
              <w:rPr>
                <w:rFonts w:hint="eastAsia"/>
                <w:b/>
                <w:bCs/>
                <w:u w:val="single"/>
                <w:lang w:eastAsia="zh-CN"/>
              </w:rPr>
              <w:t>雨水：</w:t>
            </w:r>
            <w:r>
              <w:rPr>
                <w:rFonts w:hint="eastAsia"/>
                <w:u w:val="single"/>
                <w:lang w:eastAsia="zh-CN"/>
              </w:rPr>
              <w:t>单侧布置于道路东侧非机动车行道下，管道中心距离车行道边线3.0m，管径为DN500~d1200；</w:t>
            </w:r>
            <w:r>
              <w:rPr>
                <w:rFonts w:hint="eastAsia"/>
                <w:b/>
                <w:bCs/>
                <w:u w:val="single"/>
                <w:lang w:eastAsia="zh-CN"/>
              </w:rPr>
              <w:t>污水：</w:t>
            </w:r>
            <w:r>
              <w:rPr>
                <w:rFonts w:hint="eastAsia"/>
                <w:u w:val="single"/>
                <w:lang w:eastAsia="zh-CN"/>
              </w:rPr>
              <w:t>单侧布置于道路西侧非机动车行道下，管道中心距离车行道边线3.0m，管径为DN400～DN600；</w:t>
            </w:r>
            <w:r>
              <w:rPr>
                <w:rFonts w:hint="eastAsia"/>
                <w:b/>
                <w:bCs/>
                <w:u w:val="single"/>
                <w:lang w:eastAsia="zh-CN"/>
              </w:rPr>
              <w:t>给水：</w:t>
            </w:r>
            <w:r>
              <w:rPr>
                <w:rFonts w:hint="eastAsia"/>
                <w:u w:val="single"/>
                <w:lang w:eastAsia="zh-CN"/>
              </w:rPr>
              <w:t>新建DN600给水管单侧布置于道路西侧人行道下，其中心距离人行道外边线2.5m。</w:t>
            </w:r>
            <w:r>
              <w:rPr>
                <w:rFonts w:hint="eastAsia"/>
                <w:b/>
                <w:bCs/>
                <w:u w:val="single"/>
                <w:lang w:eastAsia="zh-CN"/>
              </w:rPr>
              <w:t>燃气：</w:t>
            </w:r>
            <w:r>
              <w:rPr>
                <w:rFonts w:hint="eastAsia"/>
                <w:u w:val="single"/>
                <w:lang w:eastAsia="zh-CN"/>
              </w:rPr>
              <w:t>新建DN300燃气管单侧布置于道路东侧人行道下，其中心距离人行道外边线2.5m；</w:t>
            </w:r>
            <w:r>
              <w:rPr>
                <w:rFonts w:hint="eastAsia"/>
                <w:b/>
                <w:bCs/>
                <w:u w:val="single"/>
                <w:lang w:eastAsia="zh-CN"/>
              </w:rPr>
              <w:t>路灯：</w:t>
            </w:r>
            <w:r>
              <w:rPr>
                <w:rFonts w:hint="eastAsia"/>
                <w:u w:val="single"/>
                <w:lang w:eastAsia="zh-CN"/>
              </w:rPr>
              <w:t>路灯供电线双侧布置于道路两侧机非绿化带内，距离道路机动车道边线0.5m，孔数为4Φ110（含公用 设备电力线1Φ110）；</w:t>
            </w:r>
            <w:r>
              <w:rPr>
                <w:rFonts w:hint="eastAsia"/>
                <w:b/>
                <w:bCs/>
                <w:u w:val="single"/>
                <w:lang w:eastAsia="zh-CN"/>
              </w:rPr>
              <w:t>电力：</w:t>
            </w:r>
            <w:r>
              <w:rPr>
                <w:rFonts w:hint="eastAsia"/>
                <w:u w:val="single"/>
                <w:lang w:eastAsia="zh-CN"/>
              </w:rPr>
              <w:t>单侧布置于道路西侧人行道下，其中心距离人行道外边线1.0m，规划孔数为：6Φ150+3Φ100+1Φ70。</w:t>
            </w:r>
            <w:r>
              <w:rPr>
                <w:rFonts w:hint="eastAsia"/>
                <w:b/>
                <w:bCs/>
                <w:u w:val="single"/>
                <w:lang w:eastAsia="zh-CN"/>
              </w:rPr>
              <w:t>通信：</w:t>
            </w:r>
            <w:r>
              <w:rPr>
                <w:rFonts w:hint="eastAsia"/>
                <w:u w:val="single"/>
                <w:lang w:eastAsia="zh-CN"/>
              </w:rPr>
              <w:t>新建通信电缆单侧布置于道路东侧人行道下，其中心距离人行道外边线1.0m，规划孔数为：8Φ110。通信（集约化）包含：电信、移动、联通、有线电视。</w:t>
            </w:r>
          </w:p>
          <w:p>
            <w:pPr>
              <w:bidi w:val="0"/>
              <w:ind w:firstLine="482" w:firstLineChars="200"/>
              <w:rPr>
                <w:rFonts w:hint="eastAsia"/>
                <w:u w:val="single"/>
                <w:lang w:eastAsia="zh-CN"/>
              </w:rPr>
            </w:pPr>
            <w:r>
              <w:rPr>
                <w:rFonts w:hint="eastAsia"/>
                <w:b/>
                <w:bCs/>
                <w:u w:val="single"/>
                <w:lang w:val="en-US" w:eastAsia="zh-CN"/>
              </w:rPr>
              <w:t>3）</w:t>
            </w:r>
            <w:r>
              <w:rPr>
                <w:rFonts w:hint="eastAsia"/>
                <w:b/>
                <w:bCs/>
                <w:u w:val="single"/>
                <w:lang w:eastAsia="zh-CN"/>
              </w:rPr>
              <w:t>纬四路</w:t>
            </w:r>
            <w:r>
              <w:rPr>
                <w:rFonts w:hint="eastAsia"/>
                <w:u w:val="single"/>
                <w:lang w:eastAsia="zh-CN"/>
              </w:rPr>
              <w:t xml:space="preserve">： </w:t>
            </w:r>
            <w:r>
              <w:rPr>
                <w:rFonts w:hint="eastAsia"/>
                <w:b/>
                <w:bCs/>
                <w:u w:val="single"/>
                <w:lang w:eastAsia="zh-CN"/>
              </w:rPr>
              <w:t>雨水：</w:t>
            </w:r>
            <w:r>
              <w:rPr>
                <w:rFonts w:hint="eastAsia"/>
                <w:u w:val="single"/>
                <w:lang w:eastAsia="zh-CN"/>
              </w:rPr>
              <w:t>单侧布置于道路南侧机动车行道下，管道中心距离车行道边线1.5m，管径为DN500~DN800；</w:t>
            </w:r>
            <w:r>
              <w:rPr>
                <w:rFonts w:hint="eastAsia"/>
                <w:b/>
                <w:bCs/>
                <w:u w:val="single"/>
                <w:lang w:eastAsia="zh-CN"/>
              </w:rPr>
              <w:t>污水：</w:t>
            </w:r>
            <w:r>
              <w:rPr>
                <w:rFonts w:hint="eastAsia"/>
                <w:u w:val="single"/>
                <w:lang w:eastAsia="zh-CN"/>
              </w:rPr>
              <w:t>单侧布置于道路北侧车行道下，管道中心距离车行道边线1.5m，管径为DN600；</w:t>
            </w:r>
            <w:r>
              <w:rPr>
                <w:rFonts w:hint="eastAsia"/>
                <w:b/>
                <w:bCs/>
                <w:u w:val="single"/>
                <w:lang w:eastAsia="zh-CN"/>
              </w:rPr>
              <w:t>给水：</w:t>
            </w:r>
            <w:r>
              <w:rPr>
                <w:rFonts w:hint="eastAsia"/>
                <w:u w:val="single"/>
                <w:lang w:eastAsia="zh-CN"/>
              </w:rPr>
              <w:t>新建DN300给水管单侧布置于道路南侧人行道下，其中心距离人行道外边线1.5m；</w:t>
            </w:r>
            <w:r>
              <w:rPr>
                <w:rFonts w:hint="eastAsia"/>
                <w:b/>
                <w:bCs/>
                <w:u w:val="single"/>
                <w:lang w:eastAsia="zh-CN"/>
              </w:rPr>
              <w:t>燃气：</w:t>
            </w:r>
            <w:r>
              <w:rPr>
                <w:rFonts w:hint="eastAsia"/>
                <w:u w:val="single"/>
                <w:lang w:eastAsia="zh-CN"/>
              </w:rPr>
              <w:t>新建DN200燃气管单侧布置于道路北侧人行道下，其中心距离人行道外边线2.0m；</w:t>
            </w:r>
            <w:r>
              <w:rPr>
                <w:rFonts w:hint="eastAsia"/>
                <w:b/>
                <w:bCs/>
                <w:u w:val="single"/>
                <w:lang w:eastAsia="zh-CN"/>
              </w:rPr>
              <w:t>路灯</w:t>
            </w:r>
            <w:r>
              <w:rPr>
                <w:rFonts w:hint="eastAsia"/>
                <w:u w:val="single"/>
                <w:lang w:eastAsia="zh-CN"/>
              </w:rPr>
              <w:t>：路灯供电线单侧布置于道路南侧人行道下，距离道路机动车道边线2.5m，孔数为4Φ110（含公用 设备电力线1Φ110）；</w:t>
            </w:r>
            <w:r>
              <w:rPr>
                <w:rFonts w:hint="eastAsia"/>
                <w:b/>
                <w:bCs/>
                <w:u w:val="single"/>
                <w:lang w:eastAsia="zh-CN"/>
              </w:rPr>
              <w:t>电力：</w:t>
            </w:r>
            <w:r>
              <w:rPr>
                <w:rFonts w:hint="eastAsia"/>
                <w:u w:val="single"/>
                <w:lang w:eastAsia="zh-CN"/>
              </w:rPr>
              <w:t>单侧布置于道路南侧人行道下，其中心距离人行道外边线0.35m，规划孔数为：4Φ150+3Φ100+1Φ70。</w:t>
            </w:r>
            <w:r>
              <w:rPr>
                <w:rFonts w:hint="eastAsia"/>
                <w:b/>
                <w:bCs/>
                <w:u w:val="single"/>
                <w:lang w:eastAsia="zh-CN"/>
              </w:rPr>
              <w:t>通信：</w:t>
            </w:r>
            <w:r>
              <w:rPr>
                <w:rFonts w:hint="eastAsia"/>
                <w:u w:val="single"/>
                <w:lang w:eastAsia="zh-CN"/>
              </w:rPr>
              <w:t>新建通信电缆单侧布置于道路北侧人行道下，其中心距离人行道外边线0.5m，规划孔数为：6Φ110。通信（集约化）包含：电信、移动、联通、有线电视。</w:t>
            </w:r>
          </w:p>
          <w:p>
            <w:pPr>
              <w:pStyle w:val="71"/>
              <w:ind w:firstLine="562"/>
              <w:rPr>
                <w:rFonts w:hint="eastAsia"/>
                <w:u w:val="single"/>
                <w:lang w:eastAsia="zh-CN"/>
              </w:rPr>
            </w:pPr>
            <w:r>
              <w:rPr>
                <w:rFonts w:hint="eastAsia"/>
                <w:b/>
                <w:bCs/>
                <w:u w:val="single"/>
                <w:lang w:val="en-US" w:eastAsia="zh-CN"/>
              </w:rPr>
              <w:t>4）</w:t>
            </w:r>
            <w:r>
              <w:rPr>
                <w:rFonts w:hint="eastAsia"/>
                <w:b/>
                <w:bCs/>
                <w:u w:val="single"/>
                <w:lang w:eastAsia="zh-CN"/>
              </w:rPr>
              <w:t>百合路</w:t>
            </w:r>
            <w:r>
              <w:rPr>
                <w:rFonts w:hint="eastAsia"/>
                <w:u w:val="single"/>
                <w:lang w:eastAsia="zh-CN"/>
              </w:rPr>
              <w:t>：</w:t>
            </w:r>
            <w:r>
              <w:rPr>
                <w:rFonts w:hint="eastAsia"/>
                <w:b/>
                <w:color w:val="000000" w:themeColor="text1"/>
                <w:u w:val="single"/>
                <w14:textFill>
                  <w14:solidFill>
                    <w14:schemeClr w14:val="tx1"/>
                  </w14:solidFill>
                </w14:textFill>
              </w:rPr>
              <w:t>雨水：</w:t>
            </w:r>
            <w:r>
              <w:rPr>
                <w:rFonts w:hint="eastAsia"/>
                <w:color w:val="000000" w:themeColor="text1"/>
                <w:u w:val="single"/>
                <w14:textFill>
                  <w14:solidFill>
                    <w14:schemeClr w14:val="tx1"/>
                  </w14:solidFill>
                </w14:textFill>
              </w:rPr>
              <w:t>单侧布置于道路西侧非</w:t>
            </w:r>
            <w:r>
              <w:rPr>
                <w:color w:val="000000" w:themeColor="text1"/>
                <w:u w:val="single"/>
                <w14:textFill>
                  <w14:solidFill>
                    <w14:schemeClr w14:val="tx1"/>
                  </w14:solidFill>
                </w14:textFill>
              </w:rPr>
              <w:t>机动</w:t>
            </w:r>
            <w:r>
              <w:rPr>
                <w:rFonts w:hint="eastAsia"/>
                <w:color w:val="000000" w:themeColor="text1"/>
                <w:u w:val="single"/>
                <w14:textFill>
                  <w14:solidFill>
                    <w14:schemeClr w14:val="tx1"/>
                  </w14:solidFill>
                </w14:textFill>
              </w:rPr>
              <w:t>车行道下，管道中心距离车行道边线</w:t>
            </w:r>
            <w:r>
              <w:rPr>
                <w:color w:val="000000" w:themeColor="text1"/>
                <w:u w:val="single"/>
                <w14:textFill>
                  <w14:solidFill>
                    <w14:schemeClr w14:val="tx1"/>
                  </w14:solidFill>
                </w14:textFill>
              </w:rPr>
              <w:t>1.7</w:t>
            </w:r>
            <w:r>
              <w:rPr>
                <w:rFonts w:hint="eastAsia"/>
                <w:color w:val="000000" w:themeColor="text1"/>
                <w:u w:val="single"/>
                <w14:textFill>
                  <w14:solidFill>
                    <w14:schemeClr w14:val="tx1"/>
                  </w14:solidFill>
                </w14:textFill>
              </w:rPr>
              <w:t>m，管径为DN</w:t>
            </w:r>
            <w:r>
              <w:rPr>
                <w:color w:val="000000" w:themeColor="text1"/>
                <w:u w:val="single"/>
                <w14:textFill>
                  <w14:solidFill>
                    <w14:schemeClr w14:val="tx1"/>
                  </w14:solidFill>
                </w14:textFill>
              </w:rPr>
              <w:t>5</w:t>
            </w:r>
            <w:r>
              <w:rPr>
                <w:rFonts w:hint="eastAsia"/>
                <w:color w:val="000000" w:themeColor="text1"/>
                <w:u w:val="single"/>
                <w14:textFill>
                  <w14:solidFill>
                    <w14:schemeClr w14:val="tx1"/>
                  </w14:solidFill>
                </w14:textFill>
              </w:rPr>
              <w:t>00~</w:t>
            </w:r>
            <w:r>
              <w:rPr>
                <w:color w:val="000000" w:themeColor="text1"/>
                <w:u w:val="single"/>
                <w14:textFill>
                  <w14:solidFill>
                    <w14:schemeClr w14:val="tx1"/>
                  </w14:solidFill>
                </w14:textFill>
              </w:rPr>
              <w:t>d18</w:t>
            </w:r>
            <w:r>
              <w:rPr>
                <w:rFonts w:hint="eastAsia"/>
                <w:color w:val="000000" w:themeColor="text1"/>
                <w:u w:val="single"/>
                <w14:textFill>
                  <w14:solidFill>
                    <w14:schemeClr w14:val="tx1"/>
                  </w14:solidFill>
                </w14:textFill>
              </w:rPr>
              <w:t>00</w:t>
            </w:r>
            <w:r>
              <w:rPr>
                <w:rFonts w:hint="eastAsia"/>
                <w:color w:val="000000" w:themeColor="text1"/>
                <w:u w:val="single"/>
                <w:lang w:eastAsia="zh-CN"/>
                <w14:textFill>
                  <w14:solidFill>
                    <w14:schemeClr w14:val="tx1"/>
                  </w14:solidFill>
                </w14:textFill>
              </w:rPr>
              <w:t>；</w:t>
            </w:r>
            <w:r>
              <w:rPr>
                <w:rFonts w:hint="eastAsia"/>
                <w:b/>
                <w:color w:val="000000" w:themeColor="text1"/>
                <w:u w:val="single"/>
                <w14:textFill>
                  <w14:solidFill>
                    <w14:schemeClr w14:val="tx1"/>
                  </w14:solidFill>
                </w14:textFill>
              </w:rPr>
              <w:t>污水：</w:t>
            </w:r>
            <w:r>
              <w:rPr>
                <w:rFonts w:hint="eastAsia"/>
                <w:color w:val="000000" w:themeColor="text1"/>
                <w:u w:val="single"/>
                <w14:textFill>
                  <w14:solidFill>
                    <w14:schemeClr w14:val="tx1"/>
                  </w14:solidFill>
                </w14:textFill>
              </w:rPr>
              <w:t>单侧布置于道路东侧非车行道下，管道中心距离车行道边线</w:t>
            </w:r>
            <w:r>
              <w:rPr>
                <w:color w:val="000000" w:themeColor="text1"/>
                <w:u w:val="single"/>
                <w14:textFill>
                  <w14:solidFill>
                    <w14:schemeClr w14:val="tx1"/>
                  </w14:solidFill>
                </w14:textFill>
              </w:rPr>
              <w:t>1.7</w:t>
            </w:r>
            <w:r>
              <w:rPr>
                <w:rFonts w:hint="eastAsia"/>
                <w:color w:val="000000" w:themeColor="text1"/>
                <w:u w:val="single"/>
                <w14:textFill>
                  <w14:solidFill>
                    <w14:schemeClr w14:val="tx1"/>
                  </w14:solidFill>
                </w14:textFill>
              </w:rPr>
              <w:t>m，管径为</w:t>
            </w:r>
            <w:r>
              <w:rPr>
                <w:color w:val="000000" w:themeColor="text1"/>
                <w:u w:val="single"/>
                <w14:textFill>
                  <w14:solidFill>
                    <w14:schemeClr w14:val="tx1"/>
                  </w14:solidFill>
                </w14:textFill>
              </w:rPr>
              <w:t>DN</w:t>
            </w:r>
            <w:r>
              <w:rPr>
                <w:rFonts w:hint="eastAsia"/>
                <w:color w:val="000000" w:themeColor="text1"/>
                <w:u w:val="single"/>
                <w14:textFill>
                  <w14:solidFill>
                    <w14:schemeClr w14:val="tx1"/>
                  </w14:solidFill>
                </w14:textFill>
              </w:rPr>
              <w:t>4</w:t>
            </w:r>
            <w:r>
              <w:rPr>
                <w:color w:val="000000" w:themeColor="text1"/>
                <w:u w:val="single"/>
                <w14:textFill>
                  <w14:solidFill>
                    <w14:schemeClr w14:val="tx1"/>
                  </w14:solidFill>
                </w14:textFill>
              </w:rPr>
              <w:t>00</w:t>
            </w:r>
            <w:r>
              <w:rPr>
                <w:rFonts w:hint="eastAsia" w:ascii="微软雅黑" w:hAnsi="微软雅黑" w:eastAsia="微软雅黑"/>
                <w:color w:val="000000" w:themeColor="text1"/>
                <w:u w:val="single"/>
                <w14:textFill>
                  <w14:solidFill>
                    <w14:schemeClr w14:val="tx1"/>
                  </w14:solidFill>
                </w14:textFill>
              </w:rPr>
              <w:t>～</w:t>
            </w:r>
            <w:r>
              <w:rPr>
                <w:color w:val="000000" w:themeColor="text1"/>
                <w:u w:val="single"/>
                <w14:textFill>
                  <w14:solidFill>
                    <w14:schemeClr w14:val="tx1"/>
                  </w14:solidFill>
                </w14:textFill>
              </w:rPr>
              <w:t>DN600</w:t>
            </w:r>
            <w:r>
              <w:rPr>
                <w:rFonts w:hint="eastAsia"/>
                <w:color w:val="000000" w:themeColor="text1"/>
                <w:u w:val="single"/>
                <w:lang w:eastAsia="zh-CN"/>
                <w14:textFill>
                  <w14:solidFill>
                    <w14:schemeClr w14:val="tx1"/>
                  </w14:solidFill>
                </w14:textFill>
              </w:rPr>
              <w:t>；</w:t>
            </w:r>
            <w:r>
              <w:rPr>
                <w:rFonts w:ascii="宋体"/>
                <w:b/>
                <w:color w:val="000000" w:themeColor="text1"/>
                <w:u w:val="single"/>
                <w14:textFill>
                  <w14:solidFill>
                    <w14:schemeClr w14:val="tx1"/>
                  </w14:solidFill>
                </w14:textFill>
              </w:rPr>
              <w:t>给水：</w:t>
            </w:r>
            <w:r>
              <w:rPr>
                <w:rFonts w:ascii="宋体"/>
                <w:color w:val="000000" w:themeColor="text1"/>
                <w:u w:val="single"/>
                <w14:textFill>
                  <w14:solidFill>
                    <w14:schemeClr w14:val="tx1"/>
                  </w14:solidFill>
                </w14:textFill>
              </w:rPr>
              <w:t>新建</w:t>
            </w:r>
            <w:r>
              <w:rPr>
                <w:color w:val="000000" w:themeColor="text1"/>
                <w:u w:val="single"/>
                <w14:textFill>
                  <w14:solidFill>
                    <w14:schemeClr w14:val="tx1"/>
                  </w14:solidFill>
                </w14:textFill>
              </w:rPr>
              <w:t>DN300</w:t>
            </w:r>
            <w:r>
              <w:rPr>
                <w:rFonts w:ascii="宋体"/>
                <w:color w:val="000000" w:themeColor="text1"/>
                <w:u w:val="single"/>
                <w14:textFill>
                  <w14:solidFill>
                    <w14:schemeClr w14:val="tx1"/>
                  </w14:solidFill>
                </w14:textFill>
              </w:rPr>
              <w:t>给水管</w:t>
            </w:r>
            <w:r>
              <w:rPr>
                <w:rFonts w:hint="eastAsia" w:ascii="宋体"/>
                <w:color w:val="000000" w:themeColor="text1"/>
                <w:u w:val="single"/>
                <w14:textFill>
                  <w14:solidFill>
                    <w14:schemeClr w14:val="tx1"/>
                  </w14:solidFill>
                </w14:textFill>
              </w:rPr>
              <w:t>单侧布置于道路东侧人行道下，其中心距离人行道外边线</w:t>
            </w:r>
            <w:r>
              <w:rPr>
                <w:color w:val="000000" w:themeColor="text1"/>
                <w:u w:val="single"/>
                <w14:textFill>
                  <w14:solidFill>
                    <w14:schemeClr w14:val="tx1"/>
                  </w14:solidFill>
                </w14:textFill>
              </w:rPr>
              <w:t>1.8</w:t>
            </w:r>
            <w:r>
              <w:rPr>
                <w:rFonts w:hint="eastAsia"/>
                <w:color w:val="000000" w:themeColor="text1"/>
                <w:u w:val="single"/>
                <w14:textFill>
                  <w14:solidFill>
                    <w14:schemeClr w14:val="tx1"/>
                  </w14:solidFill>
                </w14:textFill>
              </w:rPr>
              <w:t>m</w:t>
            </w:r>
            <w:r>
              <w:rPr>
                <w:rFonts w:hint="eastAsia"/>
                <w:color w:val="000000" w:themeColor="text1"/>
                <w:u w:val="single"/>
                <w:lang w:eastAsia="zh-CN"/>
                <w14:textFill>
                  <w14:solidFill>
                    <w14:schemeClr w14:val="tx1"/>
                  </w14:solidFill>
                </w14:textFill>
              </w:rPr>
              <w:t>；</w:t>
            </w:r>
            <w:r>
              <w:rPr>
                <w:rFonts w:hint="eastAsia" w:ascii="宋体"/>
                <w:b/>
                <w:color w:val="000000" w:themeColor="text1"/>
                <w:u w:val="single"/>
                <w14:textFill>
                  <w14:solidFill>
                    <w14:schemeClr w14:val="tx1"/>
                  </w14:solidFill>
                </w14:textFill>
              </w:rPr>
              <w:t>燃气：</w:t>
            </w:r>
            <w:r>
              <w:rPr>
                <w:rFonts w:ascii="宋体"/>
                <w:color w:val="000000" w:themeColor="text1"/>
                <w:u w:val="single"/>
                <w14:textFill>
                  <w14:solidFill>
                    <w14:schemeClr w14:val="tx1"/>
                  </w14:solidFill>
                </w14:textFill>
              </w:rPr>
              <w:t>新建</w:t>
            </w:r>
            <w:r>
              <w:rPr>
                <w:color w:val="000000" w:themeColor="text1"/>
                <w:u w:val="single"/>
                <w14:textFill>
                  <w14:solidFill>
                    <w14:schemeClr w14:val="tx1"/>
                  </w14:solidFill>
                </w14:textFill>
              </w:rPr>
              <w:t>DN200</w:t>
            </w:r>
            <w:r>
              <w:rPr>
                <w:rFonts w:hint="eastAsia" w:ascii="宋体"/>
                <w:color w:val="000000" w:themeColor="text1"/>
                <w:u w:val="single"/>
                <w14:textFill>
                  <w14:solidFill>
                    <w14:schemeClr w14:val="tx1"/>
                  </w14:solidFill>
                </w14:textFill>
              </w:rPr>
              <w:t>燃气</w:t>
            </w:r>
            <w:r>
              <w:rPr>
                <w:rFonts w:ascii="宋体"/>
                <w:color w:val="000000" w:themeColor="text1"/>
                <w:u w:val="single"/>
                <w14:textFill>
                  <w14:solidFill>
                    <w14:schemeClr w14:val="tx1"/>
                  </w14:solidFill>
                </w14:textFill>
              </w:rPr>
              <w:t>管</w:t>
            </w:r>
            <w:r>
              <w:rPr>
                <w:rFonts w:hint="eastAsia" w:ascii="宋体"/>
                <w:color w:val="000000" w:themeColor="text1"/>
                <w:u w:val="single"/>
                <w14:textFill>
                  <w14:solidFill>
                    <w14:schemeClr w14:val="tx1"/>
                  </w14:solidFill>
                </w14:textFill>
              </w:rPr>
              <w:t>单侧布置于道路西侧人行道下，其中心距离人行道</w:t>
            </w:r>
            <w:r>
              <w:rPr>
                <w:rFonts w:ascii="宋体"/>
                <w:color w:val="000000" w:themeColor="text1"/>
                <w:u w:val="single"/>
                <w14:textFill>
                  <w14:solidFill>
                    <w14:schemeClr w14:val="tx1"/>
                  </w14:solidFill>
                </w14:textFill>
              </w:rPr>
              <w:t>外</w:t>
            </w:r>
            <w:r>
              <w:rPr>
                <w:rFonts w:hint="eastAsia" w:ascii="宋体"/>
                <w:color w:val="000000" w:themeColor="text1"/>
                <w:u w:val="single"/>
                <w14:textFill>
                  <w14:solidFill>
                    <w14:schemeClr w14:val="tx1"/>
                  </w14:solidFill>
                </w14:textFill>
              </w:rPr>
              <w:t>边线</w:t>
            </w:r>
            <w:r>
              <w:rPr>
                <w:color w:val="000000" w:themeColor="text1"/>
                <w:u w:val="single"/>
                <w14:textFill>
                  <w14:solidFill>
                    <w14:schemeClr w14:val="tx1"/>
                  </w14:solidFill>
                </w14:textFill>
              </w:rPr>
              <w:t>1.8</w:t>
            </w:r>
            <w:r>
              <w:rPr>
                <w:rFonts w:hint="eastAsia"/>
                <w:color w:val="000000" w:themeColor="text1"/>
                <w:u w:val="single"/>
                <w14:textFill>
                  <w14:solidFill>
                    <w14:schemeClr w14:val="tx1"/>
                  </w14:solidFill>
                </w14:textFill>
              </w:rPr>
              <w:t>m</w:t>
            </w:r>
            <w:r>
              <w:rPr>
                <w:rFonts w:hint="eastAsia"/>
                <w:color w:val="000000" w:themeColor="text1"/>
                <w:u w:val="single"/>
                <w:lang w:eastAsia="zh-CN"/>
                <w14:textFill>
                  <w14:solidFill>
                    <w14:schemeClr w14:val="tx1"/>
                  </w14:solidFill>
                </w14:textFill>
              </w:rPr>
              <w:t>；</w:t>
            </w:r>
            <w:r>
              <w:rPr>
                <w:rFonts w:hint="eastAsia"/>
                <w:b/>
                <w:color w:val="000000" w:themeColor="text1"/>
                <w:u w:val="single"/>
                <w14:textFill>
                  <w14:solidFill>
                    <w14:schemeClr w14:val="tx1"/>
                  </w14:solidFill>
                </w14:textFill>
              </w:rPr>
              <w:t>路灯：</w:t>
            </w:r>
            <w:r>
              <w:rPr>
                <w:rFonts w:hint="eastAsia"/>
                <w:color w:val="000000" w:themeColor="text1"/>
                <w:u w:val="single"/>
                <w14:textFill>
                  <w14:solidFill>
                    <w14:schemeClr w14:val="tx1"/>
                  </w14:solidFill>
                </w14:textFill>
              </w:rPr>
              <w:t>路灯供电线双侧布置于道路非机动</w:t>
            </w:r>
            <w:r>
              <w:rPr>
                <w:color w:val="000000" w:themeColor="text1"/>
                <w:u w:val="single"/>
                <w14:textFill>
                  <w14:solidFill>
                    <w14:schemeClr w14:val="tx1"/>
                  </w14:solidFill>
                </w14:textFill>
              </w:rPr>
              <w:t>车</w:t>
            </w:r>
            <w:r>
              <w:rPr>
                <w:rFonts w:hint="eastAsia"/>
                <w:color w:val="000000" w:themeColor="text1"/>
                <w:u w:val="single"/>
                <w14:textFill>
                  <w14:solidFill>
                    <w14:schemeClr w14:val="tx1"/>
                  </w14:solidFill>
                </w14:textFill>
              </w:rPr>
              <w:t>道下，距离道路机动</w:t>
            </w:r>
            <w:r>
              <w:rPr>
                <w:color w:val="000000" w:themeColor="text1"/>
                <w:u w:val="single"/>
                <w14:textFill>
                  <w14:solidFill>
                    <w14:schemeClr w14:val="tx1"/>
                  </w14:solidFill>
                </w14:textFill>
              </w:rPr>
              <w:t>车道边线</w:t>
            </w:r>
            <w:r>
              <w:rPr>
                <w:rFonts w:hint="eastAsia"/>
                <w:color w:val="000000" w:themeColor="text1"/>
                <w:u w:val="single"/>
                <w14:textFill>
                  <w14:solidFill>
                    <w14:schemeClr w14:val="tx1"/>
                  </w14:solidFill>
                </w14:textFill>
              </w:rPr>
              <w:t>0.</w:t>
            </w:r>
            <w:r>
              <w:rPr>
                <w:color w:val="000000" w:themeColor="text1"/>
                <w:u w:val="single"/>
                <w14:textFill>
                  <w14:solidFill>
                    <w14:schemeClr w14:val="tx1"/>
                  </w14:solidFill>
                </w14:textFill>
              </w:rPr>
              <w:t>5m</w:t>
            </w:r>
            <w:r>
              <w:rPr>
                <w:rFonts w:hint="eastAsia"/>
                <w:color w:val="000000" w:themeColor="text1"/>
                <w:u w:val="single"/>
                <w14:textFill>
                  <w14:solidFill>
                    <w14:schemeClr w14:val="tx1"/>
                  </w14:solidFill>
                </w14:textFill>
              </w:rPr>
              <w:t>，孔数为</w:t>
            </w:r>
            <w:r>
              <w:rPr>
                <w:color w:val="000000" w:themeColor="text1"/>
                <w:u w:val="single"/>
                <w14:textFill>
                  <w14:solidFill>
                    <w14:schemeClr w14:val="tx1"/>
                  </w14:solidFill>
                </w14:textFill>
              </w:rPr>
              <w:t>4Φ110</w:t>
            </w:r>
            <w:r>
              <w:rPr>
                <w:rFonts w:hint="eastAsia"/>
                <w:color w:val="000000" w:themeColor="text1"/>
                <w:u w:val="single"/>
                <w14:textFill>
                  <w14:solidFill>
                    <w14:schemeClr w14:val="tx1"/>
                  </w14:solidFill>
                </w14:textFill>
              </w:rPr>
              <w:t>（含公用设备电力线</w:t>
            </w:r>
            <w:r>
              <w:rPr>
                <w:color w:val="000000" w:themeColor="text1"/>
                <w:u w:val="single"/>
                <w14:textFill>
                  <w14:solidFill>
                    <w14:schemeClr w14:val="tx1"/>
                  </w14:solidFill>
                </w14:textFill>
              </w:rPr>
              <w:t>1Φ110</w:t>
            </w:r>
            <w:r>
              <w:rPr>
                <w:rFonts w:hint="eastAsia"/>
                <w:color w:val="000000" w:themeColor="text1"/>
                <w:u w:val="single"/>
                <w14:textFill>
                  <w14:solidFill>
                    <w14:schemeClr w14:val="tx1"/>
                  </w14:solidFill>
                </w14:textFill>
              </w:rPr>
              <w:t>）</w:t>
            </w:r>
            <w:r>
              <w:rPr>
                <w:rFonts w:hint="eastAsia"/>
                <w:color w:val="000000" w:themeColor="text1"/>
                <w:u w:val="single"/>
                <w:lang w:eastAsia="zh-CN"/>
                <w14:textFill>
                  <w14:solidFill>
                    <w14:schemeClr w14:val="tx1"/>
                  </w14:solidFill>
                </w14:textFill>
              </w:rPr>
              <w:t>；</w:t>
            </w:r>
            <w:r>
              <w:rPr>
                <w:rFonts w:ascii="宋体" w:hAnsi="宋体"/>
                <w:b/>
                <w:color w:val="000000" w:themeColor="text1"/>
                <w:u w:val="single"/>
                <w14:textFill>
                  <w14:solidFill>
                    <w14:schemeClr w14:val="tx1"/>
                  </w14:solidFill>
                </w14:textFill>
              </w:rPr>
              <w:t>电力：</w:t>
            </w:r>
            <w:r>
              <w:rPr>
                <w:rFonts w:hint="eastAsia" w:ascii="宋体" w:hAnsi="宋体"/>
                <w:color w:val="000000" w:themeColor="text1"/>
                <w:u w:val="single"/>
                <w14:textFill>
                  <w14:solidFill>
                    <w14:schemeClr w14:val="tx1"/>
                  </w14:solidFill>
                </w14:textFill>
              </w:rPr>
              <w:t>单侧布置于道路东侧人行道下，其中心距离人行道</w:t>
            </w:r>
            <w:r>
              <w:rPr>
                <w:rFonts w:ascii="宋体" w:hAnsi="宋体"/>
                <w:color w:val="000000" w:themeColor="text1"/>
                <w:u w:val="single"/>
                <w14:textFill>
                  <w14:solidFill>
                    <w14:schemeClr w14:val="tx1"/>
                  </w14:solidFill>
                </w14:textFill>
              </w:rPr>
              <w:t>外</w:t>
            </w:r>
            <w:r>
              <w:rPr>
                <w:rFonts w:hint="eastAsia" w:ascii="宋体" w:hAnsi="宋体"/>
                <w:color w:val="000000" w:themeColor="text1"/>
                <w:u w:val="single"/>
                <w14:textFill>
                  <w14:solidFill>
                    <w14:schemeClr w14:val="tx1"/>
                  </w14:solidFill>
                </w14:textFill>
              </w:rPr>
              <w:t>边线</w:t>
            </w:r>
            <w:r>
              <w:rPr>
                <w:color w:val="000000" w:themeColor="text1"/>
                <w:u w:val="single"/>
                <w14:textFill>
                  <w14:solidFill>
                    <w14:schemeClr w14:val="tx1"/>
                  </w14:solidFill>
                </w14:textFill>
              </w:rPr>
              <w:t>0.5</w:t>
            </w:r>
            <w:r>
              <w:rPr>
                <w:rFonts w:hint="eastAsia"/>
                <w:color w:val="000000" w:themeColor="text1"/>
                <w:u w:val="single"/>
                <w14:textFill>
                  <w14:solidFill>
                    <w14:schemeClr w14:val="tx1"/>
                  </w14:solidFill>
                </w14:textFill>
              </w:rPr>
              <w:t>m</w:t>
            </w:r>
            <w:r>
              <w:rPr>
                <w:rFonts w:ascii="宋体" w:hAnsi="宋体"/>
                <w:color w:val="000000" w:themeColor="text1"/>
                <w:u w:val="single"/>
                <w14:textFill>
                  <w14:solidFill>
                    <w14:schemeClr w14:val="tx1"/>
                  </w14:solidFill>
                </w14:textFill>
              </w:rPr>
              <w:t>，规划孔数为：</w:t>
            </w:r>
            <w:r>
              <w:rPr>
                <w:color w:val="000000" w:themeColor="text1"/>
                <w:u w:val="single"/>
                <w14:textFill>
                  <w14:solidFill>
                    <w14:schemeClr w14:val="tx1"/>
                  </w14:solidFill>
                </w14:textFill>
              </w:rPr>
              <w:t>6Φ150+3Φ100+</w:t>
            </w:r>
            <w:r>
              <w:rPr>
                <w:rFonts w:hint="eastAsia"/>
                <w:color w:val="000000" w:themeColor="text1"/>
                <w:u w:val="single"/>
                <w14:textFill>
                  <w14:solidFill>
                    <w14:schemeClr w14:val="tx1"/>
                  </w14:solidFill>
                </w14:textFill>
              </w:rPr>
              <w:t>1</w:t>
            </w:r>
            <w:r>
              <w:rPr>
                <w:color w:val="000000" w:themeColor="text1"/>
                <w:u w:val="single"/>
                <w14:textFill>
                  <w14:solidFill>
                    <w14:schemeClr w14:val="tx1"/>
                  </w14:solidFill>
                </w14:textFill>
              </w:rPr>
              <w:t>Φ</w:t>
            </w:r>
            <w:r>
              <w:rPr>
                <w:rFonts w:hint="eastAsia"/>
                <w:color w:val="000000" w:themeColor="text1"/>
                <w:u w:val="single"/>
                <w14:textFill>
                  <w14:solidFill>
                    <w14:schemeClr w14:val="tx1"/>
                  </w14:solidFill>
                </w14:textFill>
              </w:rPr>
              <w:t>7</w:t>
            </w:r>
            <w:r>
              <w:rPr>
                <w:color w:val="000000" w:themeColor="text1"/>
                <w:u w:val="single"/>
                <w14:textFill>
                  <w14:solidFill>
                    <w14:schemeClr w14:val="tx1"/>
                  </w14:solidFill>
                </w14:textFill>
              </w:rPr>
              <w:t>0</w:t>
            </w:r>
            <w:r>
              <w:rPr>
                <w:rFonts w:ascii="宋体" w:hAnsi="宋体"/>
                <w:color w:val="000000" w:themeColor="text1"/>
                <w:u w:val="single"/>
                <w14:textFill>
                  <w14:solidFill>
                    <w14:schemeClr w14:val="tx1"/>
                  </w14:solidFill>
                </w14:textFill>
              </w:rPr>
              <w:t>。</w:t>
            </w:r>
            <w:r>
              <w:rPr>
                <w:rFonts w:ascii="宋体" w:hAnsi="宋体"/>
                <w:b/>
                <w:color w:val="000000" w:themeColor="text1"/>
                <w:u w:val="single"/>
                <w14:textFill>
                  <w14:solidFill>
                    <w14:schemeClr w14:val="tx1"/>
                  </w14:solidFill>
                </w14:textFill>
              </w:rPr>
              <w:t>通</w:t>
            </w:r>
            <w:r>
              <w:rPr>
                <w:rFonts w:hint="eastAsia" w:ascii="宋体" w:hAnsi="宋体"/>
                <w:b/>
                <w:color w:val="000000" w:themeColor="text1"/>
                <w:u w:val="single"/>
                <w14:textFill>
                  <w14:solidFill>
                    <w14:schemeClr w14:val="tx1"/>
                  </w14:solidFill>
                </w14:textFill>
              </w:rPr>
              <w:t>信</w:t>
            </w:r>
            <w:r>
              <w:rPr>
                <w:rFonts w:ascii="宋体" w:hAnsi="宋体"/>
                <w:b/>
                <w:color w:val="000000" w:themeColor="text1"/>
                <w:u w:val="single"/>
                <w14:textFill>
                  <w14:solidFill>
                    <w14:schemeClr w14:val="tx1"/>
                  </w14:solidFill>
                </w14:textFill>
              </w:rPr>
              <w:t>：</w:t>
            </w:r>
            <w:r>
              <w:rPr>
                <w:rFonts w:ascii="宋体" w:hAnsi="宋体"/>
                <w:color w:val="000000" w:themeColor="text1"/>
                <w:u w:val="single"/>
                <w14:textFill>
                  <w14:solidFill>
                    <w14:schemeClr w14:val="tx1"/>
                  </w14:solidFill>
                </w14:textFill>
              </w:rPr>
              <w:t>新建通</w:t>
            </w:r>
            <w:r>
              <w:rPr>
                <w:rFonts w:hint="eastAsia" w:ascii="宋体" w:hAnsi="宋体"/>
                <w:color w:val="000000" w:themeColor="text1"/>
                <w:u w:val="single"/>
                <w14:textFill>
                  <w14:solidFill>
                    <w14:schemeClr w14:val="tx1"/>
                  </w14:solidFill>
                </w14:textFill>
              </w:rPr>
              <w:t>信</w:t>
            </w:r>
            <w:r>
              <w:rPr>
                <w:rFonts w:ascii="宋体" w:hAnsi="宋体"/>
                <w:color w:val="000000" w:themeColor="text1"/>
                <w:u w:val="single"/>
                <w14:textFill>
                  <w14:solidFill>
                    <w14:schemeClr w14:val="tx1"/>
                  </w14:solidFill>
                </w14:textFill>
              </w:rPr>
              <w:t>电缆</w:t>
            </w:r>
            <w:r>
              <w:rPr>
                <w:rFonts w:hint="eastAsia" w:ascii="宋体" w:hAnsi="宋体"/>
                <w:color w:val="000000" w:themeColor="text1"/>
                <w:u w:val="single"/>
                <w14:textFill>
                  <w14:solidFill>
                    <w14:schemeClr w14:val="tx1"/>
                  </w14:solidFill>
                </w14:textFill>
              </w:rPr>
              <w:t>单侧布置于道路西侧人行道下，其中心距离人行道外边线</w:t>
            </w:r>
            <w:r>
              <w:rPr>
                <w:rFonts w:ascii="宋体" w:hAnsi="宋体"/>
                <w:color w:val="000000" w:themeColor="text1"/>
                <w:u w:val="single"/>
                <w14:textFill>
                  <w14:solidFill>
                    <w14:schemeClr w14:val="tx1"/>
                  </w14:solidFill>
                </w14:textFill>
              </w:rPr>
              <w:t>0.4</w:t>
            </w:r>
            <w:r>
              <w:rPr>
                <w:rFonts w:hint="eastAsia" w:ascii="宋体" w:hAnsi="宋体"/>
                <w:color w:val="000000" w:themeColor="text1"/>
                <w:u w:val="single"/>
                <w14:textFill>
                  <w14:solidFill>
                    <w14:schemeClr w14:val="tx1"/>
                  </w14:solidFill>
                </w14:textFill>
              </w:rPr>
              <w:t>m</w:t>
            </w:r>
            <w:r>
              <w:rPr>
                <w:rFonts w:ascii="宋体" w:hAnsi="宋体"/>
                <w:color w:val="000000" w:themeColor="text1"/>
                <w:u w:val="single"/>
                <w14:textFill>
                  <w14:solidFill>
                    <w14:schemeClr w14:val="tx1"/>
                  </w14:solidFill>
                </w14:textFill>
              </w:rPr>
              <w:t>，规划孔数为：</w:t>
            </w:r>
            <w:r>
              <w:rPr>
                <w:rFonts w:hint="eastAsia"/>
                <w:color w:val="000000" w:themeColor="text1"/>
                <w:u w:val="single"/>
                <w14:textFill>
                  <w14:solidFill>
                    <w14:schemeClr w14:val="tx1"/>
                  </w14:solidFill>
                </w14:textFill>
              </w:rPr>
              <w:t>6</w:t>
            </w:r>
            <w:r>
              <w:rPr>
                <w:color w:val="000000" w:themeColor="text1"/>
                <w:u w:val="single"/>
                <w14:textFill>
                  <w14:solidFill>
                    <w14:schemeClr w14:val="tx1"/>
                  </w14:solidFill>
                </w14:textFill>
              </w:rPr>
              <w:t>Φ110</w:t>
            </w:r>
            <w:r>
              <w:rPr>
                <w:rFonts w:ascii="宋体" w:hAnsi="宋体"/>
                <w:color w:val="000000" w:themeColor="text1"/>
                <w:u w:val="single"/>
                <w14:textFill>
                  <w14:solidFill>
                    <w14:schemeClr w14:val="tx1"/>
                  </w14:solidFill>
                </w14:textFill>
              </w:rPr>
              <w:t>。通</w:t>
            </w:r>
            <w:r>
              <w:rPr>
                <w:rFonts w:hint="eastAsia" w:ascii="宋体" w:hAnsi="宋体"/>
                <w:color w:val="000000" w:themeColor="text1"/>
                <w:u w:val="single"/>
                <w14:textFill>
                  <w14:solidFill>
                    <w14:schemeClr w14:val="tx1"/>
                  </w14:solidFill>
                </w14:textFill>
              </w:rPr>
              <w:t>信</w:t>
            </w:r>
            <w:r>
              <w:rPr>
                <w:rFonts w:ascii="宋体" w:hAnsi="宋体"/>
                <w:color w:val="000000" w:themeColor="text1"/>
                <w:u w:val="single"/>
                <w14:textFill>
                  <w14:solidFill>
                    <w14:schemeClr w14:val="tx1"/>
                  </w14:solidFill>
                </w14:textFill>
              </w:rPr>
              <w:t>（集约化）包含：电信、移动、联通、</w:t>
            </w:r>
            <w:r>
              <w:rPr>
                <w:rFonts w:hint="eastAsia" w:ascii="宋体" w:hAnsi="宋体"/>
                <w:color w:val="000000" w:themeColor="text1"/>
                <w:u w:val="single"/>
                <w14:textFill>
                  <w14:solidFill>
                    <w14:schemeClr w14:val="tx1"/>
                  </w14:solidFill>
                </w14:textFill>
              </w:rPr>
              <w:t>有线电视</w:t>
            </w:r>
            <w:r>
              <w:rPr>
                <w:rFonts w:ascii="宋体" w:hAnsi="宋体"/>
                <w:color w:val="000000" w:themeColor="text1"/>
                <w:u w:val="single"/>
                <w14:textFill>
                  <w14:solidFill>
                    <w14:schemeClr w14:val="tx1"/>
                  </w14:solidFill>
                </w14:textFill>
              </w:rPr>
              <w:t>。</w:t>
            </w:r>
          </w:p>
          <w:p>
            <w:pPr>
              <w:bidi w:val="0"/>
              <w:ind w:firstLine="482" w:firstLineChars="200"/>
              <w:rPr>
                <w:b/>
                <w:bCs/>
              </w:rPr>
            </w:pPr>
            <w:r>
              <w:rPr>
                <w:rFonts w:hint="eastAsia"/>
                <w:b/>
                <w:bCs/>
                <w:lang w:eastAsia="zh-CN"/>
              </w:rPr>
              <w:t>（</w:t>
            </w:r>
            <w:r>
              <w:rPr>
                <w:rFonts w:hint="eastAsia"/>
                <w:b/>
                <w:bCs/>
                <w:lang w:val="en-US" w:eastAsia="zh-CN"/>
              </w:rPr>
              <w:t>4</w:t>
            </w:r>
            <w:r>
              <w:rPr>
                <w:rFonts w:hint="eastAsia"/>
                <w:b/>
                <w:bCs/>
                <w:lang w:eastAsia="zh-CN"/>
              </w:rPr>
              <w:t>）</w:t>
            </w:r>
            <w:r>
              <w:rPr>
                <w:b/>
                <w:bCs/>
              </w:rPr>
              <w:t xml:space="preserve">竖向设计 </w:t>
            </w:r>
          </w:p>
          <w:p>
            <w:pPr>
              <w:bidi w:val="0"/>
              <w:ind w:firstLine="480" w:firstLineChars="200"/>
              <w:rPr>
                <w:rFonts w:hint="default"/>
              </w:rPr>
            </w:pPr>
            <w:r>
              <w:t xml:space="preserve">一般路段，由上而下依次为路灯、通信、电力、燃气、给水、雨水、污水。 </w:t>
            </w:r>
          </w:p>
          <w:p>
            <w:pPr>
              <w:bidi w:val="0"/>
              <w:ind w:firstLine="480" w:firstLineChars="200"/>
              <w:rPr>
                <w:rFonts w:hint="default"/>
              </w:rPr>
            </w:pPr>
            <w:r>
              <w:t xml:space="preserve">管线交叉时遵循的原则：压力管让重力流管、可弯曲管让难弯曲或不易弯曲管、小管径管线让大管径管线。 </w:t>
            </w:r>
          </w:p>
          <w:p>
            <w:pPr>
              <w:bidi w:val="0"/>
              <w:ind w:firstLine="480" w:firstLineChars="200"/>
              <w:rPr>
                <w:rFonts w:hint="default"/>
              </w:rPr>
            </w:pPr>
            <w:r>
              <w:t>各管线的最小覆土厚度控制如下：非机动车道、人行道下一般为</w:t>
            </w:r>
            <w:r>
              <w:rPr>
                <w:rFonts w:hint="default"/>
              </w:rPr>
              <w:t>0.6m</w:t>
            </w:r>
            <w:r>
              <w:t>～</w:t>
            </w:r>
            <w:r>
              <w:rPr>
                <w:rFonts w:hint="default"/>
              </w:rPr>
              <w:t>0.8m</w:t>
            </w:r>
            <w:r>
              <w:t xml:space="preserve">，机动车道下为 </w:t>
            </w:r>
            <w:r>
              <w:rPr>
                <w:rFonts w:hint="default"/>
              </w:rPr>
              <w:t>1.0m</w:t>
            </w:r>
            <w:r>
              <w:t>。</w:t>
            </w:r>
          </w:p>
          <w:p>
            <w:pPr>
              <w:bidi w:val="0"/>
              <w:ind w:firstLine="482" w:firstLineChars="200"/>
              <w:rPr>
                <w:b/>
                <w:bCs/>
              </w:rPr>
            </w:pPr>
            <w:bookmarkStart w:id="4" w:name="_Toc19832"/>
            <w:r>
              <w:rPr>
                <w:rFonts w:hint="eastAsia"/>
                <w:b/>
                <w:bCs/>
                <w:lang w:val="en-US" w:eastAsia="zh-CN"/>
              </w:rPr>
              <w:t>2.3.4</w:t>
            </w:r>
            <w:r>
              <w:rPr>
                <w:b/>
                <w:bCs/>
              </w:rPr>
              <w:t>景观工程</w:t>
            </w:r>
            <w:bookmarkEnd w:id="4"/>
          </w:p>
          <w:p>
            <w:pPr>
              <w:bidi w:val="0"/>
              <w:ind w:firstLine="482" w:firstLineChars="200"/>
              <w:rPr>
                <w:rFonts w:hint="default"/>
                <w:b/>
                <w:bCs/>
              </w:rPr>
            </w:pPr>
            <w:r>
              <w:rPr>
                <w:rFonts w:hint="eastAsia"/>
                <w:b/>
                <w:bCs/>
                <w:lang w:eastAsia="zh-CN"/>
              </w:rPr>
              <w:t>（</w:t>
            </w:r>
            <w:r>
              <w:rPr>
                <w:rFonts w:hint="eastAsia"/>
                <w:b/>
                <w:bCs/>
                <w:lang w:val="en-US" w:eastAsia="zh-CN"/>
              </w:rPr>
              <w:t>1</w:t>
            </w:r>
            <w:r>
              <w:rPr>
                <w:rFonts w:hint="eastAsia"/>
                <w:b/>
                <w:bCs/>
                <w:lang w:eastAsia="zh-CN"/>
              </w:rPr>
              <w:t>）</w:t>
            </w:r>
            <w:r>
              <w:rPr>
                <w:rFonts w:hint="default"/>
                <w:b/>
                <w:bCs/>
              </w:rPr>
              <w:t>设计原则</w:t>
            </w:r>
          </w:p>
          <w:p>
            <w:pPr>
              <w:bidi w:val="0"/>
              <w:ind w:firstLine="480" w:firstLineChars="200"/>
              <w:rPr>
                <w:rFonts w:hint="default"/>
              </w:rPr>
            </w:pPr>
            <w:r>
              <w:t>1）海绵城市建设理念与景观生态学相结合</w:t>
            </w:r>
            <w:r>
              <w:rPr>
                <w:rFonts w:hint="eastAsia"/>
                <w:lang w:eastAsia="zh-CN"/>
              </w:rPr>
              <w:t>，</w:t>
            </w:r>
            <w:r>
              <w:rPr>
                <w:rFonts w:hint="default"/>
              </w:rPr>
              <w:t>打造城市道路特色景观。</w:t>
            </w:r>
          </w:p>
          <w:p>
            <w:pPr>
              <w:bidi w:val="0"/>
              <w:ind w:firstLine="480" w:firstLineChars="200"/>
              <w:rPr>
                <w:rFonts w:hint="default"/>
              </w:rPr>
            </w:pPr>
            <w:r>
              <w:rPr>
                <w:rFonts w:hint="eastAsia"/>
              </w:rPr>
              <w:t>2）安全与美观相结合</w:t>
            </w:r>
            <w:r>
              <w:rPr>
                <w:rFonts w:hint="eastAsia"/>
                <w:lang w:eastAsia="zh-CN"/>
              </w:rPr>
              <w:t>，在</w:t>
            </w:r>
            <w:r>
              <w:rPr>
                <w:rFonts w:hint="default"/>
              </w:rPr>
              <w:t>优先满足道路安全</w:t>
            </w:r>
            <w:r>
              <w:rPr>
                <w:rFonts w:hint="eastAsia"/>
                <w:lang w:eastAsia="zh-CN"/>
              </w:rPr>
              <w:t>（</w:t>
            </w:r>
            <w:r>
              <w:rPr>
                <w:rFonts w:hint="default"/>
              </w:rPr>
              <w:t>如防眩、安全视觉三角区等</w:t>
            </w:r>
            <w:r>
              <w:rPr>
                <w:rFonts w:hint="eastAsia"/>
                <w:lang w:eastAsia="zh-CN"/>
              </w:rPr>
              <w:t>）</w:t>
            </w:r>
            <w:r>
              <w:rPr>
                <w:rFonts w:hint="default"/>
              </w:rPr>
              <w:t>的前提下，结合不同的设计手法，营造特色道路景观，</w:t>
            </w:r>
          </w:p>
          <w:p>
            <w:pPr>
              <w:bidi w:val="0"/>
              <w:ind w:firstLine="480" w:firstLineChars="200"/>
              <w:rPr>
                <w:rFonts w:hint="default"/>
              </w:rPr>
            </w:pPr>
            <w:r>
              <w:t>3）适地适树</w:t>
            </w:r>
            <w:r>
              <w:rPr>
                <w:rFonts w:hint="eastAsia"/>
                <w:lang w:eastAsia="zh-CN"/>
              </w:rPr>
              <w:t>，</w:t>
            </w:r>
            <w:r>
              <w:rPr>
                <w:rFonts w:hint="default"/>
              </w:rPr>
              <w:t>道路绿化以乡土树种为主，</w:t>
            </w:r>
            <w:r>
              <w:rPr>
                <w:rFonts w:hint="eastAsia"/>
                <w:lang w:eastAsia="zh-CN"/>
              </w:rPr>
              <w:t>可</w:t>
            </w:r>
            <w:r>
              <w:rPr>
                <w:rFonts w:hint="default"/>
              </w:rPr>
              <w:t>适当引入外来品种，丰富道路景观</w:t>
            </w:r>
            <w:r>
              <w:rPr>
                <w:rFonts w:hint="eastAsia"/>
                <w:lang w:eastAsia="zh-CN"/>
              </w:rPr>
              <w:t>的</w:t>
            </w:r>
            <w:r>
              <w:rPr>
                <w:rFonts w:hint="default"/>
              </w:rPr>
              <w:t>同时也可以控制造价、便于养护管理。</w:t>
            </w:r>
          </w:p>
          <w:p>
            <w:pPr>
              <w:bidi w:val="0"/>
              <w:ind w:firstLine="480" w:firstLineChars="200"/>
              <w:rPr>
                <w:rFonts w:hint="default"/>
              </w:rPr>
            </w:pPr>
            <w:r>
              <w:t>4）</w:t>
            </w:r>
            <w:r>
              <w:rPr>
                <w:rFonts w:hint="eastAsia"/>
                <w:lang w:eastAsia="zh-CN"/>
              </w:rPr>
              <w:t>以人为本，</w:t>
            </w:r>
            <w:r>
              <w:rPr>
                <w:rFonts w:hint="default"/>
              </w:rPr>
              <w:t>从空间要求、视觉感受、色彩搭配、冬暖夏凉等角度出发，营造宜人的道路景观，满足道路景观的整体性、延续性和引导性功能。</w:t>
            </w:r>
          </w:p>
          <w:p>
            <w:pPr>
              <w:bidi w:val="0"/>
              <w:ind w:firstLine="480" w:firstLineChars="200"/>
              <w:rPr>
                <w:rFonts w:hint="default"/>
              </w:rPr>
            </w:pPr>
            <w:r>
              <w:t>5）生态原则</w:t>
            </w:r>
            <w:r>
              <w:rPr>
                <w:rFonts w:hint="eastAsia"/>
                <w:lang w:eastAsia="zh-CN"/>
              </w:rPr>
              <w:t>，</w:t>
            </w:r>
            <w:r>
              <w:rPr>
                <w:rFonts w:hint="default"/>
              </w:rPr>
              <w:t>根据不同空间要求，最大限量地提升绿量，达到降低噪声、废气、粉尘对城市造成的污染。</w:t>
            </w:r>
          </w:p>
          <w:p>
            <w:pPr>
              <w:bidi w:val="0"/>
              <w:ind w:firstLine="480" w:firstLineChars="200"/>
              <w:rPr>
                <w:rFonts w:hint="default"/>
              </w:rPr>
            </w:pPr>
            <w:r>
              <w:rPr>
                <w:rFonts w:hint="eastAsia"/>
                <w:lang w:eastAsia="zh-CN"/>
              </w:rPr>
              <w:t>（</w:t>
            </w:r>
            <w:r>
              <w:rPr>
                <w:rFonts w:hint="eastAsia"/>
                <w:lang w:val="en-US" w:eastAsia="zh-CN"/>
              </w:rPr>
              <w:t>2</w:t>
            </w:r>
            <w:r>
              <w:rPr>
                <w:rFonts w:hint="eastAsia"/>
                <w:lang w:eastAsia="zh-CN"/>
              </w:rPr>
              <w:t>）</w:t>
            </w:r>
            <w:r>
              <w:rPr>
                <w:rFonts w:hint="default"/>
              </w:rPr>
              <w:t>设计内容及手法</w:t>
            </w:r>
          </w:p>
          <w:p>
            <w:pPr>
              <w:bidi w:val="0"/>
              <w:ind w:firstLine="480" w:firstLineChars="200"/>
              <w:rPr>
                <w:rFonts w:hint="default"/>
              </w:rPr>
            </w:pPr>
            <w:r>
              <w:t>1）人行道（绿化及铺装）</w:t>
            </w:r>
            <w:r>
              <w:rPr>
                <w:rFonts w:hint="eastAsia"/>
                <w:lang w:eastAsia="zh-CN"/>
              </w:rPr>
              <w:t>：</w:t>
            </w:r>
            <w:r>
              <w:rPr>
                <w:rFonts w:hint="default"/>
              </w:rPr>
              <w:t>单排行道树</w:t>
            </w:r>
            <w:r>
              <w:rPr>
                <w:rFonts w:hint="eastAsia"/>
                <w:lang w:eastAsia="zh-CN"/>
              </w:rPr>
              <w:t>是</w:t>
            </w:r>
            <w:r>
              <w:rPr>
                <w:rFonts w:hint="default"/>
              </w:rPr>
              <w:t>道路景观的骨架，起界定道路边界的作用，</w:t>
            </w:r>
            <w:r>
              <w:rPr>
                <w:rFonts w:hint="eastAsia"/>
                <w:lang w:eastAsia="zh-CN"/>
              </w:rPr>
              <w:t>能</w:t>
            </w:r>
            <w:r>
              <w:rPr>
                <w:rFonts w:hint="default"/>
              </w:rPr>
              <w:t>达到空间通透的视觉效果。铺装采用透水材料，达到透水效果。</w:t>
            </w:r>
          </w:p>
          <w:p>
            <w:pPr>
              <w:bidi w:val="0"/>
              <w:ind w:firstLine="480" w:firstLineChars="200"/>
            </w:pPr>
            <w:r>
              <w:t>2）建筑缓冲带</w:t>
            </w:r>
            <w:r>
              <w:rPr>
                <w:rFonts w:hint="eastAsia"/>
                <w:lang w:eastAsia="zh-CN"/>
              </w:rPr>
              <w:t>：</w:t>
            </w:r>
            <w:r>
              <w:t>设置生态沟及小型蓄水池，构建微型海绵体</w:t>
            </w:r>
            <w:r>
              <w:rPr>
                <w:rFonts w:hint="eastAsia"/>
                <w:lang w:eastAsia="zh-CN"/>
              </w:rPr>
              <w:t>；</w:t>
            </w:r>
            <w:r>
              <w:t>设计搭配变化丰富的耐水生植物，形成特色景观带</w:t>
            </w:r>
            <w:r>
              <w:rPr>
                <w:rFonts w:hint="eastAsia"/>
                <w:lang w:eastAsia="zh-CN"/>
              </w:rPr>
              <w:t>；</w:t>
            </w:r>
            <w:r>
              <w:t>结合周边用地开发性质，营造不同的绿化公共空间。</w:t>
            </w:r>
          </w:p>
          <w:p>
            <w:pPr>
              <w:bidi w:val="0"/>
              <w:ind w:firstLine="480" w:firstLineChars="200"/>
              <w:rPr>
                <w:rFonts w:hint="default"/>
              </w:rPr>
            </w:pPr>
            <w:r>
              <w:rPr>
                <w:rFonts w:hint="eastAsia"/>
                <w:lang w:eastAsia="zh-CN"/>
              </w:rPr>
              <w:t>（</w:t>
            </w:r>
            <w:r>
              <w:rPr>
                <w:rFonts w:hint="eastAsia"/>
                <w:lang w:val="en-US" w:eastAsia="zh-CN"/>
              </w:rPr>
              <w:t>3</w:t>
            </w:r>
            <w:r>
              <w:rPr>
                <w:rFonts w:hint="eastAsia"/>
                <w:lang w:eastAsia="zh-CN"/>
              </w:rPr>
              <w:t>）</w:t>
            </w:r>
            <w:r>
              <w:rPr>
                <w:rFonts w:hint="default"/>
              </w:rPr>
              <w:t>具体设计内容</w:t>
            </w:r>
          </w:p>
          <w:p>
            <w:pPr>
              <w:bidi w:val="0"/>
              <w:ind w:firstLine="480" w:firstLineChars="200"/>
            </w:pPr>
            <w:bookmarkStart w:id="5" w:name="OLE_LINK1"/>
            <w:r>
              <w:t>1）</w:t>
            </w:r>
            <w:bookmarkEnd w:id="5"/>
            <w:r>
              <w:t>标准段植物种植</w:t>
            </w:r>
            <w:r>
              <w:rPr>
                <w:rFonts w:hint="eastAsia"/>
                <w:lang w:eastAsia="zh-CN"/>
              </w:rPr>
              <w:t>设计：</w:t>
            </w:r>
            <w:r>
              <w:t xml:space="preserve"> 栾树</w:t>
            </w:r>
            <w:r>
              <w:rPr>
                <w:rFonts w:hint="eastAsia"/>
                <w:lang w:eastAsia="zh-CN"/>
              </w:rPr>
              <w:t>，</w:t>
            </w:r>
            <w:r>
              <w:t xml:space="preserve">胸径15，全冠种植 </w:t>
            </w:r>
          </w:p>
          <w:p>
            <w:pPr>
              <w:bidi w:val="0"/>
              <w:ind w:firstLine="480" w:firstLineChars="200"/>
            </w:pPr>
            <w:r>
              <w:t>2）人行道铺装</w:t>
            </w:r>
            <w:r>
              <w:rPr>
                <w:rFonts w:hint="eastAsia"/>
                <w:lang w:eastAsia="zh-CN"/>
              </w:rPr>
              <w:t>设计：</w:t>
            </w:r>
            <w:r>
              <w:t>区分非机动车道和人行道的界限，加强交通导向性</w:t>
            </w:r>
            <w:r>
              <w:rPr>
                <w:rFonts w:hint="eastAsia"/>
                <w:lang w:eastAsia="zh-CN"/>
              </w:rPr>
              <w:t>。</w:t>
            </w:r>
            <w:r>
              <w:t>采用松绿色系和灰色色系搭配，具体色度需现场再次设计。</w:t>
            </w:r>
          </w:p>
          <w:p>
            <w:pPr>
              <w:bidi w:val="0"/>
              <w:ind w:firstLine="480" w:firstLineChars="200"/>
              <w:rPr>
                <w:rFonts w:hint="default"/>
              </w:rPr>
            </w:pPr>
            <w:r>
              <w:rPr>
                <w:rFonts w:hint="eastAsia"/>
                <w:lang w:eastAsia="zh-CN"/>
              </w:rPr>
              <w:t>（</w:t>
            </w:r>
            <w:r>
              <w:rPr>
                <w:rFonts w:hint="eastAsia"/>
                <w:lang w:val="en-US" w:eastAsia="zh-CN"/>
              </w:rPr>
              <w:t>4</w:t>
            </w:r>
            <w:r>
              <w:rPr>
                <w:rFonts w:hint="eastAsia"/>
                <w:lang w:eastAsia="zh-CN"/>
              </w:rPr>
              <w:t>）</w:t>
            </w:r>
            <w:r>
              <w:t>树种选择</w:t>
            </w:r>
          </w:p>
          <w:p>
            <w:pPr>
              <w:bidi w:val="0"/>
              <w:ind w:firstLine="480" w:firstLineChars="200"/>
              <w:rPr>
                <w:rFonts w:hint="default"/>
              </w:rPr>
            </w:pPr>
            <w:r>
              <w:t>苗木选择应选择适应株洲地域生长的苗木；购苗时应选择植株键壮、体形优美的苗木，尽量减少截枝量，严禁出现没杆或单杆苗木，乔木的分枝点不应少于三个；规则式种植的乔灌木，同一树种的规格大小应统一。</w:t>
            </w:r>
          </w:p>
          <w:p>
            <w:pPr>
              <w:bidi w:val="0"/>
              <w:ind w:firstLine="480" w:firstLineChars="200"/>
            </w:pPr>
            <w:r>
              <w:rPr>
                <w:rFonts w:hint="eastAsia"/>
                <w:lang w:eastAsia="zh-CN"/>
              </w:rPr>
              <w:t>（</w:t>
            </w:r>
            <w:r>
              <w:rPr>
                <w:rFonts w:hint="eastAsia"/>
                <w:lang w:val="en-US" w:eastAsia="zh-CN"/>
              </w:rPr>
              <w:t>5</w:t>
            </w:r>
            <w:r>
              <w:rPr>
                <w:rFonts w:hint="eastAsia"/>
                <w:lang w:eastAsia="zh-CN"/>
              </w:rPr>
              <w:t>）</w:t>
            </w:r>
            <w:r>
              <w:rPr>
                <w:rFonts w:hint="default"/>
              </w:rPr>
              <w:t>城市家具</w:t>
            </w:r>
            <w:r>
              <w:t>选择</w:t>
            </w:r>
          </w:p>
          <w:p>
            <w:pPr>
              <w:bidi w:val="0"/>
              <w:ind w:firstLine="480" w:firstLineChars="200"/>
              <w:rPr>
                <w:rFonts w:hint="default"/>
              </w:rPr>
            </w:pPr>
            <w:r>
              <w:rPr>
                <w:rFonts w:hint="default"/>
              </w:rPr>
              <w:t>坐凳：放置人行道外侧，间隔60米</w:t>
            </w:r>
            <w:r>
              <w:t>；</w:t>
            </w:r>
            <w:r>
              <w:rPr>
                <w:rFonts w:hint="default"/>
              </w:rPr>
              <w:t>垃圾桶：放置人行道外侧，间隔60米</w:t>
            </w:r>
            <w:r>
              <w:t>；</w:t>
            </w:r>
          </w:p>
          <w:p>
            <w:pPr>
              <w:bidi w:val="0"/>
              <w:ind w:firstLine="480" w:firstLineChars="200"/>
            </w:pPr>
            <w:r>
              <w:rPr>
                <w:rFonts w:hint="eastAsia"/>
              </w:rPr>
              <w:t>其他城市家具</w:t>
            </w:r>
            <w:r>
              <w:rPr>
                <w:rFonts w:hint="eastAsia"/>
                <w:lang w:eastAsia="zh-CN"/>
              </w:rPr>
              <w:t>：</w:t>
            </w:r>
            <w:r>
              <w:t>以木质选材为主，做到风格统一美观</w:t>
            </w:r>
            <w:r>
              <w:rPr>
                <w:rFonts w:hint="eastAsia"/>
                <w:lang w:eastAsia="zh-CN"/>
              </w:rPr>
              <w:t>，</w:t>
            </w:r>
            <w:r>
              <w:t>满足城市环境设施和出行便捷。</w:t>
            </w:r>
          </w:p>
          <w:p>
            <w:pPr>
              <w:bidi w:val="0"/>
              <w:ind w:firstLine="482" w:firstLineChars="200"/>
              <w:rPr>
                <w:b/>
                <w:bCs/>
              </w:rPr>
            </w:pPr>
            <w:bookmarkStart w:id="6" w:name="_Toc15179"/>
            <w:r>
              <w:rPr>
                <w:rFonts w:hint="eastAsia"/>
                <w:b/>
                <w:bCs/>
                <w:lang w:val="en-US" w:eastAsia="zh-CN"/>
              </w:rPr>
              <w:t>2.3.5</w:t>
            </w:r>
            <w:r>
              <w:rPr>
                <w:b/>
                <w:bCs/>
              </w:rPr>
              <w:t>照明工程</w:t>
            </w:r>
            <w:bookmarkEnd w:id="6"/>
          </w:p>
          <w:p>
            <w:pPr>
              <w:ind w:firstLine="560"/>
              <w:rPr>
                <w:rFonts w:hint="default"/>
                <w:b/>
                <w:bCs/>
              </w:rPr>
            </w:pPr>
            <w:bookmarkStart w:id="7" w:name="_Toc240017605"/>
            <w:bookmarkStart w:id="8" w:name="_Toc28274"/>
            <w:r>
              <w:rPr>
                <w:rFonts w:hint="eastAsia"/>
                <w:b/>
                <w:bCs/>
                <w:lang w:eastAsia="zh-CN"/>
              </w:rPr>
              <w:t>（</w:t>
            </w:r>
            <w:r>
              <w:rPr>
                <w:rFonts w:hint="eastAsia"/>
                <w:b/>
                <w:bCs/>
                <w:lang w:val="en-US" w:eastAsia="zh-CN"/>
              </w:rPr>
              <w:t>1</w:t>
            </w:r>
            <w:r>
              <w:rPr>
                <w:rFonts w:hint="eastAsia"/>
                <w:b/>
                <w:bCs/>
                <w:lang w:eastAsia="zh-CN"/>
              </w:rPr>
              <w:t>）</w:t>
            </w:r>
            <w:r>
              <w:rPr>
                <w:rFonts w:hint="default"/>
                <w:b/>
                <w:bCs/>
              </w:rPr>
              <w:t>设计标准</w:t>
            </w:r>
            <w:bookmarkEnd w:id="7"/>
          </w:p>
          <w:p>
            <w:pPr>
              <w:ind w:firstLine="560"/>
              <w:rPr>
                <w:rFonts w:hint="default" w:eastAsia="黑体"/>
                <w:b/>
                <w:bCs/>
                <w:sz w:val="24"/>
              </w:rPr>
            </w:pPr>
            <w:r>
              <w:rPr>
                <w:rFonts w:hint="default"/>
              </w:rPr>
              <w:t>本项目为</w:t>
            </w:r>
            <w:r>
              <w:t>城市次干路</w:t>
            </w:r>
            <w:r>
              <w:rPr>
                <w:rFonts w:hint="default"/>
              </w:rPr>
              <w:t>，按城市道路标准配置道路照明功率，本设计按国家规范《城市道路照明设计标准》（CJJ45-2015），第3.3.4条，规定的</w:t>
            </w:r>
            <w:r>
              <w:rPr>
                <w:rFonts w:hint="eastAsia"/>
                <w:lang w:eastAsia="zh-CN"/>
              </w:rPr>
              <w:t>“</w:t>
            </w:r>
            <w:r>
              <w:rPr>
                <w:rFonts w:hint="default"/>
              </w:rPr>
              <w:t>机动车交通道路照明标准值</w:t>
            </w:r>
            <w:r>
              <w:rPr>
                <w:rFonts w:hint="eastAsia"/>
                <w:lang w:eastAsia="zh-CN"/>
              </w:rPr>
              <w:t>”</w:t>
            </w:r>
            <w:r>
              <w:rPr>
                <w:rFonts w:hint="default"/>
              </w:rPr>
              <w:t>，并根据本工程的道路特点及实际情况来确定本工程照明标准，如下表：</w:t>
            </w:r>
          </w:p>
          <w:p>
            <w:pPr>
              <w:bidi w:val="0"/>
              <w:jc w:val="center"/>
              <w:rPr>
                <w:rFonts w:hint="default"/>
                <w:b/>
                <w:bCs/>
              </w:rPr>
            </w:pPr>
            <w:r>
              <w:rPr>
                <w:rFonts w:hint="default"/>
                <w:b/>
                <w:bCs/>
              </w:rPr>
              <w:t>表</w:t>
            </w:r>
            <w:r>
              <w:rPr>
                <w:rFonts w:hint="eastAsia"/>
                <w:b/>
                <w:bCs/>
                <w:lang w:val="en-US" w:eastAsia="zh-CN"/>
              </w:rPr>
              <w:t>7</w:t>
            </w:r>
            <w:r>
              <w:rPr>
                <w:rFonts w:hint="default"/>
                <w:b/>
                <w:bCs/>
              </w:rPr>
              <w:t xml:space="preserve">  机动车交通道路照明标准值</w:t>
            </w:r>
            <w:r>
              <w:rPr>
                <w:b/>
                <w:bCs/>
              </w:rPr>
              <w:t>和本项目取值</w:t>
            </w:r>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4"/>
              <w:gridCol w:w="2324"/>
              <w:gridCol w:w="2041"/>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984"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道路类型</w:t>
                  </w:r>
                </w:p>
              </w:tc>
              <w:tc>
                <w:tcPr>
                  <w:tcW w:w="2324"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平均亮度维持值(cd/</w:t>
                  </w:r>
                  <w:r>
                    <w:rPr>
                      <w:rFonts w:hint="eastAsia"/>
                      <w:sz w:val="21"/>
                      <w:szCs w:val="21"/>
                      <w:lang w:val="en-US" w:eastAsia="zh-CN"/>
                    </w:rPr>
                    <w:t>m</w:t>
                  </w:r>
                  <w:r>
                    <w:rPr>
                      <w:rFonts w:hint="eastAsia"/>
                      <w:sz w:val="21"/>
                      <w:szCs w:val="21"/>
                      <w:vertAlign w:val="superscript"/>
                      <w:lang w:val="en-US" w:eastAsia="zh-CN"/>
                    </w:rPr>
                    <w:t>2</w:t>
                  </w:r>
                  <w:r>
                    <w:rPr>
                      <w:sz w:val="21"/>
                      <w:szCs w:val="21"/>
                    </w:rPr>
                    <w:t>)</w:t>
                  </w:r>
                </w:p>
              </w:tc>
              <w:tc>
                <w:tcPr>
                  <w:tcW w:w="2041"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平均照度维持值(lx)</w:t>
                  </w:r>
                </w:p>
              </w:tc>
              <w:tc>
                <w:tcPr>
                  <w:tcW w:w="2154"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照度均匀度（Emin/m）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支路标准</w:t>
                  </w:r>
                </w:p>
              </w:tc>
              <w:tc>
                <w:tcPr>
                  <w:tcW w:w="2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0.5~0.75</w:t>
                  </w:r>
                </w:p>
              </w:tc>
              <w:tc>
                <w:tcPr>
                  <w:tcW w:w="20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8~10</w:t>
                  </w:r>
                </w:p>
              </w:tc>
              <w:tc>
                <w:tcPr>
                  <w:tcW w:w="2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次干路标准</w:t>
                  </w:r>
                </w:p>
              </w:tc>
              <w:tc>
                <w:tcPr>
                  <w:tcW w:w="2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0.75~1.0</w:t>
                  </w:r>
                </w:p>
              </w:tc>
              <w:tc>
                <w:tcPr>
                  <w:tcW w:w="20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10~15</w:t>
                  </w:r>
                </w:p>
              </w:tc>
              <w:tc>
                <w:tcPr>
                  <w:tcW w:w="2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主干路标准</w:t>
                  </w:r>
                </w:p>
              </w:tc>
              <w:tc>
                <w:tcPr>
                  <w:tcW w:w="23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1.5~2.0</w:t>
                  </w:r>
                </w:p>
              </w:tc>
              <w:tc>
                <w:tcPr>
                  <w:tcW w:w="20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2</w:t>
                  </w:r>
                  <w:r>
                    <w:rPr>
                      <w:sz w:val="21"/>
                      <w:szCs w:val="21"/>
                    </w:rPr>
                    <w:t>0</w:t>
                  </w:r>
                  <w:r>
                    <w:rPr>
                      <w:rFonts w:hint="eastAsia"/>
                      <w:sz w:val="21"/>
                      <w:szCs w:val="21"/>
                    </w:rPr>
                    <w:t>~30</w:t>
                  </w:r>
                </w:p>
              </w:tc>
              <w:tc>
                <w:tcPr>
                  <w:tcW w:w="21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r>
                    <w:rPr>
                      <w:rFonts w:hint="eastAsia"/>
                      <w:sz w:val="21"/>
                      <w:szCs w:val="21"/>
                    </w:rPr>
                    <w:t>0.40</w:t>
                  </w:r>
                </w:p>
              </w:tc>
            </w:tr>
          </w:tbl>
          <w:p>
            <w:pPr>
              <w:ind w:firstLine="560"/>
              <w:rPr>
                <w:rFonts w:hint="default"/>
                <w:b/>
                <w:bCs/>
              </w:rPr>
            </w:pPr>
            <w:r>
              <w:rPr>
                <w:rFonts w:hint="eastAsia"/>
                <w:b/>
                <w:bCs/>
                <w:lang w:eastAsia="zh-CN"/>
              </w:rPr>
              <w:t>（</w:t>
            </w:r>
            <w:r>
              <w:rPr>
                <w:rFonts w:hint="eastAsia"/>
                <w:b/>
                <w:bCs/>
                <w:lang w:val="en-US" w:eastAsia="zh-CN"/>
              </w:rPr>
              <w:t>2</w:t>
            </w:r>
            <w:r>
              <w:rPr>
                <w:rFonts w:hint="eastAsia"/>
                <w:b/>
                <w:bCs/>
                <w:lang w:eastAsia="zh-CN"/>
              </w:rPr>
              <w:t>）</w:t>
            </w:r>
            <w:r>
              <w:rPr>
                <w:rFonts w:hint="default"/>
                <w:b/>
                <w:bCs/>
              </w:rPr>
              <w:t>电源电压</w:t>
            </w:r>
          </w:p>
          <w:p>
            <w:pPr>
              <w:ind w:firstLine="560"/>
            </w:pPr>
            <w:r>
              <w:t>本工程采用</w:t>
            </w:r>
            <w:r>
              <w:rPr>
                <w:rFonts w:hint="default"/>
              </w:rPr>
              <w:t>10KV</w:t>
            </w:r>
            <w:r>
              <w:t>高压供电，</w:t>
            </w:r>
            <w:r>
              <w:rPr>
                <w:rFonts w:hint="default"/>
              </w:rPr>
              <w:t>0.4KV</w:t>
            </w:r>
            <w:r>
              <w:t xml:space="preserve">低压方计量，表计装在户外箱式变电站内。 </w:t>
            </w:r>
          </w:p>
          <w:p>
            <w:pPr>
              <w:ind w:firstLine="560"/>
            </w:pPr>
            <w:r>
              <w:t>全路段拟设置</w:t>
            </w:r>
            <w:r>
              <w:rPr>
                <w:rFonts w:hint="default"/>
              </w:rPr>
              <w:t>10KV/0.4KV</w:t>
            </w:r>
            <w:r>
              <w:t>路灯电源点共</w:t>
            </w:r>
            <w:r>
              <w:rPr>
                <w:rFonts w:hint="default"/>
              </w:rPr>
              <w:t>1</w:t>
            </w:r>
            <w:r>
              <w:t>个，供电半径约</w:t>
            </w:r>
            <w:r>
              <w:rPr>
                <w:rFonts w:hint="default"/>
              </w:rPr>
              <w:t>300m</w:t>
            </w:r>
            <w:r>
              <w:t>，路灯灯具处电压维持在额定电压的</w:t>
            </w:r>
            <w:r>
              <w:rPr>
                <w:rFonts w:hint="default"/>
              </w:rPr>
              <w:t>90%~105%</w:t>
            </w:r>
            <w:r>
              <w:t>。该路段拟设置变压器安装容量为</w:t>
            </w:r>
            <w:r>
              <w:rPr>
                <w:rFonts w:hint="default"/>
              </w:rPr>
              <w:t>160KVA</w:t>
            </w:r>
            <w:r>
              <w:t xml:space="preserve">，变电站设计留有一定裕量，以便备用给今后需要增加的夜景亮化项目、广告灯箱、附近扩建支路路灯、公交站台用电等。尽可能利用道路沿线现有路灯专变或加以改造。 </w:t>
            </w:r>
          </w:p>
          <w:p>
            <w:pPr>
              <w:ind w:firstLine="560"/>
              <w:rPr>
                <w:b/>
                <w:bCs/>
              </w:rPr>
            </w:pPr>
            <w:r>
              <w:rPr>
                <w:rFonts w:hint="eastAsia"/>
                <w:b/>
                <w:bCs/>
                <w:lang w:eastAsia="zh-CN"/>
              </w:rPr>
              <w:t>（</w:t>
            </w:r>
            <w:r>
              <w:rPr>
                <w:rFonts w:hint="eastAsia"/>
                <w:b/>
                <w:bCs/>
                <w:lang w:val="en-US" w:eastAsia="zh-CN"/>
              </w:rPr>
              <w:t>3</w:t>
            </w:r>
            <w:r>
              <w:rPr>
                <w:rFonts w:hint="eastAsia"/>
                <w:b/>
                <w:bCs/>
                <w:lang w:eastAsia="zh-CN"/>
              </w:rPr>
              <w:t>）</w:t>
            </w:r>
            <w:r>
              <w:rPr>
                <w:b/>
                <w:bCs/>
              </w:rPr>
              <w:t xml:space="preserve">线路敷式及选型 </w:t>
            </w:r>
          </w:p>
          <w:p>
            <w:pPr>
              <w:ind w:firstLine="560"/>
              <w:rPr>
                <w:rFonts w:hint="default"/>
              </w:rPr>
            </w:pPr>
            <w:r>
              <w:t>线路敷式及选型：路灯供电线路沿道路双侧人行道穿</w:t>
            </w:r>
            <w:r>
              <w:rPr>
                <w:rFonts w:hint="default"/>
              </w:rPr>
              <w:t>UPVC</w:t>
            </w:r>
            <w:r>
              <w:t>管埋地</w:t>
            </w:r>
            <w:r>
              <w:rPr>
                <w:rFonts w:hint="default"/>
              </w:rPr>
              <w:t>0.7m</w:t>
            </w:r>
            <w:r>
              <w:t>暗敷设，浇注砼层。管线过路口改穿</w:t>
            </w:r>
            <w:r>
              <w:rPr>
                <w:rFonts w:hint="default"/>
              </w:rPr>
              <w:t>MFPT-100/8</w:t>
            </w:r>
            <w:r>
              <w:t>热浸塑电缆套管，并尽可能利用管线通道。线路选用聚氯乙烯绝缘电缆。在电缆线路敷设后要求在电缆保护管口将电缆堵塞牢固。灯杆内电线采用</w:t>
            </w:r>
            <w:r>
              <w:rPr>
                <w:rFonts w:hint="default"/>
              </w:rPr>
              <w:t>BVV-0.45/0.75kV-3x2.5</w:t>
            </w:r>
            <w:r>
              <w:t xml:space="preserve">。 </w:t>
            </w:r>
          </w:p>
          <w:p>
            <w:pPr>
              <w:ind w:firstLine="560"/>
              <w:rPr>
                <w:b/>
                <w:bCs/>
              </w:rPr>
            </w:pPr>
            <w:r>
              <w:rPr>
                <w:rFonts w:hint="eastAsia"/>
                <w:b/>
                <w:bCs/>
                <w:lang w:eastAsia="zh-CN"/>
              </w:rPr>
              <w:t>（</w:t>
            </w:r>
            <w:r>
              <w:rPr>
                <w:rFonts w:hint="eastAsia"/>
                <w:b/>
                <w:bCs/>
                <w:lang w:val="en-US" w:eastAsia="zh-CN"/>
              </w:rPr>
              <w:t>4</w:t>
            </w:r>
            <w:r>
              <w:rPr>
                <w:rFonts w:hint="eastAsia"/>
                <w:b/>
                <w:bCs/>
                <w:lang w:eastAsia="zh-CN"/>
              </w:rPr>
              <w:t>）</w:t>
            </w:r>
            <w:r>
              <w:rPr>
                <w:b/>
                <w:bCs/>
              </w:rPr>
              <w:t xml:space="preserve">路灯照明布置方式 </w:t>
            </w:r>
          </w:p>
          <w:p>
            <w:pPr>
              <w:ind w:firstLine="560"/>
            </w:pPr>
            <w:r>
              <w:t>路灯布置采用沿道路双侧对称布置，杆中心离侧石外边线</w:t>
            </w:r>
            <w:r>
              <w:rPr>
                <w:rFonts w:hint="default"/>
              </w:rPr>
              <w:t>0.8</w:t>
            </w:r>
            <w:r>
              <w:t>米，间距基本上以</w:t>
            </w:r>
            <w:r>
              <w:rPr>
                <w:rFonts w:hint="default"/>
              </w:rPr>
              <w:t>30</w:t>
            </w:r>
            <w:r>
              <w:t>米考虑。灯式位置可根据现场情况做适当调整。</w:t>
            </w:r>
          </w:p>
          <w:p>
            <w:pPr>
              <w:ind w:firstLine="560"/>
              <w:rPr>
                <w:b/>
                <w:bCs/>
              </w:rPr>
            </w:pPr>
            <w:r>
              <w:rPr>
                <w:rFonts w:hint="eastAsia"/>
                <w:b/>
                <w:bCs/>
                <w:lang w:eastAsia="zh-CN"/>
              </w:rPr>
              <w:t>（</w:t>
            </w:r>
            <w:r>
              <w:rPr>
                <w:rFonts w:hint="eastAsia"/>
                <w:b/>
                <w:bCs/>
                <w:lang w:val="en-US" w:eastAsia="zh-CN"/>
              </w:rPr>
              <w:t>5</w:t>
            </w:r>
            <w:r>
              <w:rPr>
                <w:rFonts w:hint="eastAsia"/>
                <w:b/>
                <w:bCs/>
                <w:lang w:eastAsia="zh-CN"/>
              </w:rPr>
              <w:t>）</w:t>
            </w:r>
            <w:r>
              <w:rPr>
                <w:b/>
                <w:bCs/>
              </w:rPr>
              <w:t xml:space="preserve">灯具选型及安装方式 </w:t>
            </w:r>
          </w:p>
          <w:p>
            <w:pPr>
              <w:ind w:firstLine="560"/>
            </w:pPr>
            <w:r>
              <w:t>道路路灯采用双挑路灯沿机动车道双侧对称布置于人行道内；路灯杆高9米，灯杆间距30m，光源为半截光型LED灯(120W+90W)，悬臂长1.5m；路灯放线点详见平面桩号标注与标准横断面图，路灯与接线井相对间距1.5米。路灯位置可根据现场情况做适当调整。</w:t>
            </w:r>
          </w:p>
          <w:p>
            <w:pPr>
              <w:ind w:firstLine="560"/>
              <w:rPr>
                <w:rFonts w:hint="default"/>
              </w:rPr>
            </w:pPr>
            <w:r>
              <w:rPr>
                <w:rFonts w:hint="default"/>
              </w:rPr>
              <w:t>LED</w:t>
            </w:r>
            <w:r>
              <w:t>灯具采用</w:t>
            </w:r>
            <w:r>
              <w:rPr>
                <w:rFonts w:hint="default"/>
              </w:rPr>
              <w:t>5*30</w:t>
            </w:r>
            <w:r>
              <w:t>及</w:t>
            </w:r>
            <w:r>
              <w:rPr>
                <w:rFonts w:hint="default"/>
              </w:rPr>
              <w:t>4*30</w:t>
            </w:r>
            <w:r>
              <w:t>的模组结构，配光要求纵向中配光，横向窄配光。灯具基座在产品选型确定后由灯具厂家提供灯座的安装尺寸并协助施工单位完成安装。施工时基座位配筋必须采用钢筋笼，基础螺栓型号为：</w:t>
            </w:r>
            <w:r>
              <w:rPr>
                <w:rFonts w:hint="default"/>
              </w:rPr>
              <w:t>HRB235</w:t>
            </w:r>
            <w:r>
              <w:t>；周围土层、砂砾石层须夯实加固，夯实系数为</w:t>
            </w:r>
            <w:r>
              <w:rPr>
                <w:rFonts w:hint="default"/>
              </w:rPr>
              <w:t>0.93</w:t>
            </w:r>
            <w:r>
              <w:t>。灯体的照明灯具的安装高度、安装位置、安装角度在满足设计要求的的情况下作现场调整。因电力平衡问题，在安装时灯具接线按</w:t>
            </w:r>
            <w:r>
              <w:rPr>
                <w:rFonts w:hint="default"/>
              </w:rPr>
              <w:t>L1L2L3L3L2L1</w:t>
            </w:r>
            <w:r>
              <w:t xml:space="preserve">相别顺序接电，尽可能使电源三相各相承担的负荷相同。 </w:t>
            </w:r>
          </w:p>
          <w:p>
            <w:pPr>
              <w:ind w:firstLine="560"/>
              <w:rPr>
                <w:b/>
                <w:bCs/>
              </w:rPr>
            </w:pPr>
            <w:r>
              <w:rPr>
                <w:rFonts w:hint="eastAsia"/>
                <w:b/>
                <w:bCs/>
                <w:lang w:eastAsia="zh-CN"/>
              </w:rPr>
              <w:t>（</w:t>
            </w:r>
            <w:r>
              <w:rPr>
                <w:rFonts w:hint="eastAsia"/>
                <w:b/>
                <w:bCs/>
                <w:lang w:val="en-US" w:eastAsia="zh-CN"/>
              </w:rPr>
              <w:t>6</w:t>
            </w:r>
            <w:r>
              <w:rPr>
                <w:rFonts w:hint="eastAsia"/>
                <w:b/>
                <w:bCs/>
                <w:lang w:eastAsia="zh-CN"/>
              </w:rPr>
              <w:t>）</w:t>
            </w:r>
            <w:r>
              <w:rPr>
                <w:b/>
                <w:bCs/>
              </w:rPr>
              <w:t xml:space="preserve">防雷接地设计 </w:t>
            </w:r>
          </w:p>
          <w:p>
            <w:pPr>
              <w:ind w:firstLine="560"/>
            </w:pPr>
            <w:r>
              <w:t xml:space="preserve">防雷要求：路灯利用路灯金属杆做防雷接闪器，利用路灯金属杆本身做防雷引下线。 </w:t>
            </w:r>
          </w:p>
          <w:p>
            <w:pPr>
              <w:ind w:firstLine="560"/>
            </w:pPr>
            <w:r>
              <w:t>保护接地要求：本设计中所有的路灯保护采用</w:t>
            </w:r>
            <w:r>
              <w:rPr>
                <w:rFonts w:hint="default"/>
              </w:rPr>
              <w:t>TN-S</w:t>
            </w:r>
            <w:r>
              <w:t>系统，灯杆保护接地利用路灯基础独立接地体：</w:t>
            </w:r>
            <w:r>
              <w:rPr>
                <w:rFonts w:hint="default"/>
              </w:rPr>
              <w:t>L50x50x5</w:t>
            </w:r>
            <w:r>
              <w:t>，</w:t>
            </w:r>
            <w:r>
              <w:rPr>
                <w:rFonts w:hint="default"/>
              </w:rPr>
              <w:t>L=2.5m</w:t>
            </w:r>
            <w:r>
              <w:t>镀锌角钢做接地极，利用路灯干线电缆</w:t>
            </w:r>
            <w:r>
              <w:rPr>
                <w:rFonts w:hint="default"/>
              </w:rPr>
              <w:t>16mm</w:t>
            </w:r>
            <w:r>
              <w:rPr>
                <w:rFonts w:hint="default"/>
                <w:vertAlign w:val="superscript"/>
              </w:rPr>
              <w:t>2</w:t>
            </w:r>
            <w:r>
              <w:t>芯线作为</w:t>
            </w:r>
            <w:r>
              <w:rPr>
                <w:rFonts w:hint="default"/>
              </w:rPr>
              <w:t>PE</w:t>
            </w:r>
            <w:r>
              <w:t>线，与接地极相焊接形成可靠的接地保护。本设计中所有的金属灯杆、配电设备金属外壳都必须可靠保护接地，接地电阻不得大于</w:t>
            </w:r>
            <w:r>
              <w:rPr>
                <w:rFonts w:hint="default"/>
              </w:rPr>
              <w:t>10</w:t>
            </w:r>
            <w:r>
              <w:t>欧，路灯配电箱处的接地电阻不得大于</w:t>
            </w:r>
            <w:r>
              <w:rPr>
                <w:rFonts w:hint="default"/>
              </w:rPr>
              <w:t>4</w:t>
            </w:r>
            <w:r>
              <w:t xml:space="preserve">欧，否则需补打人工接地极。 </w:t>
            </w:r>
          </w:p>
          <w:bookmarkEnd w:id="8"/>
          <w:p>
            <w:pPr>
              <w:bidi w:val="0"/>
              <w:ind w:firstLine="482" w:firstLineChars="200"/>
              <w:rPr>
                <w:b/>
                <w:bCs/>
              </w:rPr>
            </w:pPr>
            <w:bookmarkStart w:id="9" w:name="_Toc21549"/>
            <w:r>
              <w:rPr>
                <w:rFonts w:hint="eastAsia"/>
                <w:b/>
                <w:bCs/>
                <w:lang w:val="en-US" w:eastAsia="zh-CN"/>
              </w:rPr>
              <w:t>2.3.6</w:t>
            </w:r>
            <w:r>
              <w:rPr>
                <w:b/>
                <w:bCs/>
              </w:rPr>
              <w:t>交通工程设计</w:t>
            </w:r>
            <w:bookmarkEnd w:id="9"/>
          </w:p>
          <w:p>
            <w:pPr>
              <w:ind w:firstLine="560"/>
              <w:rPr>
                <w:rFonts w:hint="default"/>
              </w:rPr>
            </w:pPr>
            <w:r>
              <w:rPr>
                <w:rFonts w:hint="default"/>
              </w:rPr>
              <w:t>交通安全设施设计包括交通标志、标线、灯控及城市公共交通设施等方面。设计中力求做到标志齐全、功能完整，以完全不熟悉株洲市路网的司机为使用对象，使其在适时、准确的引导下，顺利、快捷、安全的抵达目的地，避免发生错误行驶。</w:t>
            </w:r>
          </w:p>
          <w:p>
            <w:pPr>
              <w:ind w:firstLine="560"/>
              <w:rPr>
                <w:rFonts w:hint="default"/>
              </w:rPr>
            </w:pPr>
            <w:r>
              <w:rPr>
                <w:rFonts w:hint="default"/>
              </w:rPr>
              <w:t>根据道路等级，路段的交通安全和管理设施等级采用D 级。</w:t>
            </w:r>
          </w:p>
          <w:p>
            <w:pPr>
              <w:ind w:firstLine="560"/>
              <w:rPr>
                <w:rFonts w:hint="default"/>
                <w:b/>
                <w:bCs/>
              </w:rPr>
            </w:pPr>
            <w:r>
              <w:rPr>
                <w:rFonts w:hint="eastAsia"/>
                <w:b/>
                <w:bCs/>
                <w:lang w:eastAsia="zh-CN"/>
              </w:rPr>
              <w:t>（</w:t>
            </w:r>
            <w:r>
              <w:rPr>
                <w:rFonts w:hint="eastAsia"/>
                <w:b/>
                <w:bCs/>
                <w:lang w:val="en-US" w:eastAsia="zh-CN"/>
              </w:rPr>
              <w:t>1</w:t>
            </w:r>
            <w:r>
              <w:rPr>
                <w:rFonts w:hint="eastAsia"/>
                <w:b/>
                <w:bCs/>
                <w:lang w:eastAsia="zh-CN"/>
              </w:rPr>
              <w:t>）</w:t>
            </w:r>
            <w:r>
              <w:rPr>
                <w:rFonts w:hint="default"/>
                <w:b/>
                <w:bCs/>
              </w:rPr>
              <w:t>交通组织设计</w:t>
            </w:r>
          </w:p>
          <w:p>
            <w:pPr>
              <w:ind w:firstLine="560"/>
              <w:rPr>
                <w:rFonts w:hint="default"/>
              </w:rPr>
            </w:pPr>
            <w:r>
              <w:t>1）</w:t>
            </w:r>
            <w:r>
              <w:rPr>
                <w:rFonts w:hint="default"/>
              </w:rPr>
              <w:t>交通组织原则</w:t>
            </w:r>
          </w:p>
          <w:p>
            <w:pPr>
              <w:ind w:firstLine="560"/>
              <w:rPr>
                <w:rFonts w:hint="default"/>
              </w:rPr>
            </w:pPr>
            <w:r>
              <w:rPr>
                <w:rFonts w:hint="default"/>
              </w:rPr>
              <w:t>分析沿线交通成分的构成，按不同交通流特征分别组织。</w:t>
            </w:r>
          </w:p>
          <w:p>
            <w:pPr>
              <w:ind w:firstLine="560"/>
              <w:rPr>
                <w:rFonts w:hint="default"/>
              </w:rPr>
            </w:pPr>
            <w:r>
              <w:rPr>
                <w:rFonts w:hint="default"/>
              </w:rPr>
              <w:t>根据道路总体方案的基本构思和要求，保证主要交通的便捷、畅通。</w:t>
            </w:r>
          </w:p>
          <w:p>
            <w:pPr>
              <w:ind w:firstLine="560"/>
              <w:rPr>
                <w:rFonts w:hint="default"/>
              </w:rPr>
            </w:pPr>
            <w:r>
              <w:rPr>
                <w:rFonts w:hint="default"/>
              </w:rPr>
              <w:t>正确处理道路沿线相交道路的交通组织，合理布置以保证主流畅通、分流有效。</w:t>
            </w:r>
          </w:p>
          <w:p>
            <w:pPr>
              <w:ind w:firstLine="560"/>
              <w:rPr>
                <w:rFonts w:hint="default"/>
              </w:rPr>
            </w:pPr>
            <w:r>
              <w:rPr>
                <w:rFonts w:hint="default"/>
              </w:rPr>
              <w:t>机动车、非机动车、行人交通组织需简洁、有效，尤其在交叉口处的处理措施。</w:t>
            </w:r>
          </w:p>
          <w:p>
            <w:pPr>
              <w:ind w:firstLine="560"/>
              <w:rPr>
                <w:rFonts w:hint="default"/>
              </w:rPr>
            </w:pPr>
            <w:r>
              <w:rPr>
                <w:rFonts w:hint="default"/>
              </w:rPr>
              <w:t>坚持</w:t>
            </w:r>
            <w:r>
              <w:rPr>
                <w:rFonts w:hint="eastAsia"/>
                <w:lang w:eastAsia="zh-CN"/>
              </w:rPr>
              <w:t>“</w:t>
            </w:r>
            <w:r>
              <w:rPr>
                <w:rFonts w:hint="default"/>
              </w:rPr>
              <w:t>以人为本</w:t>
            </w:r>
            <w:r>
              <w:rPr>
                <w:rFonts w:hint="eastAsia"/>
                <w:lang w:eastAsia="zh-CN"/>
              </w:rPr>
              <w:t>”</w:t>
            </w:r>
            <w:r>
              <w:rPr>
                <w:rFonts w:hint="default"/>
              </w:rPr>
              <w:t>的原则，完善人行过街设施，同步建设方便残疾人、老、弱人群的工程配套设施。</w:t>
            </w:r>
          </w:p>
          <w:p>
            <w:pPr>
              <w:ind w:firstLine="560"/>
              <w:rPr>
                <w:rFonts w:hint="default"/>
              </w:rPr>
            </w:pPr>
            <w:r>
              <w:t>2）</w:t>
            </w:r>
            <w:r>
              <w:rPr>
                <w:rFonts w:hint="default"/>
              </w:rPr>
              <w:t>标准路段交通组织</w:t>
            </w:r>
          </w:p>
          <w:p>
            <w:pPr>
              <w:ind w:firstLine="560"/>
              <w:rPr>
                <w:rFonts w:hint="default"/>
              </w:rPr>
            </w:pPr>
            <w:r>
              <w:rPr>
                <w:rFonts w:hint="default"/>
              </w:rPr>
              <w:t>行人、非机动车及机动车分道行驶，道路功能明确。</w:t>
            </w:r>
          </w:p>
          <w:p>
            <w:pPr>
              <w:ind w:firstLine="560"/>
              <w:rPr>
                <w:rFonts w:hint="default"/>
                <w:b/>
                <w:bCs/>
              </w:rPr>
            </w:pPr>
            <w:r>
              <w:rPr>
                <w:rFonts w:hint="eastAsia"/>
                <w:b/>
                <w:bCs/>
                <w:lang w:eastAsia="zh-CN"/>
              </w:rPr>
              <w:t>（</w:t>
            </w:r>
            <w:r>
              <w:rPr>
                <w:rFonts w:hint="eastAsia"/>
                <w:b/>
                <w:bCs/>
                <w:lang w:val="en-US" w:eastAsia="zh-CN"/>
              </w:rPr>
              <w:t>2</w:t>
            </w:r>
            <w:r>
              <w:rPr>
                <w:rFonts w:hint="eastAsia"/>
                <w:b/>
                <w:bCs/>
                <w:lang w:eastAsia="zh-CN"/>
              </w:rPr>
              <w:t>）</w:t>
            </w:r>
            <w:r>
              <w:rPr>
                <w:rFonts w:hint="default"/>
                <w:b/>
                <w:bCs/>
              </w:rPr>
              <w:t>交通标志</w:t>
            </w:r>
          </w:p>
          <w:p>
            <w:pPr>
              <w:ind w:firstLine="560"/>
              <w:rPr>
                <w:rFonts w:hint="default"/>
              </w:rPr>
            </w:pPr>
            <w:r>
              <w:t>1）</w:t>
            </w:r>
            <w:r>
              <w:rPr>
                <w:rFonts w:hint="default"/>
              </w:rPr>
              <w:t>平面布设原则</w:t>
            </w:r>
          </w:p>
          <w:p>
            <w:pPr>
              <w:ind w:firstLine="560"/>
            </w:pPr>
            <w:r>
              <w:rPr>
                <w:rFonts w:hint="default"/>
                <w:lang w:val="zh-CN"/>
              </w:rPr>
              <w:t>限速标志牌设置于出口10m左右处，道路设计车速为30km/h</w:t>
            </w:r>
            <w:r>
              <w:rPr>
                <w:lang w:val="zh-CN"/>
              </w:rPr>
              <w:t>。</w:t>
            </w:r>
          </w:p>
          <w:p>
            <w:pPr>
              <w:ind w:firstLine="560"/>
              <w:rPr>
                <w:rFonts w:hint="default"/>
                <w:lang w:val="zh-CN"/>
              </w:rPr>
            </w:pPr>
            <w:r>
              <w:rPr>
                <w:rFonts w:hint="default"/>
                <w:lang w:val="zh-CN"/>
              </w:rPr>
              <w:t>路名标志设置在距出口1m左右处，具体位置见交通平面设计图。</w:t>
            </w:r>
          </w:p>
          <w:p>
            <w:pPr>
              <w:ind w:firstLine="560"/>
              <w:rPr>
                <w:rFonts w:hint="default"/>
                <w:lang w:val="zh-CN"/>
              </w:rPr>
            </w:pPr>
            <w:r>
              <w:rPr>
                <w:rFonts w:hint="default"/>
                <w:lang w:val="zh-CN"/>
              </w:rPr>
              <w:t>版面设计原则：标志版面内容采用中英文两种文字。</w:t>
            </w:r>
          </w:p>
          <w:p>
            <w:pPr>
              <w:ind w:firstLine="560"/>
              <w:rPr>
                <w:rFonts w:hint="default"/>
                <w:lang w:val="zh-CN"/>
              </w:rPr>
            </w:pPr>
            <w:r>
              <w:rPr>
                <w:rFonts w:hint="default"/>
                <w:lang w:val="zh-CN"/>
              </w:rPr>
              <w:t>警告标志：黄底（反光色），黑色字体与边框（不反光的）。辨明交叉口形式的交叉路口标志，注意信号灯标志，注意行人标志等。</w:t>
            </w:r>
          </w:p>
          <w:p>
            <w:pPr>
              <w:ind w:firstLine="560"/>
              <w:rPr>
                <w:rFonts w:hint="default"/>
                <w:lang w:val="zh-CN"/>
              </w:rPr>
            </w:pPr>
            <w:r>
              <w:rPr>
                <w:rFonts w:hint="default"/>
                <w:lang w:val="zh-CN"/>
              </w:rPr>
              <w:t>禁令标志：红色边框，红色条，白底（反色光），黑色字体（不反色光）。在交叉口进口道（反向）设置禁止驶入标志。</w:t>
            </w:r>
          </w:p>
          <w:p>
            <w:pPr>
              <w:ind w:firstLine="560"/>
              <w:rPr>
                <w:rFonts w:hint="default"/>
                <w:lang w:val="zh-CN"/>
              </w:rPr>
            </w:pPr>
            <w:r>
              <w:rPr>
                <w:rFonts w:hint="default"/>
                <w:lang w:val="zh-CN"/>
              </w:rPr>
              <w:t>指示标志：蓝色底，白色符号（反光的）。</w:t>
            </w:r>
          </w:p>
          <w:p>
            <w:pPr>
              <w:ind w:firstLine="560"/>
              <w:rPr>
                <w:rFonts w:hint="default"/>
                <w:lang w:val="zh-CN"/>
              </w:rPr>
            </w:pPr>
            <w:r>
              <w:rPr>
                <w:rFonts w:hint="default"/>
                <w:lang w:val="zh-CN"/>
              </w:rPr>
              <w:t>指路标志：白色字体（反光的），蓝色底（不反光的）。</w:t>
            </w:r>
          </w:p>
          <w:p>
            <w:pPr>
              <w:ind w:firstLine="560"/>
              <w:rPr>
                <w:rFonts w:hint="default"/>
                <w:lang w:val="zh-CN"/>
              </w:rPr>
            </w:pPr>
            <w:r>
              <w:rPr>
                <w:rFonts w:hint="default"/>
                <w:lang w:val="zh-CN"/>
              </w:rPr>
              <w:t>中文、英文、数字等的字体、高度、粗细及其间隔严格依照《道路交通标志和标线》GB 5768-2009 执行。地点方向标志中，地名的选择需取一、两个大地名。</w:t>
            </w:r>
          </w:p>
          <w:p>
            <w:pPr>
              <w:ind w:firstLine="560"/>
              <w:rPr>
                <w:rFonts w:hint="default"/>
                <w:lang w:val="zh-CN"/>
              </w:rPr>
            </w:pPr>
            <w:r>
              <w:rPr>
                <w:rFonts w:hint="eastAsia"/>
                <w:lang w:val="en-US" w:eastAsia="zh-CN"/>
              </w:rPr>
              <w:t>2）</w:t>
            </w:r>
            <w:r>
              <w:rPr>
                <w:rFonts w:hint="default"/>
                <w:lang w:val="zh-CN"/>
              </w:rPr>
              <w:t>结构设计原则</w:t>
            </w:r>
          </w:p>
          <w:p>
            <w:pPr>
              <w:ind w:firstLine="560"/>
              <w:rPr>
                <w:rFonts w:hint="default"/>
                <w:lang w:val="zh-CN"/>
              </w:rPr>
            </w:pPr>
            <w:r>
              <w:rPr>
                <w:rFonts w:hint="default"/>
                <w:lang w:val="zh-CN"/>
              </w:rPr>
              <w:t>本设计标志支撑结构方式有单柱式、单悬臂式、附着式等。圆形标志板的板面须做滚边处理（数量已计），矩形标志板的板面其背面边缘须铆固角钢，以增强标志板的边缘强度。立柱的加劲法兰盘先加工制作，后热浸镀锌，严禁镀锌后加工。螺栓、螺母、垫圈镀锌量为350g/m</w:t>
            </w:r>
            <w:r>
              <w:rPr>
                <w:rFonts w:hint="default"/>
                <w:vertAlign w:val="superscript"/>
                <w:lang w:val="zh-CN"/>
              </w:rPr>
              <w:t>2</w:t>
            </w:r>
            <w:r>
              <w:rPr>
                <w:rFonts w:hint="default"/>
                <w:lang w:val="zh-CN"/>
              </w:rPr>
              <w:t>，其余构件为550g/m</w:t>
            </w:r>
            <w:r>
              <w:rPr>
                <w:rFonts w:hint="default"/>
                <w:vertAlign w:val="superscript"/>
                <w:lang w:val="zh-CN"/>
              </w:rPr>
              <w:t>2</w:t>
            </w:r>
            <w:r>
              <w:rPr>
                <w:rFonts w:hint="default"/>
                <w:lang w:val="zh-CN"/>
              </w:rPr>
              <w:t>，镀锌所用锌为一号锌（Zn-1）。由于本市酸雨较为严重，钢管内外均需镀锌。标志结构中的所有钢铁构件(包括螺栓、螺母等），均做热浸镀锌防锈处理。标志与滑动槽钢用铝铆钉铆接，标志板与标志立柱通过滑动螺栓、抱箍及抱箍底衬连接</w:t>
            </w:r>
          </w:p>
          <w:p>
            <w:pPr>
              <w:ind w:firstLine="560"/>
              <w:rPr>
                <w:rFonts w:hint="default"/>
              </w:rPr>
            </w:pPr>
            <w:r>
              <w:rPr>
                <w:rFonts w:hint="default"/>
              </w:rPr>
              <w:t>标志版面的生产，主要有制版、刻膜、贴膜三道工序，其中尤以大板的连接和贴膜为重要。一般采用焊接、铆接等方法来生产大板，须保证板的平整度，并保证焊、铆的质量，对接缝应进行严格的处理，板面上的铆钉头应打磨平滑。</w:t>
            </w:r>
          </w:p>
          <w:p>
            <w:pPr>
              <w:ind w:firstLine="560"/>
              <w:rPr>
                <w:rFonts w:hint="default"/>
              </w:rPr>
            </w:pPr>
            <w:r>
              <w:rPr>
                <w:rFonts w:hint="default"/>
              </w:rPr>
              <w:t>贴反光膜时要求底板平整、清洁、干燥，同时贴膜车间应保持清洁，温度、湿度应控制在一定的范围内，否则将导致气泡和皱褶的产生。</w:t>
            </w:r>
          </w:p>
          <w:p>
            <w:pPr>
              <w:bidi w:val="0"/>
              <w:ind w:firstLine="482" w:firstLineChars="200"/>
            </w:pPr>
            <w:r>
              <w:rPr>
                <w:b/>
                <w:bCs/>
                <w:color w:val="000000"/>
                <w:sz w:val="24"/>
              </w:rPr>
              <w:t>2.3.</w:t>
            </w:r>
            <w:r>
              <w:rPr>
                <w:rFonts w:hint="eastAsia"/>
                <w:b/>
                <w:bCs/>
                <w:color w:val="000000"/>
                <w:sz w:val="24"/>
                <w:lang w:val="en-US" w:eastAsia="zh-CN"/>
              </w:rPr>
              <w:t>7</w:t>
            </w:r>
            <w:r>
              <w:rPr>
                <w:rFonts w:hint="eastAsia"/>
                <w:b/>
                <w:bCs/>
                <w:sz w:val="24"/>
              </w:rPr>
              <w:t>水土保持工程</w:t>
            </w:r>
          </w:p>
          <w:p>
            <w:pPr>
              <w:ind w:firstLine="560"/>
              <w:rPr>
                <w:rFonts w:hint="eastAsia"/>
                <w:b w:val="0"/>
                <w:bCs w:val="0"/>
                <w:sz w:val="24"/>
              </w:rPr>
            </w:pPr>
            <w:r>
              <w:rPr>
                <w:rFonts w:hint="eastAsia"/>
                <w:b w:val="0"/>
                <w:bCs w:val="0"/>
                <w:sz w:val="24"/>
              </w:rPr>
              <w:t>道路工程是规模宏大的带状三维空间实体，工程的实施不可避免地带来自然地理环境的破坏和自然资源的损失，甚至造成对周围居民日常生产、生活的损害。</w:t>
            </w:r>
            <w:r>
              <w:rPr>
                <w:rFonts w:hint="eastAsia"/>
                <w:sz w:val="24"/>
              </w:rPr>
              <w:t>本项目水土流失防治分三大区域即</w:t>
            </w:r>
            <w:r>
              <w:rPr>
                <w:rFonts w:hint="default"/>
              </w:rPr>
              <w:t>主体工程</w:t>
            </w:r>
            <w:r>
              <w:t>防治</w:t>
            </w:r>
            <w:r>
              <w:rPr>
                <w:rFonts w:hint="default"/>
              </w:rPr>
              <w:t>区、</w:t>
            </w:r>
            <w:r>
              <w:t>施工道路防治区</w:t>
            </w:r>
            <w:r>
              <w:rPr>
                <w:rFonts w:hint="default"/>
              </w:rPr>
              <w:t>、施工</w:t>
            </w:r>
            <w:r>
              <w:t>生产生活防治区</w:t>
            </w:r>
            <w:r>
              <w:rPr>
                <w:rFonts w:hint="default"/>
              </w:rPr>
              <w:t>。</w:t>
            </w:r>
          </w:p>
          <w:p>
            <w:pPr>
              <w:ind w:firstLine="482" w:firstLineChars="200"/>
              <w:rPr>
                <w:rFonts w:hint="eastAsia"/>
                <w:b/>
                <w:bCs/>
                <w:sz w:val="24"/>
              </w:rPr>
            </w:pPr>
            <w:r>
              <w:rPr>
                <w:rFonts w:hint="eastAsia"/>
                <w:b/>
                <w:bCs/>
                <w:sz w:val="24"/>
                <w:lang w:eastAsia="zh-CN"/>
              </w:rPr>
              <w:t>（</w:t>
            </w:r>
            <w:r>
              <w:rPr>
                <w:rFonts w:hint="eastAsia"/>
                <w:b/>
                <w:bCs/>
                <w:sz w:val="24"/>
                <w:lang w:val="en-US" w:eastAsia="zh-CN"/>
              </w:rPr>
              <w:t>1</w:t>
            </w:r>
            <w:r>
              <w:rPr>
                <w:rFonts w:hint="eastAsia"/>
                <w:b/>
                <w:bCs/>
                <w:sz w:val="24"/>
                <w:lang w:eastAsia="zh-CN"/>
              </w:rPr>
              <w:t>）</w:t>
            </w:r>
            <w:r>
              <w:rPr>
                <w:rFonts w:hint="eastAsia"/>
                <w:b/>
                <w:bCs/>
                <w:sz w:val="24"/>
              </w:rPr>
              <w:t>防治原则和目标</w:t>
            </w:r>
          </w:p>
          <w:p>
            <w:pPr>
              <w:ind w:firstLine="480" w:firstLineChars="200"/>
              <w:rPr>
                <w:rFonts w:hint="eastAsia"/>
                <w:sz w:val="24"/>
              </w:rPr>
            </w:pPr>
            <w:r>
              <w:rPr>
                <w:rFonts w:hint="eastAsia"/>
                <w:sz w:val="24"/>
              </w:rPr>
              <w:t>防治原则</w:t>
            </w:r>
            <w:r>
              <w:rPr>
                <w:rFonts w:hint="eastAsia"/>
                <w:sz w:val="24"/>
                <w:lang w:eastAsia="zh-CN"/>
              </w:rPr>
              <w:t>：</w:t>
            </w:r>
            <w:r>
              <w:rPr>
                <w:rFonts w:hint="eastAsia"/>
                <w:sz w:val="24"/>
              </w:rPr>
              <w:t>“谁开发，谁保护，谁造成水土流失谁负责。”方案设计与实施要结合项目区水土保持现状和工程设计、建设的特点，提出技术上可行、经济上合理、操作性强的防治措施。</w:t>
            </w:r>
          </w:p>
          <w:p>
            <w:pPr>
              <w:ind w:firstLine="480" w:firstLineChars="200"/>
              <w:rPr>
                <w:rFonts w:hint="eastAsia"/>
                <w:sz w:val="24"/>
              </w:rPr>
            </w:pPr>
            <w:r>
              <w:rPr>
                <w:rFonts w:hint="eastAsia"/>
                <w:sz w:val="24"/>
              </w:rPr>
              <w:t>防治目标</w:t>
            </w:r>
            <w:r>
              <w:rPr>
                <w:rFonts w:hint="eastAsia"/>
                <w:sz w:val="24"/>
                <w:lang w:eastAsia="zh-CN"/>
              </w:rPr>
              <w:t>：</w:t>
            </w:r>
            <w:r>
              <w:rPr>
                <w:rFonts w:hint="eastAsia"/>
                <w:sz w:val="24"/>
              </w:rPr>
              <w:t>贯彻“二十四字”防治方针，严格执行“三同时”制度，“水土保持设施补偿”制度，对项目造成的水土流失进行防治。</w:t>
            </w:r>
          </w:p>
          <w:p>
            <w:pPr>
              <w:numPr>
                <w:ilvl w:val="0"/>
                <w:numId w:val="9"/>
              </w:numPr>
              <w:bidi w:val="0"/>
              <w:ind w:firstLine="482" w:firstLineChars="200"/>
              <w:rPr>
                <w:b/>
                <w:bCs/>
              </w:rPr>
            </w:pPr>
            <w:r>
              <w:rPr>
                <w:b/>
                <w:bCs/>
              </w:rPr>
              <w:t>防治体系布局</w:t>
            </w:r>
          </w:p>
          <w:p>
            <w:pPr>
              <w:bidi w:val="0"/>
              <w:ind w:firstLine="480" w:firstLineChars="200"/>
              <w:rPr>
                <w:rFonts w:hint="eastAsia"/>
                <w:lang w:eastAsia="zh-CN"/>
              </w:rPr>
            </w:pPr>
            <w:r>
              <w:rPr>
                <w:rFonts w:hint="eastAsia"/>
                <w:lang w:eastAsia="zh-CN"/>
              </w:rPr>
              <w:t>本工程水土流失防治措施布局以工程措施为先导，发挥其速效性和控制性，在重点地段布设工程措施的同时，必须加强“线”和“面”上的林草建设，改善和恢复责任范围内的生态环境，充分发挥植物措施的后效性和生态效应，努力实现水土流失的根本治理。</w:t>
            </w:r>
          </w:p>
          <w:p>
            <w:pPr>
              <w:bidi w:val="0"/>
              <w:spacing w:line="240" w:lineRule="auto"/>
              <w:jc w:val="center"/>
            </w:pPr>
            <w:r>
              <w:drawing>
                <wp:inline distT="0" distB="0" distL="0" distR="0">
                  <wp:extent cx="3959860" cy="2954020"/>
                  <wp:effectExtent l="0" t="0" r="2540" b="17780"/>
                  <wp:docPr id="2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4"/>
                          <pic:cNvPicPr>
                            <a:picLocks noChangeAspect="1" noChangeArrowheads="1"/>
                          </pic:cNvPicPr>
                        </pic:nvPicPr>
                        <pic:blipFill>
                          <a:blip r:embed="rId18"/>
                          <a:srcRect l="3492" t="1875" r="1037" b="3194"/>
                          <a:stretch>
                            <a:fillRect/>
                          </a:stretch>
                        </pic:blipFill>
                        <pic:spPr>
                          <a:xfrm>
                            <a:off x="0" y="0"/>
                            <a:ext cx="3959860" cy="2954020"/>
                          </a:xfrm>
                          <a:prstGeom prst="rect">
                            <a:avLst/>
                          </a:prstGeom>
                          <a:noFill/>
                          <a:ln w="9525">
                            <a:noFill/>
                            <a:miter lim="800000"/>
                            <a:headEnd/>
                            <a:tailEnd/>
                          </a:ln>
                          <a:effectLst/>
                        </pic:spPr>
                      </pic:pic>
                    </a:graphicData>
                  </a:graphic>
                </wp:inline>
              </w:drawing>
            </w:r>
          </w:p>
          <w:p>
            <w:pPr>
              <w:bidi w:val="0"/>
              <w:jc w:val="center"/>
              <w:rPr>
                <w:rFonts w:hint="default"/>
                <w:b/>
                <w:bCs/>
              </w:rPr>
            </w:pPr>
            <w:r>
              <w:rPr>
                <w:b/>
                <w:bCs/>
              </w:rPr>
              <w:t>图</w:t>
            </w:r>
            <w:r>
              <w:rPr>
                <w:rFonts w:hint="eastAsia"/>
                <w:b/>
                <w:bCs/>
                <w:lang w:val="en-US" w:eastAsia="zh-CN"/>
              </w:rPr>
              <w:t>10</w:t>
            </w:r>
            <w:r>
              <w:rPr>
                <w:b/>
                <w:bCs/>
              </w:rPr>
              <w:t xml:space="preserve"> 水土流失防治体系框图</w:t>
            </w:r>
          </w:p>
          <w:p>
            <w:pPr>
              <w:ind w:firstLine="482" w:firstLineChars="200"/>
              <w:rPr>
                <w:rFonts w:hint="eastAsia"/>
                <w:b/>
                <w:bCs/>
                <w:sz w:val="24"/>
              </w:rPr>
            </w:pPr>
            <w:r>
              <w:rPr>
                <w:rFonts w:hint="eastAsia"/>
                <w:b/>
                <w:bCs/>
                <w:sz w:val="24"/>
                <w:lang w:eastAsia="zh-CN"/>
              </w:rPr>
              <w:t>（</w:t>
            </w:r>
            <w:r>
              <w:rPr>
                <w:rFonts w:hint="eastAsia"/>
                <w:b/>
                <w:bCs/>
                <w:sz w:val="24"/>
                <w:lang w:val="en-US" w:eastAsia="zh-CN"/>
              </w:rPr>
              <w:t>3</w:t>
            </w:r>
            <w:r>
              <w:rPr>
                <w:rFonts w:hint="eastAsia"/>
                <w:b/>
                <w:bCs/>
                <w:sz w:val="24"/>
                <w:lang w:eastAsia="zh-CN"/>
              </w:rPr>
              <w:t>）</w:t>
            </w:r>
            <w:r>
              <w:rPr>
                <w:rFonts w:hint="eastAsia"/>
                <w:b/>
                <w:bCs/>
                <w:sz w:val="24"/>
              </w:rPr>
              <w:t>防治措施</w:t>
            </w:r>
          </w:p>
          <w:p>
            <w:pPr>
              <w:ind w:firstLine="560"/>
            </w:pPr>
            <w:r>
              <w:t>根据本项目的特点和水土流失预测结果，本水土保持方案在主体已有措施水土保持的基础上作进一步补充和完善，遵循重点治理与面上防治相结合。植物措施与工程措施相结合的原则，统筹布局各类水土保持措施，形成完整的水土流失防治体系，使工程产生的水土流失量控制在最低限度，尽可能的保护项目区的生态环境。</w:t>
            </w:r>
          </w:p>
          <w:p>
            <w:pPr>
              <w:ind w:firstLine="562"/>
              <w:rPr>
                <w:rFonts w:hint="default"/>
                <w:b w:val="0"/>
                <w:bCs w:val="0"/>
                <w:szCs w:val="28"/>
              </w:rPr>
            </w:pPr>
            <w:r>
              <w:rPr>
                <w:rFonts w:hint="eastAsia"/>
                <w:b w:val="0"/>
                <w:bCs w:val="0"/>
                <w:szCs w:val="28"/>
                <w:lang w:val="en-US" w:eastAsia="zh-CN"/>
              </w:rPr>
              <w:t>1）</w:t>
            </w:r>
            <w:r>
              <w:rPr>
                <w:rFonts w:hint="default"/>
                <w:b w:val="0"/>
                <w:bCs w:val="0"/>
                <w:szCs w:val="28"/>
              </w:rPr>
              <w:t>主体工程</w:t>
            </w:r>
            <w:r>
              <w:rPr>
                <w:b w:val="0"/>
                <w:bCs w:val="0"/>
                <w:szCs w:val="28"/>
              </w:rPr>
              <w:t>防治</w:t>
            </w:r>
            <w:r>
              <w:rPr>
                <w:rFonts w:hint="default"/>
                <w:b w:val="0"/>
                <w:bCs w:val="0"/>
                <w:szCs w:val="28"/>
              </w:rPr>
              <w:t>区</w:t>
            </w:r>
          </w:p>
          <w:p>
            <w:pPr>
              <w:ind w:firstLine="560"/>
              <w:rPr>
                <w:rFonts w:hint="default"/>
              </w:rPr>
            </w:pPr>
            <w:r>
              <w:rPr>
                <w:rFonts w:hint="eastAsia" w:ascii="宋体" w:hAnsi="宋体" w:eastAsia="宋体" w:cs="宋体"/>
              </w:rPr>
              <w:t>①</w:t>
            </w:r>
            <w:r>
              <w:t>工程措施</w:t>
            </w:r>
          </w:p>
          <w:p>
            <w:pPr>
              <w:numPr>
                <w:ilvl w:val="0"/>
                <w:numId w:val="10"/>
              </w:numPr>
              <w:ind w:firstLine="560"/>
            </w:pPr>
            <w:r>
              <w:t>表土剥离：在进行开挖前，对植物较好的区域进行表土剥离，平均剥离厚度0.3m，剥离后的表土集中到退后绿化带上集中堆放，施工结束后用于后期绿化覆土。</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80" w:firstLineChars="200"/>
              <w:textAlignment w:val="auto"/>
            </w:pPr>
            <w:r>
              <w:t>路基排水：为降低雨水对路基坡面冲刷影响，避免水土流失，应进行路基排水系统设计，并考虑本项目所涉的农田灌溉等，形成完整的排水系统。</w:t>
            </w:r>
          </w:p>
          <w:p>
            <w:pPr>
              <w:ind w:firstLine="560"/>
              <w:rPr>
                <w:rFonts w:hint="default"/>
              </w:rPr>
            </w:pPr>
            <w:r>
              <w:rPr>
                <w:rFonts w:hint="eastAsia" w:ascii="宋体" w:hAnsi="宋体" w:eastAsia="宋体" w:cs="宋体"/>
              </w:rPr>
              <w:t>②</w:t>
            </w:r>
            <w:r>
              <w:t>植物措施</w:t>
            </w:r>
          </w:p>
          <w:p>
            <w:pPr>
              <w:ind w:firstLine="560"/>
              <w:rPr>
                <w:rFonts w:hint="default"/>
              </w:rPr>
            </w:pPr>
            <w:r>
              <w:rPr>
                <w:rFonts w:hint="eastAsia"/>
                <w:lang w:val="en-US" w:eastAsia="zh-CN"/>
              </w:rPr>
              <w:t xml:space="preserve">a. </w:t>
            </w:r>
            <w:r>
              <w:rPr>
                <w:rFonts w:hint="default"/>
              </w:rPr>
              <w:t>路堑边坡：本项目在挖方地段可采用种草籽的植物防护措施。对于不良地质路基路堤地段，为保证边坡稳定，可重力式路堑挡土墙和其它加固措施降低边坡高度，防止滑坡、崩塌产生。</w:t>
            </w:r>
          </w:p>
          <w:p>
            <w:pPr>
              <w:ind w:firstLine="560"/>
              <w:rPr>
                <w:rFonts w:hint="default"/>
              </w:rPr>
            </w:pPr>
            <w:r>
              <w:rPr>
                <w:rFonts w:hint="eastAsia"/>
                <w:lang w:val="en-US" w:eastAsia="zh-CN"/>
              </w:rPr>
              <w:t xml:space="preserve">b. </w:t>
            </w:r>
            <w:r>
              <w:rPr>
                <w:rFonts w:hint="default"/>
              </w:rPr>
              <w:t>路堤边坡：本项目在填方地段可采用种草籽的植物防护措施。</w:t>
            </w:r>
          </w:p>
          <w:p>
            <w:pPr>
              <w:ind w:firstLine="560"/>
            </w:pPr>
            <w:r>
              <w:rPr>
                <w:rFonts w:hint="eastAsia" w:ascii="宋体" w:hAnsi="宋体" w:eastAsia="宋体" w:cs="宋体"/>
              </w:rPr>
              <w:t>③</w:t>
            </w:r>
            <w:r>
              <w:t>临时措施</w:t>
            </w:r>
          </w:p>
          <w:p>
            <w:pPr>
              <w:numPr>
                <w:ilvl w:val="0"/>
                <w:numId w:val="11"/>
              </w:numPr>
              <w:tabs>
                <w:tab w:val="left" w:pos="744"/>
              </w:tabs>
              <w:ind w:firstLine="480" w:firstLineChars="200"/>
            </w:pPr>
            <w:r>
              <w:t>临时排水</w:t>
            </w:r>
            <w:r>
              <w:rPr>
                <w:rFonts w:hint="eastAsia"/>
                <w:lang w:eastAsia="zh-CN"/>
              </w:rPr>
              <w:t>：</w:t>
            </w:r>
            <w:r>
              <w:t>在工程施工过程中，由于在一定时期内项目区排水工程尚未完善，其排水功能尚未发挥效益。故应采取适当措施排除区域内的排水，使排水畅通，尽量避免冲刷或浸泡土体，引发水土流失。本方案拟在施工区域外围挖临时排水沟以引导雨水，并在最终排出口处布设沉砂池。</w:t>
            </w:r>
          </w:p>
          <w:p>
            <w:pPr>
              <w:numPr>
                <w:ilvl w:val="0"/>
                <w:numId w:val="11"/>
              </w:numPr>
              <w:ind w:left="0" w:leftChars="0" w:firstLine="480" w:firstLineChars="200"/>
              <w:rPr>
                <w:rFonts w:hint="default"/>
              </w:rPr>
            </w:pPr>
            <w:r>
              <w:t>路基挖填方边坡由于坡面较为松散，遇强降雨容易产生溅蚀、沟蚀、面蚀以及坍塌等严重水土流失，因此在施工过程中注意采取防护措施，边开挖边修坡，尽早采取工程措施和植物措施。施工中有遇强降雨前对尚未采取防护措施的挖方边坡用防雨彩条布临时覆盖，避免降雨及其径流冲刷。</w:t>
            </w:r>
          </w:p>
          <w:p>
            <w:pPr>
              <w:ind w:firstLine="562"/>
              <w:rPr>
                <w:rFonts w:hint="default"/>
                <w:b w:val="0"/>
                <w:bCs w:val="0"/>
                <w:szCs w:val="28"/>
              </w:rPr>
            </w:pPr>
            <w:r>
              <w:rPr>
                <w:rFonts w:hint="eastAsia"/>
                <w:b w:val="0"/>
                <w:bCs w:val="0"/>
                <w:szCs w:val="28"/>
                <w:lang w:val="en-US" w:eastAsia="zh-CN"/>
              </w:rPr>
              <w:t>2</w:t>
            </w:r>
            <w:r>
              <w:rPr>
                <w:rFonts w:hint="eastAsia"/>
                <w:b w:val="0"/>
                <w:bCs w:val="0"/>
                <w:szCs w:val="28"/>
                <w:lang w:eastAsia="zh-CN"/>
              </w:rPr>
              <w:t>）</w:t>
            </w:r>
            <w:r>
              <w:rPr>
                <w:b w:val="0"/>
                <w:bCs w:val="0"/>
                <w:szCs w:val="28"/>
              </w:rPr>
              <w:t>施工道路防治区</w:t>
            </w:r>
          </w:p>
          <w:p>
            <w:pPr>
              <w:ind w:firstLine="560"/>
            </w:pPr>
            <w:r>
              <w:rPr>
                <w:rFonts w:hint="eastAsia" w:ascii="宋体" w:hAnsi="宋体" w:eastAsia="宋体" w:cs="宋体"/>
              </w:rPr>
              <w:t>①</w:t>
            </w:r>
            <w:r>
              <w:t>植物措施</w:t>
            </w:r>
          </w:p>
          <w:p>
            <w:pPr>
              <w:ind w:firstLine="560"/>
              <w:rPr>
                <w:rFonts w:hint="eastAsia" w:eastAsia="宋体"/>
                <w:lang w:eastAsia="zh-CN"/>
              </w:rPr>
            </w:pPr>
            <w:r>
              <w:t>在填方土质边坡撒播草籽进行绿化</w:t>
            </w:r>
            <w:r>
              <w:rPr>
                <w:rFonts w:hint="eastAsia"/>
                <w:lang w:eastAsia="zh-CN"/>
              </w:rPr>
              <w:t>。</w:t>
            </w:r>
          </w:p>
          <w:p>
            <w:pPr>
              <w:ind w:firstLine="560"/>
            </w:pPr>
            <w:r>
              <w:rPr>
                <w:rFonts w:hint="eastAsia" w:ascii="宋体" w:hAnsi="宋体" w:eastAsia="宋体" w:cs="宋体"/>
              </w:rPr>
              <w:t>②</w:t>
            </w:r>
            <w:r>
              <w:t>临时措施</w:t>
            </w:r>
          </w:p>
          <w:p>
            <w:pPr>
              <w:numPr>
                <w:ilvl w:val="0"/>
                <w:numId w:val="12"/>
              </w:numPr>
              <w:ind w:firstLine="560"/>
            </w:pPr>
            <w:r>
              <w:t>临时排水</w:t>
            </w:r>
            <w:r>
              <w:rPr>
                <w:rFonts w:hint="eastAsia"/>
                <w:lang w:eastAsia="zh-CN"/>
              </w:rPr>
              <w:t>：</w:t>
            </w:r>
            <w:r>
              <w:t>为防止雨水冲刷，保证施工道路正常运行，减小水土流失，在道路一侧新开挖临时排水沟，另一侧和主体工程区共用排水沟。排水沟出口设临时沉砂池，将径流引入路旁天然沟道。施工结束后，临时排水沟、沉砂池采用开挖的土方进行回填。</w:t>
            </w:r>
          </w:p>
          <w:p>
            <w:pPr>
              <w:numPr>
                <w:ilvl w:val="0"/>
                <w:numId w:val="12"/>
              </w:numPr>
              <w:ind w:left="0" w:leftChars="0" w:firstLine="560" w:firstLineChars="0"/>
            </w:pPr>
            <w:r>
              <w:t>临时挡护</w:t>
            </w:r>
            <w:r>
              <w:rPr>
                <w:rFonts w:hint="eastAsia"/>
                <w:lang w:eastAsia="zh-CN"/>
              </w:rPr>
              <w:t>：</w:t>
            </w:r>
            <w:r>
              <w:t>在挖填方较高路段拟先修筑临时挡土墙，然后进行道路填筑。</w:t>
            </w:r>
          </w:p>
          <w:p>
            <w:pPr>
              <w:numPr>
                <w:ilvl w:val="0"/>
                <w:numId w:val="12"/>
              </w:numPr>
              <w:ind w:left="0" w:leftChars="0" w:firstLine="560" w:firstLineChars="0"/>
              <w:rPr>
                <w:rFonts w:hint="default"/>
              </w:rPr>
            </w:pPr>
            <w:r>
              <w:t>临时覆盖</w:t>
            </w:r>
            <w:r>
              <w:rPr>
                <w:rFonts w:hint="eastAsia"/>
                <w:lang w:eastAsia="zh-CN"/>
              </w:rPr>
              <w:t>：</w:t>
            </w:r>
            <w:r>
              <w:rPr>
                <w:rFonts w:hint="default"/>
              </w:rPr>
              <w:t>施工中遇强降雨前对尚未采取防护措施的挖方边坡用防雨彩条布临时覆盖，避免降雨及其径流冲刷。</w:t>
            </w:r>
          </w:p>
          <w:p>
            <w:pPr>
              <w:ind w:firstLine="562"/>
              <w:rPr>
                <w:rFonts w:hint="default"/>
                <w:b w:val="0"/>
                <w:bCs w:val="0"/>
                <w:szCs w:val="28"/>
              </w:rPr>
            </w:pPr>
            <w:r>
              <w:rPr>
                <w:rFonts w:hint="eastAsia"/>
                <w:b w:val="0"/>
                <w:bCs w:val="0"/>
                <w:szCs w:val="28"/>
                <w:lang w:val="en-US" w:eastAsia="zh-CN"/>
              </w:rPr>
              <w:t>3）</w:t>
            </w:r>
            <w:r>
              <w:rPr>
                <w:b w:val="0"/>
                <w:bCs w:val="0"/>
                <w:szCs w:val="28"/>
              </w:rPr>
              <w:t>施工生产生活防治</w:t>
            </w:r>
            <w:r>
              <w:rPr>
                <w:rFonts w:hint="default"/>
                <w:b w:val="0"/>
                <w:bCs w:val="0"/>
                <w:szCs w:val="28"/>
              </w:rPr>
              <w:t>区</w:t>
            </w:r>
          </w:p>
          <w:p>
            <w:pPr>
              <w:ind w:firstLine="560"/>
            </w:pPr>
            <w:r>
              <w:rPr>
                <w:rFonts w:hint="eastAsia" w:ascii="宋体" w:hAnsi="宋体" w:eastAsia="宋体" w:cs="宋体"/>
              </w:rPr>
              <w:t>①</w:t>
            </w:r>
            <w:r>
              <w:t>工程措施</w:t>
            </w:r>
          </w:p>
          <w:p>
            <w:pPr>
              <w:ind w:firstLine="560"/>
            </w:pPr>
            <w:r>
              <w:t>施工期拌合场、堆料场及施工营地的临时用地，使用前清除表层根植土，平均清除深度30cm，集中堆放于附近的临时堆土场</w:t>
            </w:r>
          </w:p>
          <w:p>
            <w:pPr>
              <w:ind w:firstLine="560"/>
            </w:pPr>
            <w:r>
              <w:rPr>
                <w:rFonts w:hint="eastAsia" w:ascii="宋体" w:hAnsi="宋体" w:eastAsia="宋体" w:cs="宋体"/>
              </w:rPr>
              <w:t>②</w:t>
            </w:r>
            <w:r>
              <w:t>植物措施</w:t>
            </w:r>
          </w:p>
          <w:p>
            <w:pPr>
              <w:numPr>
                <w:ilvl w:val="0"/>
                <w:numId w:val="13"/>
              </w:numPr>
              <w:ind w:firstLine="560"/>
            </w:pPr>
            <w:r>
              <w:t>土地整治、覆土</w:t>
            </w:r>
            <w:r>
              <w:rPr>
                <w:rFonts w:hint="eastAsia"/>
                <w:lang w:eastAsia="zh-CN"/>
              </w:rPr>
              <w:t>：</w:t>
            </w:r>
            <w:r>
              <w:t>施工结束后，立即清理场地，清除施工废料及硬化地面，将剥离的表土进行覆盖。</w:t>
            </w:r>
          </w:p>
          <w:p>
            <w:pPr>
              <w:numPr>
                <w:ilvl w:val="0"/>
                <w:numId w:val="13"/>
              </w:numPr>
              <w:ind w:left="0" w:leftChars="0" w:firstLine="560" w:firstLineChars="0"/>
            </w:pPr>
            <w:r>
              <w:t>植物措施</w:t>
            </w:r>
            <w:r>
              <w:rPr>
                <w:rFonts w:hint="eastAsia"/>
                <w:lang w:eastAsia="zh-CN"/>
              </w:rPr>
              <w:t>：</w:t>
            </w:r>
            <w:r>
              <w:t>施工生活区原用地为荒地，为减少水土流失，结合该区域的总体规划，地表采用撒播草籽绿化。</w:t>
            </w:r>
          </w:p>
          <w:p>
            <w:pPr>
              <w:ind w:firstLine="560"/>
            </w:pPr>
            <w:r>
              <w:rPr>
                <w:rFonts w:hint="eastAsia" w:ascii="宋体" w:hAnsi="宋体" w:eastAsia="宋体" w:cs="宋体"/>
              </w:rPr>
              <w:t>③</w:t>
            </w:r>
            <w:r>
              <w:t>临时措施</w:t>
            </w:r>
          </w:p>
          <w:p>
            <w:pPr>
              <w:numPr>
                <w:ilvl w:val="0"/>
                <w:numId w:val="14"/>
              </w:numPr>
              <w:ind w:firstLine="560"/>
            </w:pPr>
            <w:r>
              <w:t>临时排水</w:t>
            </w:r>
            <w:r>
              <w:rPr>
                <w:rFonts w:hint="eastAsia"/>
                <w:lang w:eastAsia="zh-CN"/>
              </w:rPr>
              <w:t>：</w:t>
            </w:r>
            <w:r>
              <w:t>为使得施工生产生活区地面径流排出，在该区周边开挖临时截排水沟，排水沟末端修建临时沉淀池，以阻留从周边坡面冲蚀的土壤，临时截水沟末端接入自然沟道。</w:t>
            </w:r>
          </w:p>
          <w:p>
            <w:pPr>
              <w:numPr>
                <w:ilvl w:val="0"/>
                <w:numId w:val="14"/>
              </w:numPr>
              <w:ind w:left="0" w:leftChars="0" w:firstLine="560" w:firstLineChars="0"/>
            </w:pPr>
            <w:r>
              <w:t>临时覆盖</w:t>
            </w:r>
            <w:r>
              <w:rPr>
                <w:rFonts w:hint="eastAsia"/>
                <w:lang w:eastAsia="zh-CN"/>
              </w:rPr>
              <w:t>：</w:t>
            </w:r>
            <w:r>
              <w:t>本工程工期1年，雨季施工期间，对于施工生产生活堆放的沙石料裸露边坡采用彩布条进行覆盖。施工结束后，将塑料防雨彩布条统一收集处理。</w:t>
            </w:r>
          </w:p>
          <w:p>
            <w:pPr>
              <w:bidi w:val="0"/>
              <w:ind w:firstLine="482" w:firstLineChars="200"/>
              <w:rPr>
                <w:b/>
                <w:bCs/>
              </w:rPr>
            </w:pPr>
            <w:bookmarkStart w:id="10" w:name="_Toc425951835"/>
            <w:bookmarkStart w:id="11" w:name="_Toc12577"/>
            <w:bookmarkStart w:id="12" w:name="_Toc13419"/>
            <w:r>
              <w:rPr>
                <w:rFonts w:hint="eastAsia"/>
                <w:b/>
                <w:bCs/>
                <w:lang w:eastAsia="zh-CN"/>
              </w:rPr>
              <w:t>（</w:t>
            </w:r>
            <w:r>
              <w:rPr>
                <w:rFonts w:hint="eastAsia"/>
                <w:b/>
                <w:bCs/>
                <w:lang w:val="en-US" w:eastAsia="zh-CN"/>
              </w:rPr>
              <w:t>4</w:t>
            </w:r>
            <w:r>
              <w:rPr>
                <w:rFonts w:hint="eastAsia"/>
                <w:b/>
                <w:bCs/>
                <w:lang w:eastAsia="zh-CN"/>
              </w:rPr>
              <w:t>）</w:t>
            </w:r>
            <w:r>
              <w:rPr>
                <w:b/>
                <w:bCs/>
              </w:rPr>
              <w:t>水土流失监测</w:t>
            </w:r>
            <w:bookmarkEnd w:id="10"/>
            <w:bookmarkEnd w:id="11"/>
            <w:bookmarkEnd w:id="12"/>
          </w:p>
          <w:p>
            <w:pPr>
              <w:bidi w:val="0"/>
              <w:ind w:firstLine="480" w:firstLineChars="200"/>
              <w:rPr>
                <w:rFonts w:hint="default"/>
              </w:rPr>
            </w:pPr>
            <w:r>
              <w:rPr>
                <w:rFonts w:hint="default"/>
              </w:rPr>
              <w:t>建设单位应委托有资质的单位，对本工程实施后的水土流失进行监测，包括施工期和运营期水土流失因子、水土流失量和水土保持设施效益等。根据本工程的实际情况，建议选择具有代表性的路堤和路堑工点各一个作为监测点，并针对工程施工期和运营期在雨季的水土流失量进行监测。将监测结果纳入株洲市水土保持监测网络，统一管理。</w:t>
            </w:r>
          </w:p>
          <w:p>
            <w:pPr>
              <w:bidi w:val="0"/>
              <w:ind w:firstLine="482" w:firstLineChars="200"/>
              <w:rPr>
                <w:b/>
                <w:bCs/>
              </w:rPr>
            </w:pPr>
            <w:bookmarkStart w:id="13" w:name="_Toc4065"/>
            <w:bookmarkStart w:id="14" w:name="_Toc30409"/>
            <w:bookmarkStart w:id="15" w:name="_Toc425951836"/>
            <w:r>
              <w:rPr>
                <w:rFonts w:hint="eastAsia"/>
                <w:b/>
                <w:bCs/>
                <w:lang w:eastAsia="zh-CN"/>
              </w:rPr>
              <w:t>（</w:t>
            </w:r>
            <w:r>
              <w:rPr>
                <w:rFonts w:hint="eastAsia"/>
                <w:b/>
                <w:bCs/>
                <w:lang w:val="en-US" w:eastAsia="zh-CN"/>
              </w:rPr>
              <w:t>5</w:t>
            </w:r>
            <w:r>
              <w:rPr>
                <w:rFonts w:hint="eastAsia"/>
                <w:b/>
                <w:bCs/>
                <w:lang w:eastAsia="zh-CN"/>
              </w:rPr>
              <w:t>）</w:t>
            </w:r>
            <w:r>
              <w:rPr>
                <w:b/>
                <w:bCs/>
              </w:rPr>
              <w:t>结论</w:t>
            </w:r>
            <w:bookmarkEnd w:id="13"/>
            <w:bookmarkEnd w:id="14"/>
            <w:bookmarkEnd w:id="15"/>
          </w:p>
          <w:p>
            <w:pPr>
              <w:bidi w:val="0"/>
              <w:ind w:firstLine="480" w:firstLineChars="200"/>
              <w:rPr>
                <w:rFonts w:hint="default"/>
              </w:rPr>
            </w:pPr>
            <w:r>
              <w:rPr>
                <w:rFonts w:hint="default"/>
              </w:rPr>
              <w:t>综上所述，项目在施工中应科学规划、合理侵扰，挖填方配套作业，要求分区分片开挖，及时压实填方；施工时必须同时建设稳定边坡辅助工程，防止坡面崩塌；设置堆放场、材料堆放场的防径流冲刷措施应加强，废土渣应及时运出填埋，并应注意挖填平衡；在项目建设的同时应及时做好绿化及地面石化等工作，工程建成后，场地内应无大片裸露地面，使区域水土保持功能得到加强。</w:t>
            </w:r>
          </w:p>
          <w:p>
            <w:pPr>
              <w:bidi w:val="0"/>
              <w:ind w:firstLine="480" w:firstLineChars="200"/>
              <w:rPr>
                <w:rFonts w:hint="default"/>
              </w:rPr>
            </w:pPr>
            <w:r>
              <w:rPr>
                <w:rFonts w:hint="default"/>
              </w:rPr>
              <w:t>通过以上防治措施，执行开发建设项目水土保持</w:t>
            </w:r>
            <w:r>
              <w:rPr>
                <w:rFonts w:hint="eastAsia"/>
                <w:lang w:eastAsia="zh-CN"/>
              </w:rPr>
              <w:t>“</w:t>
            </w:r>
            <w:r>
              <w:rPr>
                <w:rFonts w:hint="default"/>
              </w:rPr>
              <w:t>三同时</w:t>
            </w:r>
            <w:r>
              <w:rPr>
                <w:rFonts w:hint="eastAsia"/>
                <w:lang w:eastAsia="zh-CN"/>
              </w:rPr>
              <w:t>”</w:t>
            </w:r>
            <w:r>
              <w:rPr>
                <w:rFonts w:hint="default"/>
              </w:rPr>
              <w:t>制度，并开展水土保持工程监理，做好水土保持措施的落实管理，可使水土流失得到有效控制，能满足水土保持的相关要求，防止产生大量的水土流失。</w:t>
            </w:r>
          </w:p>
          <w:p>
            <w:pPr>
              <w:tabs>
                <w:tab w:val="left" w:pos="2090"/>
              </w:tabs>
              <w:autoSpaceDE w:val="0"/>
              <w:autoSpaceDN w:val="0"/>
              <w:ind w:firstLine="482" w:firstLineChars="200"/>
              <w:rPr>
                <w:b/>
                <w:sz w:val="24"/>
                <w:highlight w:val="none"/>
              </w:rPr>
            </w:pPr>
            <w:r>
              <w:rPr>
                <w:b/>
                <w:sz w:val="24"/>
                <w:highlight w:val="none"/>
              </w:rPr>
              <w:t>2.4 土石方工程</w:t>
            </w:r>
          </w:p>
          <w:p>
            <w:pPr>
              <w:ind w:firstLine="560"/>
              <w:rPr>
                <w:rFonts w:hint="eastAsia"/>
                <w:szCs w:val="28"/>
                <w:lang w:val="en-US" w:eastAsia="zh-CN"/>
              </w:rPr>
            </w:pPr>
            <w:r>
              <w:rPr>
                <w:rFonts w:hint="default"/>
                <w:szCs w:val="28"/>
              </w:rPr>
              <w:t>根据项目具体情况，</w:t>
            </w:r>
            <w:r>
              <w:rPr>
                <w:szCs w:val="28"/>
              </w:rPr>
              <w:t>本项目分两期实施，其中</w:t>
            </w:r>
            <w:r>
              <w:rPr>
                <w:rFonts w:hint="default"/>
              </w:rPr>
              <w:t>一期</w:t>
            </w:r>
            <w:r>
              <w:t>工程工期为</w:t>
            </w:r>
            <w:r>
              <w:rPr>
                <w:rFonts w:hint="default"/>
              </w:rPr>
              <w:t>2020年10月-2021年12月</w:t>
            </w:r>
            <w:r>
              <w:t>，建设</w:t>
            </w:r>
            <w:r>
              <w:rPr>
                <w:rFonts w:hint="default"/>
              </w:rPr>
              <w:t>百合路（马鞍路-云龙大道）一期、马鞍路、桃园路</w:t>
            </w:r>
            <w:r>
              <w:t>及</w:t>
            </w:r>
            <w:r>
              <w:rPr>
                <w:rFonts w:hint="default"/>
              </w:rPr>
              <w:t>纬四路</w:t>
            </w:r>
            <w:r>
              <w:t>；</w:t>
            </w:r>
            <w:r>
              <w:rPr>
                <w:rFonts w:hint="default"/>
              </w:rPr>
              <w:t>二期</w:t>
            </w:r>
            <w:r>
              <w:t>工程</w:t>
            </w:r>
            <w:r>
              <w:rPr>
                <w:rFonts w:hint="default"/>
              </w:rPr>
              <w:t>2022年4月-2023年6月</w:t>
            </w:r>
            <w:r>
              <w:t>，建设</w:t>
            </w:r>
            <w:r>
              <w:rPr>
                <w:rFonts w:hint="default"/>
              </w:rPr>
              <w:t>百合路（云峰大道-马鞍路）二期</w:t>
            </w:r>
            <w:r>
              <w:rPr>
                <w:rFonts w:hint="default"/>
                <w:szCs w:val="28"/>
              </w:rPr>
              <w:t>。</w:t>
            </w:r>
            <w:r>
              <w:rPr>
                <w:rFonts w:hint="eastAsia"/>
                <w:szCs w:val="28"/>
                <w:lang w:eastAsia="zh-CN"/>
              </w:rPr>
              <w:t>但</w:t>
            </w:r>
            <w:r>
              <w:rPr>
                <w:rFonts w:hint="eastAsia"/>
                <w:szCs w:val="28"/>
                <w:lang w:val="en-US" w:eastAsia="zh-CN"/>
              </w:rPr>
              <w:t>2020年10月-2021年6月会完成</w:t>
            </w:r>
            <w:r>
              <w:rPr>
                <w:rFonts w:hint="eastAsia"/>
                <w:lang w:eastAsia="zh-CN"/>
              </w:rPr>
              <w:t>两</w:t>
            </w:r>
            <w:r>
              <w:rPr>
                <w:rFonts w:hint="default"/>
              </w:rPr>
              <w:t>期</w:t>
            </w:r>
            <w:r>
              <w:t>工程</w:t>
            </w:r>
            <w:r>
              <w:rPr>
                <w:rFonts w:hint="eastAsia"/>
                <w:lang w:eastAsia="zh-CN"/>
              </w:rPr>
              <w:t>的</w:t>
            </w:r>
            <w:r>
              <w:rPr>
                <w:rFonts w:hint="eastAsia"/>
                <w:szCs w:val="28"/>
                <w:lang w:val="en-US" w:eastAsia="zh-CN"/>
              </w:rPr>
              <w:t>征地拆迁及土石方工程。</w:t>
            </w:r>
          </w:p>
          <w:p>
            <w:pPr>
              <w:ind w:firstLine="560"/>
              <w:rPr>
                <w:rFonts w:hint="default"/>
                <w:u w:val="single"/>
                <w:lang w:val="en-US" w:eastAsia="zh-CN"/>
              </w:rPr>
            </w:pPr>
            <w:r>
              <w:rPr>
                <w:rFonts w:hint="eastAsia"/>
                <w:u w:val="single"/>
                <w:lang w:eastAsia="zh-CN"/>
              </w:rPr>
              <w:t>本项目占地</w:t>
            </w:r>
            <w:r>
              <w:rPr>
                <w:rFonts w:hint="default"/>
                <w:u w:val="single"/>
              </w:rPr>
              <w:t>基本为农田、水塘、丘陵、菜地、荒地</w:t>
            </w:r>
            <w:r>
              <w:rPr>
                <w:rFonts w:hint="eastAsia"/>
                <w:u w:val="single"/>
                <w:lang w:eastAsia="zh-CN"/>
              </w:rPr>
              <w:t>和</w:t>
            </w:r>
            <w:r>
              <w:rPr>
                <w:rFonts w:hint="default"/>
                <w:u w:val="single"/>
              </w:rPr>
              <w:t>林地</w:t>
            </w:r>
            <w:r>
              <w:rPr>
                <w:rFonts w:hint="eastAsia"/>
                <w:u w:val="single"/>
                <w:lang w:eastAsia="zh-CN"/>
              </w:rPr>
              <w:t>，以原有地面高程为基准线，</w:t>
            </w:r>
            <w:r>
              <w:rPr>
                <w:rFonts w:hint="eastAsia"/>
                <w:u w:val="single"/>
              </w:rPr>
              <w:t>马鞍路</w:t>
            </w:r>
            <w:r>
              <w:rPr>
                <w:rFonts w:hint="eastAsia"/>
                <w:u w:val="single"/>
                <w:lang w:eastAsia="zh-CN"/>
              </w:rPr>
              <w:t>全长</w:t>
            </w:r>
            <w:r>
              <w:rPr>
                <w:rFonts w:hint="eastAsia"/>
                <w:u w:val="single"/>
              </w:rPr>
              <w:t>0.35km</w:t>
            </w:r>
            <w:r>
              <w:rPr>
                <w:rFonts w:hint="eastAsia"/>
                <w:u w:val="single"/>
                <w:lang w:eastAsia="zh-CN"/>
              </w:rPr>
              <w:t>，</w:t>
            </w:r>
            <w:r>
              <w:rPr>
                <w:rFonts w:hint="eastAsia"/>
                <w:u w:val="single"/>
              </w:rPr>
              <w:t>路幅</w:t>
            </w:r>
            <w:r>
              <w:rPr>
                <w:rFonts w:hint="eastAsia"/>
                <w:u w:val="single"/>
                <w:lang w:eastAsia="zh-CN"/>
              </w:rPr>
              <w:t>宽</w:t>
            </w:r>
            <w:r>
              <w:rPr>
                <w:rFonts w:hint="eastAsia"/>
                <w:u w:val="single"/>
              </w:rPr>
              <w:t>24m</w:t>
            </w:r>
            <w:r>
              <w:rPr>
                <w:rFonts w:hint="eastAsia"/>
                <w:u w:val="single"/>
                <w:lang w:eastAsia="zh-CN"/>
              </w:rPr>
              <w:t>，挖填方范围为</w:t>
            </w:r>
            <w:r>
              <w:rPr>
                <w:rFonts w:hint="eastAsia"/>
                <w:u w:val="single"/>
                <w:lang w:val="en-US" w:eastAsia="zh-CN"/>
              </w:rPr>
              <w:t>-3.09~2.92m</w:t>
            </w:r>
            <w:r>
              <w:rPr>
                <w:rFonts w:hint="eastAsia"/>
                <w:u w:val="single"/>
                <w:lang w:eastAsia="zh-CN"/>
              </w:rPr>
              <w:t>；</w:t>
            </w:r>
            <w:r>
              <w:rPr>
                <w:rFonts w:hint="eastAsia"/>
                <w:u w:val="single"/>
              </w:rPr>
              <w:t>桃园路</w:t>
            </w:r>
            <w:r>
              <w:rPr>
                <w:rFonts w:hint="eastAsia"/>
                <w:u w:val="single"/>
                <w:lang w:eastAsia="zh-CN"/>
              </w:rPr>
              <w:t>全长</w:t>
            </w:r>
            <w:r>
              <w:rPr>
                <w:rFonts w:hint="eastAsia"/>
                <w:u w:val="single"/>
              </w:rPr>
              <w:t>0.57km</w:t>
            </w:r>
            <w:r>
              <w:rPr>
                <w:rFonts w:hint="eastAsia"/>
                <w:u w:val="single"/>
                <w:lang w:eastAsia="zh-CN"/>
              </w:rPr>
              <w:t>，</w:t>
            </w:r>
            <w:r>
              <w:rPr>
                <w:rFonts w:hint="eastAsia"/>
                <w:u w:val="single"/>
              </w:rPr>
              <w:t>路幅宽40m</w:t>
            </w:r>
            <w:r>
              <w:rPr>
                <w:rFonts w:hint="eastAsia"/>
                <w:u w:val="single"/>
                <w:lang w:eastAsia="zh-CN"/>
              </w:rPr>
              <w:t>，挖填方范围为</w:t>
            </w:r>
            <w:r>
              <w:rPr>
                <w:rFonts w:hint="eastAsia"/>
                <w:u w:val="single"/>
                <w:lang w:val="en-US" w:eastAsia="zh-CN"/>
              </w:rPr>
              <w:t>-4.51~0.76m</w:t>
            </w:r>
            <w:r>
              <w:rPr>
                <w:rFonts w:hint="eastAsia"/>
                <w:u w:val="single"/>
                <w:lang w:eastAsia="zh-CN"/>
              </w:rPr>
              <w:t>；</w:t>
            </w:r>
            <w:r>
              <w:rPr>
                <w:rFonts w:hint="eastAsia"/>
                <w:u w:val="single"/>
              </w:rPr>
              <w:t>纬四路</w:t>
            </w:r>
            <w:r>
              <w:rPr>
                <w:rFonts w:hint="eastAsia"/>
                <w:u w:val="single"/>
                <w:lang w:eastAsia="zh-CN"/>
              </w:rPr>
              <w:t>全长</w:t>
            </w:r>
            <w:r>
              <w:rPr>
                <w:rFonts w:hint="eastAsia"/>
                <w:u w:val="single"/>
              </w:rPr>
              <w:t>0.38km</w:t>
            </w:r>
            <w:r>
              <w:rPr>
                <w:rFonts w:hint="eastAsia"/>
                <w:u w:val="single"/>
                <w:lang w:eastAsia="zh-CN"/>
              </w:rPr>
              <w:t>，</w:t>
            </w:r>
            <w:r>
              <w:rPr>
                <w:rFonts w:hint="eastAsia"/>
                <w:u w:val="single"/>
              </w:rPr>
              <w:t>路幅宽13m</w:t>
            </w:r>
            <w:r>
              <w:rPr>
                <w:rFonts w:hint="eastAsia"/>
                <w:u w:val="single"/>
                <w:lang w:eastAsia="zh-CN"/>
              </w:rPr>
              <w:t>，挖填方范围为</w:t>
            </w:r>
            <w:r>
              <w:rPr>
                <w:rFonts w:hint="eastAsia"/>
                <w:u w:val="single"/>
                <w:lang w:val="en-US" w:eastAsia="zh-CN"/>
              </w:rPr>
              <w:t>-3.97~3.32m，1.5m</w:t>
            </w:r>
            <w:r>
              <w:rPr>
                <w:rFonts w:hint="eastAsia"/>
                <w:u w:val="single"/>
                <w:lang w:eastAsia="zh-CN"/>
              </w:rPr>
              <w:t>；</w:t>
            </w:r>
            <w:r>
              <w:rPr>
                <w:rFonts w:hint="eastAsia"/>
                <w:u w:val="single"/>
              </w:rPr>
              <w:t>百合路（马鞍路-云龙大道）一期</w:t>
            </w:r>
            <w:r>
              <w:rPr>
                <w:rFonts w:hint="eastAsia"/>
                <w:u w:val="single"/>
                <w:lang w:eastAsia="zh-CN"/>
              </w:rPr>
              <w:t>全长</w:t>
            </w:r>
            <w:r>
              <w:rPr>
                <w:rFonts w:hint="eastAsia"/>
                <w:u w:val="single"/>
              </w:rPr>
              <w:t>0.47km</w:t>
            </w:r>
            <w:r>
              <w:rPr>
                <w:rFonts w:hint="eastAsia"/>
                <w:u w:val="single"/>
                <w:lang w:eastAsia="zh-CN"/>
              </w:rPr>
              <w:t>，</w:t>
            </w:r>
            <w:r>
              <w:rPr>
                <w:rFonts w:hint="eastAsia"/>
                <w:u w:val="single"/>
              </w:rPr>
              <w:t>路幅宽24m</w:t>
            </w:r>
            <w:r>
              <w:rPr>
                <w:rFonts w:hint="eastAsia"/>
                <w:u w:val="single"/>
                <w:lang w:eastAsia="zh-CN"/>
              </w:rPr>
              <w:t>，</w:t>
            </w:r>
            <w:r>
              <w:rPr>
                <w:rFonts w:hint="eastAsia"/>
                <w:u w:val="single"/>
              </w:rPr>
              <w:t>百合路（云峰大道-马鞍路）二期</w:t>
            </w:r>
            <w:r>
              <w:rPr>
                <w:rFonts w:hint="eastAsia"/>
                <w:u w:val="single"/>
                <w:lang w:eastAsia="zh-CN"/>
              </w:rPr>
              <w:t>全长</w:t>
            </w:r>
            <w:r>
              <w:rPr>
                <w:rFonts w:hint="eastAsia"/>
                <w:u w:val="single"/>
              </w:rPr>
              <w:t>0.77km</w:t>
            </w:r>
            <w:r>
              <w:rPr>
                <w:rFonts w:hint="eastAsia"/>
                <w:u w:val="single"/>
                <w:lang w:eastAsia="zh-CN"/>
              </w:rPr>
              <w:t>，</w:t>
            </w:r>
            <w:r>
              <w:rPr>
                <w:rFonts w:hint="eastAsia"/>
                <w:u w:val="single"/>
              </w:rPr>
              <w:t>路幅宽24m</w:t>
            </w:r>
            <w:r>
              <w:rPr>
                <w:rFonts w:hint="eastAsia"/>
                <w:u w:val="single"/>
                <w:lang w:eastAsia="zh-CN"/>
              </w:rPr>
              <w:t>，挖填方范围为</w:t>
            </w:r>
            <w:r>
              <w:rPr>
                <w:rFonts w:hint="eastAsia"/>
                <w:u w:val="single"/>
                <w:lang w:val="en-US" w:eastAsia="zh-CN"/>
              </w:rPr>
              <w:t>-4.06~3.32</w:t>
            </w:r>
            <w:r>
              <w:rPr>
                <w:rFonts w:hint="eastAsia"/>
                <w:u w:val="single"/>
                <w:lang w:eastAsia="zh-CN"/>
              </w:rPr>
              <w:t>。道路两侧均设计有绿化缓冲带，本项目土石方平衡见表</w:t>
            </w:r>
            <w:r>
              <w:rPr>
                <w:rFonts w:hint="eastAsia"/>
                <w:u w:val="single"/>
                <w:lang w:val="en-US" w:eastAsia="zh-CN"/>
              </w:rPr>
              <w:t>8。（负为挖方，正为填方）</w:t>
            </w:r>
          </w:p>
          <w:p>
            <w:pPr>
              <w:ind w:firstLine="560"/>
              <w:rPr>
                <w:rFonts w:hint="eastAsia"/>
                <w:sz w:val="24"/>
              </w:rPr>
            </w:pPr>
            <w:r>
              <w:rPr>
                <w:rFonts w:hint="eastAsia"/>
                <w:sz w:val="24"/>
                <w:u w:val="single"/>
              </w:rPr>
              <w:t>路基土石方挖方主要为周边堆填土，土质结构松散，可调运至路基填方位置</w:t>
            </w:r>
            <w:r>
              <w:rPr>
                <w:rFonts w:hint="eastAsia"/>
                <w:sz w:val="24"/>
                <w:u w:val="single"/>
                <w:lang w:eastAsia="zh-CN"/>
              </w:rPr>
              <w:t>；本项目土石方借方主要来自于距本项目</w:t>
            </w:r>
            <w:r>
              <w:rPr>
                <w:rFonts w:hint="eastAsia"/>
                <w:sz w:val="24"/>
                <w:u w:val="single"/>
                <w:lang w:val="en-US" w:eastAsia="zh-CN"/>
              </w:rPr>
              <w:t>1km的</w:t>
            </w:r>
            <w:r>
              <w:rPr>
                <w:rFonts w:hint="eastAsia"/>
                <w:sz w:val="24"/>
                <w:u w:val="single"/>
                <w:lang w:eastAsia="zh-CN"/>
              </w:rPr>
              <w:t>大数据产业服务中心项目；</w:t>
            </w:r>
            <w:r>
              <w:rPr>
                <w:rFonts w:hint="eastAsia"/>
                <w:sz w:val="24"/>
                <w:u w:val="single"/>
              </w:rPr>
              <w:t>沿线清表、挖淤弃土可结合土地平整就近堆放，在工程后期，</w:t>
            </w:r>
            <w:r>
              <w:rPr>
                <w:rFonts w:hint="eastAsia"/>
                <w:sz w:val="24"/>
                <w:u w:val="single"/>
                <w:lang w:eastAsia="zh-CN"/>
              </w:rPr>
              <w:t>主要</w:t>
            </w:r>
            <w:r>
              <w:rPr>
                <w:rFonts w:hint="eastAsia"/>
                <w:sz w:val="24"/>
                <w:u w:val="single"/>
              </w:rPr>
              <w:t>用于</w:t>
            </w:r>
            <w:r>
              <w:rPr>
                <w:rFonts w:hint="eastAsia"/>
                <w:sz w:val="24"/>
                <w:u w:val="single"/>
                <w:lang w:eastAsia="zh-CN"/>
              </w:rPr>
              <w:t>本项目</w:t>
            </w:r>
            <w:r>
              <w:rPr>
                <w:rFonts w:hint="eastAsia"/>
                <w:sz w:val="24"/>
                <w:u w:val="single"/>
              </w:rPr>
              <w:t>绿化带回填或边坡植草时覆土。</w:t>
            </w:r>
          </w:p>
          <w:p>
            <w:pPr>
              <w:bidi w:val="0"/>
              <w:jc w:val="center"/>
              <w:rPr>
                <w:rFonts w:hint="eastAsia" w:eastAsia="宋体"/>
                <w:b/>
                <w:bCs/>
                <w:u w:val="single"/>
                <w:lang w:eastAsia="zh-CN"/>
              </w:rPr>
            </w:pPr>
            <w:r>
              <w:rPr>
                <w:rFonts w:hint="eastAsia"/>
                <w:b/>
                <w:bCs/>
                <w:u w:val="single"/>
                <w:lang w:eastAsia="zh-CN"/>
              </w:rPr>
              <w:t>表</w:t>
            </w:r>
            <w:r>
              <w:rPr>
                <w:rFonts w:hint="eastAsia"/>
                <w:b/>
                <w:bCs/>
                <w:u w:val="single"/>
                <w:lang w:val="en-US" w:eastAsia="zh-CN"/>
              </w:rPr>
              <w:t xml:space="preserve">8  </w:t>
            </w:r>
            <w:r>
              <w:rPr>
                <w:rFonts w:hint="eastAsia"/>
                <w:b/>
                <w:bCs/>
                <w:u w:val="single"/>
                <w:lang w:eastAsia="zh-CN"/>
              </w:rPr>
              <w:t>土石方平衡</w:t>
            </w:r>
          </w:p>
          <w:tbl>
            <w:tblPr>
              <w:tblStyle w:val="34"/>
              <w:tblW w:w="8253" w:type="dxa"/>
              <w:jc w:val="center"/>
              <w:shd w:val="clear" w:color="auto" w:fill="auto"/>
              <w:tblLayout w:type="fixed"/>
              <w:tblCellMar>
                <w:top w:w="0" w:type="dxa"/>
                <w:left w:w="0" w:type="dxa"/>
                <w:bottom w:w="0" w:type="dxa"/>
                <w:right w:w="0" w:type="dxa"/>
              </w:tblCellMar>
            </w:tblPr>
            <w:tblGrid>
              <w:gridCol w:w="1333"/>
              <w:gridCol w:w="932"/>
              <w:gridCol w:w="1056"/>
              <w:gridCol w:w="737"/>
              <w:gridCol w:w="737"/>
              <w:gridCol w:w="907"/>
              <w:gridCol w:w="907"/>
              <w:gridCol w:w="907"/>
              <w:gridCol w:w="737"/>
            </w:tblGrid>
            <w:tr>
              <w:tblPrEx>
                <w:shd w:val="clear" w:color="auto" w:fill="auto"/>
                <w:tblCellMar>
                  <w:top w:w="0" w:type="dxa"/>
                  <w:left w:w="0" w:type="dxa"/>
                  <w:bottom w:w="0" w:type="dxa"/>
                  <w:right w:w="0" w:type="dxa"/>
                </w:tblCellMar>
              </w:tblPrEx>
              <w:trPr>
                <w:trHeight w:val="397" w:hRule="atLeast"/>
                <w:jc w:val="center"/>
              </w:trPr>
              <w:tc>
                <w:tcPr>
                  <w:tcW w:w="13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施工单元</w:t>
                  </w:r>
                </w:p>
              </w:tc>
              <w:tc>
                <w:tcPr>
                  <w:tcW w:w="346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挖方</w:t>
                  </w:r>
                </w:p>
              </w:tc>
              <w:tc>
                <w:tcPr>
                  <w:tcW w:w="272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填方</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弃方</w:t>
                  </w:r>
                </w:p>
              </w:tc>
            </w:tr>
            <w:tr>
              <w:tblPrEx>
                <w:tblCellMar>
                  <w:top w:w="0" w:type="dxa"/>
                  <w:left w:w="0" w:type="dxa"/>
                  <w:bottom w:w="0" w:type="dxa"/>
                  <w:right w:w="0" w:type="dxa"/>
                </w:tblCellMar>
              </w:tblPrEx>
              <w:trPr>
                <w:trHeight w:val="397" w:hRule="atLeast"/>
                <w:jc w:val="center"/>
              </w:trPr>
              <w:tc>
                <w:tcPr>
                  <w:tcW w:w="13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挖方调运</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余方外运</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清表</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清淤</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路基填方</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清淤回填</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借方回填</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清淤</w:t>
                  </w:r>
                </w:p>
              </w:tc>
            </w:tr>
            <w:tr>
              <w:tblPrEx>
                <w:tblCellMar>
                  <w:top w:w="0" w:type="dxa"/>
                  <w:left w:w="0" w:type="dxa"/>
                  <w:bottom w:w="0" w:type="dxa"/>
                  <w:right w:w="0" w:type="dxa"/>
                </w:tblCellMar>
              </w:tblPrEx>
              <w:trPr>
                <w:trHeight w:val="397" w:hRule="atLeast"/>
                <w:jc w:val="center"/>
              </w:trPr>
              <w:tc>
                <w:tcPr>
                  <w:tcW w:w="1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马鞍路</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6023.4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10316.9</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21035.3</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u w:val="single"/>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15011.9</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r>
            <w:tr>
              <w:tblPrEx>
                <w:tblCellMar>
                  <w:top w:w="0" w:type="dxa"/>
                  <w:left w:w="0" w:type="dxa"/>
                  <w:bottom w:w="0" w:type="dxa"/>
                  <w:right w:w="0" w:type="dxa"/>
                </w:tblCellMar>
              </w:tblPrEx>
              <w:trPr>
                <w:trHeight w:val="397" w:hRule="atLeast"/>
                <w:jc w:val="center"/>
              </w:trPr>
              <w:tc>
                <w:tcPr>
                  <w:tcW w:w="1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桃园路</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50923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21265</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20914</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28672</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u w:val="single"/>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u w:val="single"/>
                      <w:lang w:val="en-US" w:eastAsia="zh-CN" w:bidi="ar-SA"/>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r>
            <w:tr>
              <w:tblPrEx>
                <w:tblCellMar>
                  <w:top w:w="0" w:type="dxa"/>
                  <w:left w:w="0" w:type="dxa"/>
                  <w:bottom w:w="0" w:type="dxa"/>
                  <w:right w:w="0" w:type="dxa"/>
                </w:tblCellMar>
              </w:tblPrEx>
              <w:trPr>
                <w:trHeight w:val="397" w:hRule="atLeast"/>
                <w:jc w:val="center"/>
              </w:trPr>
              <w:tc>
                <w:tcPr>
                  <w:tcW w:w="1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纬四路</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10446.9</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7710.8</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20340.1</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u w:val="single"/>
                      <w:lang w:val="en-US" w:eastAsia="zh-CN" w:bidi="ar-SA"/>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9893.2</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r>
            <w:tr>
              <w:tblPrEx>
                <w:tblCellMar>
                  <w:top w:w="0" w:type="dxa"/>
                  <w:left w:w="0" w:type="dxa"/>
                  <w:bottom w:w="0" w:type="dxa"/>
                  <w:right w:w="0" w:type="dxa"/>
                </w:tblCellMar>
              </w:tblPrEx>
              <w:trPr>
                <w:trHeight w:val="397" w:hRule="atLeast"/>
                <w:jc w:val="center"/>
              </w:trPr>
              <w:tc>
                <w:tcPr>
                  <w:tcW w:w="1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百合路(一期)</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5997</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16574</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72</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23865</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38</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17906</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72</w:t>
                  </w:r>
                </w:p>
              </w:tc>
            </w:tr>
            <w:tr>
              <w:tblPrEx>
                <w:tblCellMar>
                  <w:top w:w="0" w:type="dxa"/>
                  <w:left w:w="0" w:type="dxa"/>
                  <w:bottom w:w="0" w:type="dxa"/>
                  <w:right w:w="0" w:type="dxa"/>
                </w:tblCellMar>
              </w:tblPrEx>
              <w:trPr>
                <w:trHeight w:val="90" w:hRule="atLeast"/>
                <w:jc w:val="center"/>
              </w:trPr>
              <w:tc>
                <w:tcPr>
                  <w:tcW w:w="1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百合路(二期)</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22545</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38302</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20426</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127855.8</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283196.8</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388507.6</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20426</w:t>
                  </w:r>
                </w:p>
              </w:tc>
            </w:tr>
            <w:tr>
              <w:tblPrEx>
                <w:tblCellMar>
                  <w:top w:w="0" w:type="dxa"/>
                  <w:left w:w="0" w:type="dxa"/>
                  <w:bottom w:w="0" w:type="dxa"/>
                  <w:right w:w="0" w:type="dxa"/>
                </w:tblCellMar>
              </w:tblPrEx>
              <w:trPr>
                <w:trHeight w:val="397" w:hRule="atLeast"/>
                <w:jc w:val="center"/>
              </w:trPr>
              <w:tc>
                <w:tcPr>
                  <w:tcW w:w="1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合计</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95935.3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u w:val="single"/>
                      <w:lang w:val="en-US"/>
                    </w:rPr>
                  </w:pPr>
                  <w:r>
                    <w:rPr>
                      <w:rFonts w:hint="eastAsia"/>
                      <w:sz w:val="21"/>
                      <w:szCs w:val="21"/>
                      <w:u w:val="single"/>
                      <w:lang w:val="en-US" w:eastAsia="zh-CN"/>
                    </w:rPr>
                    <w:t>21265</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93817.7</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20498</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221768.2</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283234.8</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431318.7</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rPr>
                  </w:pPr>
                  <w:r>
                    <w:rPr>
                      <w:rFonts w:hint="eastAsia"/>
                      <w:sz w:val="21"/>
                      <w:szCs w:val="21"/>
                      <w:u w:val="single"/>
                      <w:lang w:val="en-US" w:eastAsia="zh-CN"/>
                    </w:rPr>
                    <w:t>20498</w:t>
                  </w:r>
                </w:p>
              </w:tc>
            </w:tr>
          </w:tbl>
          <w:p>
            <w:pPr>
              <w:ind w:firstLine="480" w:firstLineChars="200"/>
              <w:rPr>
                <w:sz w:val="24"/>
                <w:u w:val="single"/>
              </w:rPr>
            </w:pPr>
            <w:r>
              <w:rPr>
                <w:rFonts w:hint="eastAsia"/>
                <w:sz w:val="24"/>
                <w:u w:val="single"/>
              </w:rPr>
              <w:t>由于本项目填方量较大，建设单位拟在项目开工前，根据土方量与具有相关资质的渣土处置公司签订渣土处置协议。待本项目开工建设时，由渣土公司按照城市渣土管理部门的要求进行统一处理运输。在土方开挖装运时若遇干旱有风天气需及时洒水抑尘，运输车辆应加盖篷布防止扬尘污染。本环评要求本项目内填方土壤需满足《土壤环境质量建设用地土壤污染风险管控标准（试行）》(GB36600-2018)中风险筛选值的第二类用地相关标准。</w:t>
            </w:r>
          </w:p>
          <w:p>
            <w:pPr>
              <w:tabs>
                <w:tab w:val="left" w:pos="2090"/>
              </w:tabs>
              <w:autoSpaceDE w:val="0"/>
              <w:autoSpaceDN w:val="0"/>
              <w:adjustRightInd w:val="0"/>
              <w:snapToGrid w:val="0"/>
              <w:ind w:firstLine="482" w:firstLineChars="200"/>
              <w:rPr>
                <w:b/>
                <w:sz w:val="24"/>
                <w:u w:val="none"/>
              </w:rPr>
            </w:pPr>
            <w:r>
              <w:rPr>
                <w:b/>
                <w:sz w:val="24"/>
                <w:u w:val="none"/>
              </w:rPr>
              <w:t>2.5 工程占地</w:t>
            </w:r>
          </w:p>
          <w:p>
            <w:pPr>
              <w:bidi w:val="0"/>
              <w:ind w:firstLine="480" w:firstLineChars="200"/>
              <w:rPr>
                <w:rFonts w:hint="eastAsia"/>
                <w:u w:val="single"/>
              </w:rPr>
            </w:pPr>
            <w:r>
              <w:rPr>
                <w:rFonts w:hint="eastAsia"/>
                <w:u w:val="single"/>
              </w:rPr>
              <w:t>本项目位于株洲市云龙示范区，总占地面积140.7</w:t>
            </w:r>
            <w:r>
              <w:rPr>
                <w:rFonts w:hint="eastAsia"/>
                <w:u w:val="single"/>
                <w:lang w:val="en-US" w:eastAsia="zh-CN"/>
              </w:rPr>
              <w:t>0</w:t>
            </w:r>
            <w:r>
              <w:rPr>
                <w:rFonts w:hint="eastAsia"/>
                <w:u w:val="single"/>
              </w:rPr>
              <w:t>亩，涉及建筑面积10000</w:t>
            </w:r>
            <w:r>
              <w:rPr>
                <w:rFonts w:hint="eastAsia"/>
                <w:u w:val="single"/>
                <w:lang w:val="en-US" w:eastAsia="zh-CN"/>
              </w:rPr>
              <w:t>m</w:t>
            </w:r>
            <w:r>
              <w:rPr>
                <w:rFonts w:hint="eastAsia"/>
                <w:u w:val="single"/>
                <w:vertAlign w:val="superscript"/>
                <w:lang w:val="en-US" w:eastAsia="zh-CN"/>
              </w:rPr>
              <w:t>3</w:t>
            </w:r>
            <w:r>
              <w:rPr>
                <w:rFonts w:hint="eastAsia"/>
                <w:u w:val="single"/>
                <w:lang w:eastAsia="zh-CN"/>
              </w:rPr>
              <w:t>。</w:t>
            </w:r>
            <w:r>
              <w:rPr>
                <w:rFonts w:hint="default"/>
                <w:u w:val="single"/>
              </w:rPr>
              <w:t>本项目规划区域范围内以自然缓丘绿化为主，地面植被覆盖丰富，整个区域具有良好的自然环境条件，除部分建设用地外，基本为农田、水塘、丘陵、菜地、荒地与部分林地。</w:t>
            </w:r>
            <w:r>
              <w:rPr>
                <w:rFonts w:hint="eastAsia"/>
                <w:u w:val="single"/>
              </w:rPr>
              <w:t>项目施工人员及项目部办公均就近租用民宅，项目不设置施工营地。</w:t>
            </w:r>
          </w:p>
          <w:p>
            <w:pPr>
              <w:bidi w:val="0"/>
              <w:ind w:firstLine="480" w:firstLineChars="200"/>
              <w:rPr>
                <w:rFonts w:hint="eastAsia"/>
                <w:u w:val="single"/>
              </w:rPr>
            </w:pPr>
            <w:r>
              <w:rPr>
                <w:rFonts w:hint="eastAsia"/>
                <w:u w:val="single"/>
              </w:rPr>
              <w:t>根据项目情况，本工程拟设置1处临时场地，其中包括临时堆土场、物料堆场、施工设备</w:t>
            </w:r>
            <w:r>
              <w:rPr>
                <w:rFonts w:hint="eastAsia"/>
                <w:u w:val="single"/>
                <w:lang w:eastAsia="zh-CN"/>
              </w:rPr>
              <w:t>占地、</w:t>
            </w:r>
            <w:r>
              <w:rPr>
                <w:rFonts w:hint="eastAsia"/>
                <w:u w:val="single"/>
              </w:rPr>
              <w:t>车辆清洗场地等，临时场地位于纬四路南侧侧现状空地</w:t>
            </w:r>
            <w:r>
              <w:rPr>
                <w:rFonts w:hint="eastAsia"/>
                <w:u w:val="single"/>
                <w:lang w:eastAsia="zh-CN"/>
              </w:rPr>
              <w:t>，约</w:t>
            </w:r>
            <w:r>
              <w:rPr>
                <w:rFonts w:hint="eastAsia"/>
                <w:u w:val="single"/>
                <w:lang w:val="en-US" w:eastAsia="zh-CN"/>
              </w:rPr>
              <w:t>2000m</w:t>
            </w:r>
            <w:r>
              <w:rPr>
                <w:rFonts w:hint="eastAsia"/>
                <w:u w:val="single"/>
                <w:vertAlign w:val="superscript"/>
                <w:lang w:val="en-US" w:eastAsia="zh-CN"/>
              </w:rPr>
              <w:t>2</w:t>
            </w:r>
            <w:r>
              <w:rPr>
                <w:rFonts w:hint="eastAsia"/>
                <w:u w:val="single"/>
                <w:vertAlign w:val="baseline"/>
                <w:lang w:val="en-US" w:eastAsia="zh-CN"/>
              </w:rPr>
              <w:t>，</w:t>
            </w:r>
            <w:r>
              <w:rPr>
                <w:rFonts w:hint="eastAsia"/>
                <w:u w:val="single"/>
                <w:lang w:eastAsia="zh-CN"/>
              </w:rPr>
              <w:t>属于</w:t>
            </w:r>
            <w:r>
              <w:rPr>
                <w:rFonts w:hint="eastAsia"/>
                <w:u w:val="single"/>
              </w:rPr>
              <w:t>项目永久占地范围内，因此避免了临时占地对周边居民造成的环境影响。临时堆土场主要用于堆放前期剥离表土，表土场周边采取编织袋装土拦挡，暴雨季节采取塑料膜铺盖。另外承担部分土石方堆放。本</w:t>
            </w:r>
            <w:r>
              <w:rPr>
                <w:rFonts w:hint="eastAsia"/>
                <w:u w:val="single"/>
                <w:lang w:eastAsia="zh-CN"/>
              </w:rPr>
              <w:t>工程</w:t>
            </w:r>
            <w:r>
              <w:rPr>
                <w:rFonts w:hint="eastAsia"/>
                <w:u w:val="single"/>
              </w:rPr>
              <w:t>拟在施工区域外围挖临时排水沟以引导雨水，沉砂池布设在最终排出口处</w:t>
            </w:r>
            <w:r>
              <w:rPr>
                <w:rFonts w:hint="eastAsia"/>
                <w:u w:val="single"/>
                <w:lang w:eastAsia="zh-CN"/>
              </w:rPr>
              <w:t>，沉定池设置在混凝土搅拌机附近、隔油池设置在</w:t>
            </w:r>
            <w:r>
              <w:rPr>
                <w:rFonts w:hint="eastAsia"/>
                <w:u w:val="single"/>
              </w:rPr>
              <w:t>车辆清洗场地</w:t>
            </w:r>
            <w:r>
              <w:rPr>
                <w:rFonts w:hint="eastAsia"/>
                <w:u w:val="single"/>
                <w:lang w:eastAsia="zh-CN"/>
              </w:rPr>
              <w:t>附近</w:t>
            </w:r>
            <w:r>
              <w:rPr>
                <w:rFonts w:hint="eastAsia"/>
                <w:u w:val="single"/>
              </w:rPr>
              <w:t>。本项目工程占地类型及面积详见下表。</w:t>
            </w:r>
          </w:p>
          <w:p>
            <w:pPr>
              <w:bidi w:val="0"/>
              <w:jc w:val="center"/>
              <w:rPr>
                <w:b/>
                <w:bCs/>
                <w:u w:val="single"/>
              </w:rPr>
            </w:pPr>
            <w:r>
              <w:rPr>
                <w:rFonts w:hint="eastAsia"/>
                <w:b/>
                <w:bCs/>
                <w:u w:val="single"/>
              </w:rPr>
              <w:t>表</w:t>
            </w:r>
            <w:r>
              <w:rPr>
                <w:rFonts w:hint="eastAsia"/>
                <w:b/>
                <w:bCs/>
                <w:u w:val="single"/>
                <w:lang w:val="en-US" w:eastAsia="zh-CN"/>
              </w:rPr>
              <w:t>9</w:t>
            </w:r>
            <w:r>
              <w:rPr>
                <w:rFonts w:hint="eastAsia"/>
                <w:b/>
                <w:bCs/>
                <w:u w:val="single"/>
              </w:rPr>
              <w:t xml:space="preserve">   工程占地类型</w:t>
            </w:r>
          </w:p>
          <w:tbl>
            <w:tblPr>
              <w:tblStyle w:val="34"/>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61"/>
              <w:gridCol w:w="921"/>
              <w:gridCol w:w="933"/>
              <w:gridCol w:w="917"/>
              <w:gridCol w:w="2419"/>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1361"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sz w:val="21"/>
                      <w:szCs w:val="21"/>
                      <w:u w:val="single"/>
                    </w:rPr>
                  </w:pPr>
                  <w:r>
                    <w:rPr>
                      <w:rFonts w:hint="eastAsia"/>
                      <w:sz w:val="21"/>
                      <w:szCs w:val="21"/>
                      <w:u w:val="single"/>
                    </w:rPr>
                    <w:t>占地类型</w:t>
                  </w:r>
                </w:p>
              </w:tc>
              <w:tc>
                <w:tcPr>
                  <w:tcW w:w="7619" w:type="dxa"/>
                  <w:gridSpan w:val="5"/>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eastAsia"/>
                      <w:sz w:val="21"/>
                      <w:szCs w:val="21"/>
                      <w:u w:val="single"/>
                    </w:rPr>
                  </w:pPr>
                  <w:r>
                    <w:rPr>
                      <w:rFonts w:hint="eastAsia"/>
                      <w:sz w:val="21"/>
                      <w:szCs w:val="21"/>
                      <w:u w:val="single"/>
                    </w:rPr>
                    <w:t>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1361"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eastAsia"/>
                      <w:sz w:val="21"/>
                      <w:szCs w:val="21"/>
                      <w:u w:val="single"/>
                    </w:rPr>
                  </w:pP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eastAsia="宋体"/>
                      <w:sz w:val="21"/>
                      <w:szCs w:val="21"/>
                      <w:u w:val="single"/>
                      <w:lang w:val="en-US" w:eastAsia="zh-CN"/>
                    </w:rPr>
                  </w:pPr>
                  <w:r>
                    <w:rPr>
                      <w:rFonts w:hint="eastAsia"/>
                      <w:sz w:val="21"/>
                      <w:szCs w:val="21"/>
                      <w:u w:val="single"/>
                      <w:lang w:eastAsia="zh-CN"/>
                    </w:rPr>
                    <w:t>马鞍路</w:t>
                  </w:r>
                </w:p>
              </w:tc>
              <w:tc>
                <w:tcPr>
                  <w:tcW w:w="93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eastAsia" w:eastAsia="宋体"/>
                      <w:sz w:val="21"/>
                      <w:szCs w:val="21"/>
                      <w:u w:val="single"/>
                      <w:lang w:eastAsia="zh-CN"/>
                    </w:rPr>
                  </w:pPr>
                  <w:r>
                    <w:rPr>
                      <w:rFonts w:hint="eastAsia"/>
                      <w:sz w:val="21"/>
                      <w:szCs w:val="21"/>
                      <w:u w:val="single"/>
                      <w:lang w:eastAsia="zh-CN"/>
                    </w:rPr>
                    <w:t>桃园路</w:t>
                  </w:r>
                </w:p>
              </w:tc>
              <w:tc>
                <w:tcPr>
                  <w:tcW w:w="91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eastAsia" w:eastAsia="宋体"/>
                      <w:sz w:val="21"/>
                      <w:szCs w:val="21"/>
                      <w:u w:val="single"/>
                      <w:lang w:eastAsia="zh-CN"/>
                    </w:rPr>
                  </w:pPr>
                  <w:r>
                    <w:rPr>
                      <w:rFonts w:hint="eastAsia"/>
                      <w:sz w:val="21"/>
                      <w:szCs w:val="21"/>
                      <w:u w:val="single"/>
                      <w:lang w:eastAsia="zh-CN"/>
                    </w:rPr>
                    <w:t>纬四路</w:t>
                  </w:r>
                </w:p>
              </w:tc>
              <w:tc>
                <w:tcPr>
                  <w:tcW w:w="241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eastAsia" w:eastAsia="宋体"/>
                      <w:sz w:val="21"/>
                      <w:szCs w:val="21"/>
                      <w:u w:val="single"/>
                      <w:lang w:eastAsia="zh-CN"/>
                    </w:rPr>
                  </w:pPr>
                  <w:r>
                    <w:rPr>
                      <w:rFonts w:hint="eastAsia"/>
                      <w:sz w:val="21"/>
                      <w:szCs w:val="21"/>
                      <w:u w:val="single"/>
                      <w:lang w:eastAsia="zh-CN"/>
                    </w:rPr>
                    <w:t>百合路（马鞍路-云龙大道）</w:t>
                  </w:r>
                </w:p>
              </w:tc>
              <w:tc>
                <w:tcPr>
                  <w:tcW w:w="242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eastAsia"/>
                      <w:sz w:val="21"/>
                      <w:szCs w:val="21"/>
                      <w:u w:val="single"/>
                      <w:lang w:eastAsia="zh-CN"/>
                    </w:rPr>
                  </w:pPr>
                  <w:r>
                    <w:rPr>
                      <w:rFonts w:hint="eastAsia"/>
                      <w:sz w:val="21"/>
                      <w:szCs w:val="21"/>
                      <w:u w:val="single"/>
                      <w:lang w:eastAsia="zh-CN"/>
                    </w:rPr>
                    <w:t>百合路（云峰大道-马鞍路）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菜地</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5.91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8.11</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2.81 </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3.98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6.06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水田</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3.54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2.71</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0.38 </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1.99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5.45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旱地</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0.47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6.49</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2.26 </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1.00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水塘、沟渠</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0.00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6.49</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1.88 </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0.99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林地</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3.53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11.90</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3.76 </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3.77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3.33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果园地</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3.07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8.12</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eastAsia" w:cs="Times New Roman"/>
                      <w:kern w:val="2"/>
                      <w:sz w:val="21"/>
                      <w:szCs w:val="21"/>
                      <w:u w:val="single"/>
                      <w:lang w:val="en-US" w:eastAsia="zh-CN" w:bidi="ar-SA"/>
                    </w:rPr>
                    <w:t>/</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2.99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4.55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山地</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1.18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1.08</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2.07 </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1.19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0.61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未利用地</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2.36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8.12</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2.83 </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2.99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4.55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宅基地</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3.54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1.08</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2.82 </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1.00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361" w:type="dxa"/>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sz w:val="21"/>
                      <w:szCs w:val="21"/>
                      <w:u w:val="single"/>
                    </w:rPr>
                  </w:pPr>
                  <w:r>
                    <w:rPr>
                      <w:rFonts w:eastAsia="宋体"/>
                      <w:sz w:val="21"/>
                      <w:szCs w:val="21"/>
                      <w:u w:val="single"/>
                    </w:rPr>
                    <w:t>小计</w:t>
                  </w:r>
                </w:p>
              </w:tc>
              <w:tc>
                <w:tcPr>
                  <w:tcW w:w="921"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23.60 </w:t>
                  </w:r>
                </w:p>
              </w:tc>
              <w:tc>
                <w:tcPr>
                  <w:tcW w:w="933"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54.10</w:t>
                  </w:r>
                </w:p>
              </w:tc>
              <w:tc>
                <w:tcPr>
                  <w:tcW w:w="91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18.81 </w:t>
                  </w:r>
                </w:p>
              </w:tc>
              <w:tc>
                <w:tcPr>
                  <w:tcW w:w="241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19.90 </w:t>
                  </w:r>
                </w:p>
              </w:tc>
              <w:tc>
                <w:tcPr>
                  <w:tcW w:w="2429"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kern w:val="2"/>
                      <w:sz w:val="21"/>
                      <w:szCs w:val="21"/>
                      <w:u w:val="single"/>
                      <w:lang w:val="en-US" w:eastAsia="zh-CN" w:bidi="ar-SA"/>
                    </w:rPr>
                  </w:pPr>
                  <w:r>
                    <w:rPr>
                      <w:rFonts w:hint="default" w:eastAsia="宋体"/>
                      <w:sz w:val="21"/>
                      <w:szCs w:val="21"/>
                      <w:u w:val="single"/>
                    </w:rPr>
                    <w:t xml:space="preserve">30.32 </w:t>
                  </w:r>
                </w:p>
              </w:tc>
            </w:tr>
          </w:tbl>
          <w:p>
            <w:pPr>
              <w:ind w:firstLine="482" w:firstLineChars="200"/>
              <w:rPr>
                <w:b/>
                <w:bCs/>
                <w:kern w:val="0"/>
                <w:sz w:val="24"/>
              </w:rPr>
            </w:pPr>
            <w:r>
              <w:rPr>
                <w:b/>
                <w:bCs/>
                <w:kern w:val="0"/>
                <w:sz w:val="24"/>
              </w:rPr>
              <w:t xml:space="preserve">2.6 </w:t>
            </w:r>
            <w:r>
              <w:rPr>
                <w:rFonts w:hint="eastAsia"/>
                <w:b/>
                <w:bCs/>
                <w:kern w:val="0"/>
                <w:sz w:val="24"/>
              </w:rPr>
              <w:t>拆迁安置方案</w:t>
            </w:r>
          </w:p>
          <w:p>
            <w:pPr>
              <w:bidi w:val="0"/>
              <w:ind w:firstLine="480" w:firstLineChars="200"/>
              <w:rPr>
                <w:rFonts w:ascii="宋体" w:hAnsi="宋体" w:cs="宋体"/>
                <w:b/>
                <w:bCs/>
                <w:color w:val="auto"/>
                <w:sz w:val="24"/>
              </w:rPr>
            </w:pPr>
            <w:r>
              <w:rPr>
                <w:rFonts w:hint="eastAsia"/>
              </w:rPr>
              <w:t>本项目共征地140.78亩，道路红线范围内现有电力、通信管线拟进行搬迁。项目红线范围内居民住宅拟全部拆迁（集体土地房屋拆迁</w:t>
            </w:r>
            <w:r>
              <w:rPr>
                <w:rFonts w:hint="eastAsia"/>
                <w:lang w:val="en-US" w:eastAsia="zh-CN"/>
              </w:rPr>
              <w:t>6220.34m</w:t>
            </w:r>
            <w:r>
              <w:rPr>
                <w:rFonts w:hint="eastAsia"/>
                <w:vertAlign w:val="superscript"/>
                <w:lang w:val="en-US" w:eastAsia="zh-CN"/>
              </w:rPr>
              <w:t>2</w:t>
            </w:r>
            <w:r>
              <w:rPr>
                <w:rFonts w:hint="eastAsia"/>
              </w:rPr>
              <w:t>），项目所在地需拆迁</w:t>
            </w:r>
            <w:r>
              <w:rPr>
                <w:rFonts w:hint="eastAsia"/>
                <w:lang w:val="en-US" w:eastAsia="zh-CN"/>
              </w:rPr>
              <w:t>45</w:t>
            </w:r>
            <w:r>
              <w:rPr>
                <w:rFonts w:hint="eastAsia"/>
              </w:rPr>
              <w:t>户，涉迁人口</w:t>
            </w:r>
            <w:r>
              <w:rPr>
                <w:rFonts w:hint="eastAsia"/>
                <w:lang w:val="en-US" w:eastAsia="zh-CN"/>
              </w:rPr>
              <w:t>166</w:t>
            </w:r>
            <w:r>
              <w:rPr>
                <w:rFonts w:hint="eastAsia"/>
              </w:rPr>
              <w:t>人，拆迁总占用集体土地</w:t>
            </w:r>
            <w:r>
              <w:rPr>
                <w:rFonts w:hint="eastAsia"/>
                <w:lang w:val="en-US" w:eastAsia="zh-CN"/>
              </w:rPr>
              <w:t>9.33</w:t>
            </w:r>
            <w:r>
              <w:rPr>
                <w:rFonts w:hint="eastAsia"/>
              </w:rPr>
              <w:t>亩。采取货币补偿方式对被拆迁户进行合理安置。</w:t>
            </w:r>
          </w:p>
          <w:p>
            <w:pPr>
              <w:spacing w:line="400" w:lineRule="exact"/>
              <w:jc w:val="center"/>
              <w:rPr>
                <w:rFonts w:ascii="宋体" w:hAnsi="宋体" w:cs="宋体"/>
                <w:b/>
                <w:bCs/>
                <w:color w:val="auto"/>
                <w:sz w:val="24"/>
              </w:rPr>
            </w:pPr>
            <w:r>
              <w:rPr>
                <w:rFonts w:ascii="宋体" w:hAnsi="宋体" w:cs="宋体"/>
                <w:b/>
                <w:bCs/>
                <w:color w:val="auto"/>
                <w:sz w:val="24"/>
              </w:rPr>
              <w:t>表</w:t>
            </w:r>
            <w:r>
              <w:rPr>
                <w:rFonts w:hint="eastAsia" w:ascii="宋体" w:hAnsi="宋体" w:cs="宋体"/>
                <w:b/>
                <w:bCs/>
                <w:color w:val="auto"/>
                <w:sz w:val="24"/>
                <w:lang w:val="en-US" w:eastAsia="zh-CN"/>
              </w:rPr>
              <w:t>10</w:t>
            </w:r>
            <w:r>
              <w:rPr>
                <w:rFonts w:hint="eastAsia" w:ascii="宋体" w:hAnsi="宋体" w:cs="宋体"/>
                <w:b/>
                <w:bCs/>
                <w:color w:val="auto"/>
                <w:sz w:val="24"/>
              </w:rPr>
              <w:t xml:space="preserve">   </w:t>
            </w:r>
            <w:r>
              <w:rPr>
                <w:rFonts w:ascii="宋体" w:hAnsi="宋体" w:cs="宋体"/>
                <w:b/>
                <w:bCs/>
                <w:color w:val="auto"/>
                <w:sz w:val="24"/>
              </w:rPr>
              <w:t>项目拆迁情况表</w:t>
            </w:r>
          </w:p>
          <w:tbl>
            <w:tblPr>
              <w:tblStyle w:val="34"/>
              <w:tblW w:w="9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438"/>
              <w:gridCol w:w="869"/>
              <w:gridCol w:w="1033"/>
              <w:gridCol w:w="1117"/>
              <w:gridCol w:w="1166"/>
              <w:gridCol w:w="1384"/>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blHeader/>
                <w:jc w:val="center"/>
              </w:trPr>
              <w:tc>
                <w:tcPr>
                  <w:tcW w:w="2438" w:type="dxa"/>
                  <w:vMerge w:val="restart"/>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路段（</w:t>
                  </w:r>
                  <w:r>
                    <w:rPr>
                      <w:sz w:val="21"/>
                      <w:szCs w:val="21"/>
                    </w:rPr>
                    <w:t>集体土地</w:t>
                  </w:r>
                  <w:r>
                    <w:rPr>
                      <w:rFonts w:hint="eastAsia"/>
                      <w:sz w:val="21"/>
                      <w:szCs w:val="21"/>
                      <w:lang w:eastAsia="zh-CN"/>
                    </w:rPr>
                    <w:t>）</w:t>
                  </w:r>
                </w:p>
              </w:tc>
              <w:tc>
                <w:tcPr>
                  <w:tcW w:w="3019" w:type="dxa"/>
                  <w:gridSpan w:val="3"/>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sz w:val="21"/>
                      <w:szCs w:val="21"/>
                    </w:rPr>
                    <w:t>住宅</w:t>
                  </w:r>
                </w:p>
              </w:tc>
              <w:tc>
                <w:tcPr>
                  <w:tcW w:w="1166" w:type="dxa"/>
                  <w:vMerge w:val="restart"/>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sz w:val="21"/>
                      <w:szCs w:val="21"/>
                    </w:rPr>
                    <w:t>商业</w:t>
                  </w:r>
                </w:p>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sz w:val="21"/>
                      <w:szCs w:val="21"/>
                    </w:rPr>
                    <w:t>面积</w:t>
                  </w:r>
                </w:p>
              </w:tc>
              <w:tc>
                <w:tcPr>
                  <w:tcW w:w="1384" w:type="dxa"/>
                  <w:vMerge w:val="restart"/>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sz w:val="21"/>
                      <w:szCs w:val="21"/>
                    </w:rPr>
                    <w:t>拆迁总面积</w:t>
                  </w:r>
                </w:p>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sz w:val="21"/>
                      <w:szCs w:val="21"/>
                    </w:rPr>
                    <w:t>（m</w:t>
                  </w:r>
                  <w:r>
                    <w:rPr>
                      <w:sz w:val="21"/>
                      <w:szCs w:val="21"/>
                      <w:vertAlign w:val="superscript"/>
                    </w:rPr>
                    <w:t>2</w:t>
                  </w:r>
                  <w:r>
                    <w:rPr>
                      <w:sz w:val="21"/>
                      <w:szCs w:val="21"/>
                    </w:rPr>
                    <w:t>）</w:t>
                  </w:r>
                </w:p>
              </w:tc>
              <w:tc>
                <w:tcPr>
                  <w:tcW w:w="1384" w:type="dxa"/>
                  <w:vMerge w:val="restart"/>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color w:val="auto"/>
                      <w:kern w:val="0"/>
                      <w:sz w:val="21"/>
                      <w:szCs w:val="21"/>
                      <w:lang w:bidi="ar"/>
                    </w:rPr>
                    <w:t>总拆迁占地面积（亩）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blHeader/>
                <w:jc w:val="center"/>
              </w:trPr>
              <w:tc>
                <w:tcPr>
                  <w:tcW w:w="2438" w:type="dxa"/>
                  <w:vMerge w:val="continue"/>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p>
              </w:tc>
              <w:tc>
                <w:tcPr>
                  <w:tcW w:w="869" w:type="dxa"/>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sz w:val="21"/>
                      <w:szCs w:val="21"/>
                    </w:rPr>
                    <w:t>户数</w:t>
                  </w:r>
                </w:p>
              </w:tc>
              <w:tc>
                <w:tcPr>
                  <w:tcW w:w="1033" w:type="dxa"/>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sz w:val="21"/>
                      <w:szCs w:val="21"/>
                    </w:rPr>
                    <w:t>涉迁人口</w:t>
                  </w:r>
                </w:p>
              </w:tc>
              <w:tc>
                <w:tcPr>
                  <w:tcW w:w="1117" w:type="dxa"/>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sz w:val="21"/>
                      <w:szCs w:val="21"/>
                    </w:rPr>
                    <w:t>面积（m</w:t>
                  </w:r>
                  <w:r>
                    <w:rPr>
                      <w:sz w:val="21"/>
                      <w:szCs w:val="21"/>
                      <w:vertAlign w:val="superscript"/>
                    </w:rPr>
                    <w:t>2</w:t>
                  </w:r>
                  <w:r>
                    <w:rPr>
                      <w:sz w:val="21"/>
                      <w:szCs w:val="21"/>
                    </w:rPr>
                    <w:t>）</w:t>
                  </w:r>
                </w:p>
              </w:tc>
              <w:tc>
                <w:tcPr>
                  <w:tcW w:w="1166" w:type="dxa"/>
                  <w:vMerge w:val="continue"/>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p>
              </w:tc>
              <w:tc>
                <w:tcPr>
                  <w:tcW w:w="1384" w:type="dxa"/>
                  <w:vMerge w:val="continue"/>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p>
              </w:tc>
              <w:tc>
                <w:tcPr>
                  <w:tcW w:w="1384" w:type="dxa"/>
                  <w:vMerge w:val="continue"/>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438" w:type="dxa"/>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eastAsia="宋体"/>
                      <w:sz w:val="21"/>
                      <w:szCs w:val="21"/>
                      <w:lang w:eastAsia="zh-CN"/>
                    </w:rPr>
                  </w:pPr>
                  <w:r>
                    <w:rPr>
                      <w:rFonts w:hint="eastAsia"/>
                      <w:sz w:val="21"/>
                      <w:szCs w:val="21"/>
                      <w:lang w:eastAsia="zh-CN"/>
                    </w:rPr>
                    <w:t>马鞍路</w:t>
                  </w:r>
                </w:p>
              </w:tc>
              <w:tc>
                <w:tcPr>
                  <w:tcW w:w="869" w:type="dxa"/>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7</w:t>
                  </w:r>
                </w:p>
              </w:tc>
              <w:tc>
                <w:tcPr>
                  <w:tcW w:w="1033" w:type="dxa"/>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34</w:t>
                  </w:r>
                </w:p>
              </w:tc>
              <w:tc>
                <w:tcPr>
                  <w:tcW w:w="1117" w:type="dxa"/>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rFonts w:hint="default" w:eastAsia="宋体"/>
                      <w:sz w:val="21"/>
                      <w:szCs w:val="21"/>
                    </w:rPr>
                    <w:t>633.44</w:t>
                  </w:r>
                </w:p>
              </w:tc>
              <w:tc>
                <w:tcPr>
                  <w:tcW w:w="116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sz w:val="21"/>
                      <w:szCs w:val="21"/>
                    </w:rPr>
                  </w:pPr>
                  <w:r>
                    <w:rPr>
                      <w:color w:val="auto"/>
                      <w:kern w:val="0"/>
                      <w:sz w:val="24"/>
                      <w:lang w:bidi="ar"/>
                    </w:rPr>
                    <w:t>0.00</w:t>
                  </w:r>
                </w:p>
              </w:tc>
              <w:tc>
                <w:tcPr>
                  <w:tcW w:w="1384" w:type="dxa"/>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default" w:eastAsia="宋体"/>
                      <w:sz w:val="21"/>
                      <w:szCs w:val="21"/>
                    </w:rPr>
                    <w:t>633.44</w:t>
                  </w:r>
                </w:p>
              </w:tc>
              <w:tc>
                <w:tcPr>
                  <w:tcW w:w="1384" w:type="dxa"/>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438"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eastAsia="宋体"/>
                      <w:sz w:val="21"/>
                      <w:szCs w:val="21"/>
                      <w:lang w:eastAsia="zh-CN"/>
                    </w:rPr>
                  </w:pPr>
                  <w:r>
                    <w:rPr>
                      <w:rFonts w:hint="eastAsia"/>
                      <w:sz w:val="21"/>
                      <w:szCs w:val="21"/>
                      <w:lang w:eastAsia="zh-CN"/>
                    </w:rPr>
                    <w:t>桃园路</w:t>
                  </w:r>
                </w:p>
              </w:tc>
              <w:tc>
                <w:tcPr>
                  <w:tcW w:w="869"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16</w:t>
                  </w:r>
                </w:p>
              </w:tc>
              <w:tc>
                <w:tcPr>
                  <w:tcW w:w="103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w:t>
                  </w:r>
                </w:p>
              </w:tc>
              <w:tc>
                <w:tcPr>
                  <w:tcW w:w="1117"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rFonts w:hint="default" w:eastAsia="宋体"/>
                      <w:sz w:val="21"/>
                      <w:szCs w:val="21"/>
                    </w:rPr>
                    <w:t xml:space="preserve">3110.00 </w:t>
                  </w:r>
                </w:p>
              </w:tc>
              <w:tc>
                <w:tcPr>
                  <w:tcW w:w="116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sz w:val="21"/>
                      <w:szCs w:val="21"/>
                    </w:rPr>
                  </w:pPr>
                  <w:r>
                    <w:rPr>
                      <w:color w:val="auto"/>
                      <w:kern w:val="0"/>
                      <w:sz w:val="24"/>
                      <w:lang w:bidi="ar"/>
                    </w:rPr>
                    <w:t>0.00</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default" w:eastAsia="宋体"/>
                      <w:sz w:val="21"/>
                      <w:szCs w:val="21"/>
                    </w:rPr>
                    <w:t xml:space="preserve">3110.00 </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438"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eastAsia="宋体"/>
                      <w:sz w:val="21"/>
                      <w:szCs w:val="21"/>
                      <w:lang w:eastAsia="zh-CN"/>
                    </w:rPr>
                  </w:pPr>
                  <w:r>
                    <w:rPr>
                      <w:rFonts w:hint="eastAsia"/>
                      <w:sz w:val="21"/>
                      <w:szCs w:val="21"/>
                      <w:lang w:eastAsia="zh-CN"/>
                    </w:rPr>
                    <w:t>纬四路</w:t>
                  </w:r>
                </w:p>
              </w:tc>
              <w:tc>
                <w:tcPr>
                  <w:tcW w:w="869"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6</w:t>
                  </w:r>
                </w:p>
              </w:tc>
              <w:tc>
                <w:tcPr>
                  <w:tcW w:w="103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21</w:t>
                  </w:r>
                </w:p>
              </w:tc>
              <w:tc>
                <w:tcPr>
                  <w:tcW w:w="1117"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rFonts w:hint="default" w:eastAsia="宋体"/>
                      <w:sz w:val="21"/>
                      <w:szCs w:val="21"/>
                    </w:rPr>
                    <w:t>688.70</w:t>
                  </w:r>
                </w:p>
              </w:tc>
              <w:tc>
                <w:tcPr>
                  <w:tcW w:w="116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sz w:val="21"/>
                      <w:szCs w:val="21"/>
                    </w:rPr>
                  </w:pPr>
                  <w:r>
                    <w:rPr>
                      <w:color w:val="auto"/>
                      <w:kern w:val="0"/>
                      <w:sz w:val="24"/>
                      <w:lang w:bidi="ar"/>
                    </w:rPr>
                    <w:t>0.00</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default" w:eastAsia="宋体"/>
                      <w:sz w:val="21"/>
                      <w:szCs w:val="21"/>
                    </w:rPr>
                    <w:t>688.70</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438"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eastAsia="宋体"/>
                      <w:sz w:val="21"/>
                      <w:szCs w:val="21"/>
                      <w:lang w:eastAsia="zh-CN"/>
                    </w:rPr>
                  </w:pPr>
                  <w:r>
                    <w:rPr>
                      <w:rFonts w:hint="eastAsia"/>
                      <w:sz w:val="21"/>
                      <w:szCs w:val="21"/>
                      <w:lang w:eastAsia="zh-CN"/>
                    </w:rPr>
                    <w:t>百合路（马鞍路-云龙大道）</w:t>
                  </w:r>
                </w:p>
              </w:tc>
              <w:tc>
                <w:tcPr>
                  <w:tcW w:w="869"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6</w:t>
                  </w:r>
                </w:p>
              </w:tc>
              <w:tc>
                <w:tcPr>
                  <w:tcW w:w="103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27</w:t>
                  </w:r>
                </w:p>
              </w:tc>
              <w:tc>
                <w:tcPr>
                  <w:tcW w:w="1117"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rFonts w:hint="default" w:eastAsia="宋体"/>
                      <w:sz w:val="21"/>
                      <w:szCs w:val="21"/>
                    </w:rPr>
                    <w:t>657.00</w:t>
                  </w:r>
                </w:p>
              </w:tc>
              <w:tc>
                <w:tcPr>
                  <w:tcW w:w="116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sz w:val="21"/>
                      <w:szCs w:val="21"/>
                    </w:rPr>
                  </w:pPr>
                  <w:r>
                    <w:rPr>
                      <w:color w:val="auto"/>
                      <w:kern w:val="0"/>
                      <w:sz w:val="24"/>
                      <w:lang w:bidi="ar"/>
                    </w:rPr>
                    <w:t>0.00</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default" w:eastAsia="宋体"/>
                      <w:sz w:val="21"/>
                      <w:szCs w:val="21"/>
                    </w:rPr>
                    <w:t>657.00</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438"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eastAsia="宋体"/>
                      <w:sz w:val="21"/>
                      <w:szCs w:val="21"/>
                      <w:lang w:eastAsia="zh-CN"/>
                    </w:rPr>
                  </w:pPr>
                  <w:r>
                    <w:rPr>
                      <w:rFonts w:hint="eastAsia"/>
                      <w:sz w:val="21"/>
                      <w:szCs w:val="21"/>
                      <w:lang w:eastAsia="zh-CN"/>
                    </w:rPr>
                    <w:t>百合路（云峰大道-马鞍路）</w:t>
                  </w:r>
                </w:p>
              </w:tc>
              <w:tc>
                <w:tcPr>
                  <w:tcW w:w="869"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10</w:t>
                  </w:r>
                </w:p>
              </w:tc>
              <w:tc>
                <w:tcPr>
                  <w:tcW w:w="103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36</w:t>
                  </w:r>
                </w:p>
              </w:tc>
              <w:tc>
                <w:tcPr>
                  <w:tcW w:w="1117"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rFonts w:hint="default" w:eastAsia="宋体"/>
                      <w:sz w:val="21"/>
                      <w:szCs w:val="21"/>
                    </w:rPr>
                    <w:t>1131.20</w:t>
                  </w:r>
                </w:p>
              </w:tc>
              <w:tc>
                <w:tcPr>
                  <w:tcW w:w="116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sz w:val="21"/>
                      <w:szCs w:val="21"/>
                    </w:rPr>
                  </w:pPr>
                  <w:r>
                    <w:rPr>
                      <w:color w:val="auto"/>
                      <w:kern w:val="0"/>
                      <w:sz w:val="24"/>
                      <w:lang w:bidi="ar"/>
                    </w:rPr>
                    <w:t>0.00</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default" w:eastAsia="宋体"/>
                      <w:sz w:val="21"/>
                      <w:szCs w:val="21"/>
                    </w:rPr>
                    <w:t>1131.20</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438"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1"/>
                      <w:szCs w:val="21"/>
                    </w:rPr>
                  </w:pPr>
                  <w:r>
                    <w:rPr>
                      <w:sz w:val="21"/>
                      <w:szCs w:val="21"/>
                    </w:rPr>
                    <w:t>合计</w:t>
                  </w:r>
                </w:p>
              </w:tc>
              <w:tc>
                <w:tcPr>
                  <w:tcW w:w="869"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45</w:t>
                  </w:r>
                </w:p>
              </w:tc>
              <w:tc>
                <w:tcPr>
                  <w:tcW w:w="103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166</w:t>
                  </w:r>
                </w:p>
              </w:tc>
              <w:tc>
                <w:tcPr>
                  <w:tcW w:w="1117"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6220.34</w:t>
                  </w:r>
                </w:p>
              </w:tc>
              <w:tc>
                <w:tcPr>
                  <w:tcW w:w="116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sz w:val="21"/>
                      <w:szCs w:val="21"/>
                    </w:rPr>
                  </w:pPr>
                  <w:r>
                    <w:rPr>
                      <w:color w:val="auto"/>
                      <w:kern w:val="0"/>
                      <w:sz w:val="24"/>
                      <w:lang w:bidi="ar"/>
                    </w:rPr>
                    <w:t>0.00</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6220.34</w:t>
                  </w:r>
                </w:p>
              </w:tc>
              <w:tc>
                <w:tcPr>
                  <w:tcW w:w="138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9.33</w:t>
                  </w:r>
                </w:p>
              </w:tc>
            </w:tr>
          </w:tbl>
          <w:p>
            <w:pPr>
              <w:bidi w:val="0"/>
              <w:ind w:firstLine="480" w:firstLineChars="200"/>
              <w:rPr>
                <w:rFonts w:hint="eastAsia"/>
              </w:rPr>
            </w:pPr>
            <w:r>
              <w:t>本项目范围内需迁移</w:t>
            </w:r>
            <w:r>
              <w:rPr>
                <w:rFonts w:hint="eastAsia"/>
              </w:rPr>
              <w:t>高、低压电杆、通信电杆等各管线及其相关</w:t>
            </w:r>
            <w:r>
              <w:t>搬迁工程由当地电力部门</w:t>
            </w:r>
            <w:r>
              <w:rPr>
                <w:rFonts w:hint="eastAsia"/>
              </w:rPr>
              <w:t>等相关部门</w:t>
            </w:r>
            <w:r>
              <w:t>与建设单位协商负责，实施移线，均待设计的移建桩柱全部安装完毕后，切断电源</w:t>
            </w:r>
            <w:r>
              <w:rPr>
                <w:rFonts w:hint="eastAsia"/>
              </w:rPr>
              <w:t>等</w:t>
            </w:r>
            <w:r>
              <w:t>，移线安装，停电</w:t>
            </w:r>
            <w:r>
              <w:rPr>
                <w:rFonts w:hint="eastAsia"/>
              </w:rPr>
              <w:t>等</w:t>
            </w:r>
            <w:r>
              <w:t>通知均由当地电力部门做出解释，对周边区域影响较小。本项目</w:t>
            </w:r>
            <w:r>
              <w:rPr>
                <w:rFonts w:hint="eastAsia"/>
              </w:rPr>
              <w:t>各管线及相关</w:t>
            </w:r>
            <w:r>
              <w:t>设施在搬迁前需取得相关部门的同意</w:t>
            </w:r>
            <w:r>
              <w:rPr>
                <w:rFonts w:hint="eastAsia"/>
              </w:rPr>
              <w:t>后方可施工</w:t>
            </w:r>
            <w:r>
              <w:t>。</w:t>
            </w:r>
            <w:r>
              <w:rPr>
                <w:rFonts w:hint="eastAsia"/>
              </w:rPr>
              <w:t>拆迁过程中产生的砖混结构等废弃物合理处置，与具有资质的建筑垃圾回收利用公司签订相关回收利用协议。</w:t>
            </w:r>
          </w:p>
          <w:p>
            <w:pPr>
              <w:spacing w:line="400" w:lineRule="exact"/>
              <w:jc w:val="center"/>
              <w:rPr>
                <w:rFonts w:ascii="宋体" w:hAnsi="宋体" w:cs="宋体"/>
                <w:b/>
                <w:bCs/>
                <w:color w:val="auto"/>
                <w:sz w:val="24"/>
              </w:rPr>
            </w:pPr>
            <w:r>
              <w:rPr>
                <w:rFonts w:hint="eastAsia" w:ascii="宋体" w:hAnsi="宋体" w:cs="宋体"/>
                <w:b/>
                <w:bCs/>
                <w:color w:val="auto"/>
                <w:sz w:val="24"/>
              </w:rPr>
              <w:t>表</w:t>
            </w:r>
            <w:r>
              <w:rPr>
                <w:rFonts w:hint="eastAsia" w:ascii="宋体" w:hAnsi="宋体" w:cs="宋体"/>
                <w:b/>
                <w:bCs/>
                <w:color w:val="auto"/>
                <w:sz w:val="24"/>
                <w:lang w:val="en-US" w:eastAsia="zh-CN"/>
              </w:rPr>
              <w:t>11</w:t>
            </w:r>
            <w:r>
              <w:rPr>
                <w:rFonts w:hint="eastAsia" w:ascii="宋体" w:hAnsi="宋体" w:cs="宋体"/>
                <w:b/>
                <w:bCs/>
                <w:color w:val="auto"/>
                <w:sz w:val="24"/>
              </w:rPr>
              <w:t xml:space="preserve">   管线迁移详表</w:t>
            </w:r>
          </w:p>
          <w:tbl>
            <w:tblPr>
              <w:tblStyle w:val="34"/>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1"/>
              <w:gridCol w:w="764"/>
              <w:gridCol w:w="825"/>
              <w:gridCol w:w="780"/>
              <w:gridCol w:w="2655"/>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1061" w:type="dxa"/>
                  <w:vMerge w:val="restart"/>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工程名称</w:t>
                  </w:r>
                </w:p>
              </w:tc>
              <w:tc>
                <w:tcPr>
                  <w:tcW w:w="7589" w:type="dxa"/>
                  <w:gridSpan w:val="5"/>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数量（根）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blHeader/>
                <w:jc w:val="center"/>
              </w:trPr>
              <w:tc>
                <w:tcPr>
                  <w:tcW w:w="1061" w:type="dxa"/>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p>
              </w:tc>
              <w:tc>
                <w:tcPr>
                  <w:tcW w:w="764"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马鞍路</w:t>
                  </w:r>
                </w:p>
              </w:tc>
              <w:tc>
                <w:tcPr>
                  <w:tcW w:w="82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桃园路</w:t>
                  </w:r>
                </w:p>
              </w:tc>
              <w:tc>
                <w:tcPr>
                  <w:tcW w:w="78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纬四路</w:t>
                  </w:r>
                </w:p>
              </w:tc>
              <w:tc>
                <w:tcPr>
                  <w:tcW w:w="265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百合路（马鞍路-云龙大道）</w:t>
                  </w:r>
                </w:p>
              </w:tc>
              <w:tc>
                <w:tcPr>
                  <w:tcW w:w="256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百合路（云峰大道-马鞍路）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061"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高压杆线</w:t>
                  </w:r>
                </w:p>
              </w:tc>
              <w:tc>
                <w:tcPr>
                  <w:tcW w:w="764"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0</w:t>
                  </w:r>
                </w:p>
              </w:tc>
              <w:tc>
                <w:tcPr>
                  <w:tcW w:w="82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3</w:t>
                  </w:r>
                </w:p>
              </w:tc>
              <w:tc>
                <w:tcPr>
                  <w:tcW w:w="78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6</w:t>
                  </w:r>
                </w:p>
              </w:tc>
              <w:tc>
                <w:tcPr>
                  <w:tcW w:w="265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0</w:t>
                  </w:r>
                </w:p>
              </w:tc>
              <w:tc>
                <w:tcPr>
                  <w:tcW w:w="256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061"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低压杆线</w:t>
                  </w:r>
                </w:p>
              </w:tc>
              <w:tc>
                <w:tcPr>
                  <w:tcW w:w="764"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3</w:t>
                  </w:r>
                </w:p>
              </w:tc>
              <w:tc>
                <w:tcPr>
                  <w:tcW w:w="82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12</w:t>
                  </w:r>
                </w:p>
              </w:tc>
              <w:tc>
                <w:tcPr>
                  <w:tcW w:w="78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3</w:t>
                  </w:r>
                </w:p>
              </w:tc>
              <w:tc>
                <w:tcPr>
                  <w:tcW w:w="265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0</w:t>
                  </w:r>
                </w:p>
              </w:tc>
              <w:tc>
                <w:tcPr>
                  <w:tcW w:w="256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061"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通信电杆</w:t>
                  </w:r>
                </w:p>
              </w:tc>
              <w:tc>
                <w:tcPr>
                  <w:tcW w:w="764"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0</w:t>
                  </w:r>
                </w:p>
              </w:tc>
              <w:tc>
                <w:tcPr>
                  <w:tcW w:w="82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0</w:t>
                  </w:r>
                </w:p>
              </w:tc>
              <w:tc>
                <w:tcPr>
                  <w:tcW w:w="78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4</w:t>
                  </w:r>
                </w:p>
              </w:tc>
              <w:tc>
                <w:tcPr>
                  <w:tcW w:w="265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0</w:t>
                  </w:r>
                </w:p>
              </w:tc>
              <w:tc>
                <w:tcPr>
                  <w:tcW w:w="2565"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val="en-US" w:eastAsia="zh-CN"/>
                    </w:rPr>
                  </w:pPr>
                  <w:r>
                    <w:rPr>
                      <w:rFonts w:hint="eastAsia"/>
                      <w:sz w:val="21"/>
                      <w:szCs w:val="21"/>
                      <w:lang w:val="en-US" w:eastAsia="zh-CN"/>
                    </w:rPr>
                    <w:t>3</w:t>
                  </w:r>
                </w:p>
              </w:tc>
            </w:tr>
          </w:tbl>
          <w:p>
            <w:pPr>
              <w:bidi w:val="0"/>
              <w:ind w:firstLine="480" w:firstLineChars="200"/>
            </w:pPr>
            <w:r>
              <w:rPr>
                <w:rFonts w:hint="eastAsia"/>
              </w:rPr>
              <w:t>为保障项目的顺利实施，对项目用地的拆迁安置问题，建设单位应严格按照国家《城市房屋拆迁管理条例》、《株洲市人民政府关于调整征地补偿标准的通知》（</w:t>
            </w:r>
            <w:r>
              <w:t>[</w:t>
            </w:r>
            <w:r>
              <w:rPr>
                <w:rFonts w:hint="eastAsia"/>
              </w:rPr>
              <w:t xml:space="preserve">株政发 </w:t>
            </w:r>
            <w:r>
              <w:t>2018]9</w:t>
            </w:r>
            <w:r>
              <w:rPr>
                <w:rFonts w:hint="eastAsia"/>
              </w:rPr>
              <w:t>号）、省《湖南省实施&lt;城市房屋拆迁管理条例&gt;办法》以及株洲市人民政府株政发（2017）5号《株洲市人民政府关于印发&lt;株洲市集体土地征收及房屋拆迁补偿安置办法&gt;的通知》，办理项目征地过程中的拆迁补偿、安置工作对拆迁安置问题，建设单位采取货币补偿方式对被拆迁户进行合理安置。</w:t>
            </w:r>
          </w:p>
          <w:p>
            <w:pPr>
              <w:ind w:firstLine="482" w:firstLineChars="200"/>
              <w:rPr>
                <w:b/>
                <w:bCs/>
                <w:kern w:val="0"/>
                <w:sz w:val="24"/>
              </w:rPr>
            </w:pPr>
            <w:r>
              <w:rPr>
                <w:rFonts w:hint="eastAsia"/>
                <w:b/>
                <w:bCs/>
                <w:kern w:val="0"/>
                <w:sz w:val="24"/>
                <w:lang w:val="en-US" w:eastAsia="zh-CN"/>
              </w:rPr>
              <w:t>2.7</w:t>
            </w:r>
            <w:r>
              <w:rPr>
                <w:b/>
                <w:bCs/>
                <w:kern w:val="0"/>
                <w:sz w:val="24"/>
              </w:rPr>
              <w:t>筑路材料及运输条件</w:t>
            </w:r>
          </w:p>
          <w:p>
            <w:pPr>
              <w:ind w:firstLine="480" w:firstLineChars="200"/>
              <w:rPr>
                <w:rFonts w:hint="eastAsia"/>
                <w:color w:val="000000"/>
                <w:sz w:val="24"/>
                <w:u w:val="single"/>
              </w:rPr>
            </w:pPr>
            <w:r>
              <w:rPr>
                <w:rFonts w:hint="eastAsia"/>
                <w:color w:val="000000"/>
                <w:sz w:val="24"/>
                <w:u w:val="single"/>
              </w:rPr>
              <w:t>筑路材料主要包括路基、路面、护坡及其它构造物用材料。本项目位于株洲市，筑路材料来源广泛，项目所需砂、砾石、片石及碎石，可自采或购买，交通运输方便；附近开挖的土石方均可作为路基填料；项目所需的水泥、石灰、钢材等材料本市供应充足，上路运距较近；项目沥青混凝土从市政沥青混凝土搅拌站购买，不设置沥青拌合站。建设范围内地表水供应充足，水质良好，施工用水十分方便。项目区域内电网密布，完全可满足工程用电要求。</w:t>
            </w:r>
          </w:p>
          <w:p>
            <w:pPr>
              <w:ind w:firstLine="482" w:firstLineChars="200"/>
              <w:rPr>
                <w:b/>
                <w:bCs/>
                <w:kern w:val="0"/>
                <w:sz w:val="24"/>
                <w:highlight w:val="none"/>
              </w:rPr>
            </w:pPr>
            <w:r>
              <w:rPr>
                <w:b/>
                <w:bCs/>
                <w:kern w:val="0"/>
                <w:sz w:val="24"/>
                <w:highlight w:val="none"/>
              </w:rPr>
              <w:t>2.</w:t>
            </w:r>
            <w:r>
              <w:rPr>
                <w:rFonts w:hint="eastAsia"/>
                <w:b/>
                <w:bCs/>
                <w:kern w:val="0"/>
                <w:sz w:val="24"/>
                <w:highlight w:val="none"/>
                <w:lang w:val="en-US" w:eastAsia="zh-CN"/>
              </w:rPr>
              <w:t>8</w:t>
            </w:r>
            <w:r>
              <w:rPr>
                <w:rFonts w:hint="eastAsia"/>
                <w:b/>
                <w:bCs/>
                <w:kern w:val="0"/>
                <w:sz w:val="24"/>
                <w:highlight w:val="none"/>
              </w:rPr>
              <w:t>预测交通流量</w:t>
            </w:r>
          </w:p>
          <w:p>
            <w:pPr>
              <w:ind w:firstLine="480" w:firstLineChars="200"/>
              <w:rPr>
                <w:rFonts w:hint="eastAsia"/>
                <w:b/>
                <w:bCs/>
                <w:sz w:val="24"/>
              </w:rPr>
            </w:pPr>
            <w:r>
              <w:rPr>
                <w:rFonts w:hint="eastAsia"/>
                <w:sz w:val="24"/>
              </w:rPr>
              <w:t>本项目交通流量预测年份为</w:t>
            </w:r>
            <w:r>
              <w:rPr>
                <w:sz w:val="24"/>
              </w:rPr>
              <w:t>202</w:t>
            </w:r>
            <w:r>
              <w:rPr>
                <w:rFonts w:hint="eastAsia"/>
                <w:sz w:val="24"/>
                <w:lang w:val="en-US" w:eastAsia="zh-CN"/>
              </w:rPr>
              <w:t>4</w:t>
            </w:r>
            <w:r>
              <w:rPr>
                <w:sz w:val="24"/>
              </w:rPr>
              <w:t>年、20</w:t>
            </w:r>
            <w:r>
              <w:rPr>
                <w:rFonts w:hint="eastAsia"/>
                <w:sz w:val="24"/>
                <w:lang w:val="en-US" w:eastAsia="zh-CN"/>
              </w:rPr>
              <w:t>30</w:t>
            </w:r>
            <w:r>
              <w:rPr>
                <w:sz w:val="24"/>
              </w:rPr>
              <w:t>年、203</w:t>
            </w:r>
            <w:r>
              <w:rPr>
                <w:rFonts w:hint="eastAsia"/>
                <w:sz w:val="24"/>
                <w:lang w:val="en-US" w:eastAsia="zh-CN"/>
              </w:rPr>
              <w:t>8</w:t>
            </w:r>
            <w:r>
              <w:rPr>
                <w:sz w:val="24"/>
              </w:rPr>
              <w:t>年，</w:t>
            </w:r>
            <w:r>
              <w:rPr>
                <w:rFonts w:hint="eastAsia"/>
                <w:sz w:val="24"/>
              </w:rPr>
              <w:t>根据项目可研交通量预测结果，推算出本项目</w:t>
            </w:r>
            <w:r>
              <w:rPr>
                <w:sz w:val="24"/>
              </w:rPr>
              <w:t>各</w:t>
            </w:r>
            <w:r>
              <w:rPr>
                <w:rFonts w:hint="eastAsia"/>
                <w:sz w:val="24"/>
              </w:rPr>
              <w:t>预测年份</w:t>
            </w:r>
            <w:r>
              <w:rPr>
                <w:sz w:val="24"/>
              </w:rPr>
              <w:t>的交通流量见表</w:t>
            </w:r>
            <w:r>
              <w:rPr>
                <w:rFonts w:hint="eastAsia"/>
                <w:sz w:val="24"/>
                <w:lang w:val="en-US" w:eastAsia="zh-CN"/>
              </w:rPr>
              <w:t>12</w:t>
            </w:r>
            <w:r>
              <w:rPr>
                <w:rFonts w:hint="eastAsia"/>
                <w:sz w:val="24"/>
              </w:rPr>
              <w:t>，车型绝对量构成表见表</w:t>
            </w:r>
            <w:r>
              <w:rPr>
                <w:rFonts w:hint="eastAsia"/>
                <w:sz w:val="24"/>
                <w:lang w:val="en-US" w:eastAsia="zh-CN"/>
              </w:rPr>
              <w:t>13</w:t>
            </w:r>
            <w:r>
              <w:rPr>
                <w:rFonts w:hint="eastAsia"/>
                <w:sz w:val="24"/>
              </w:rPr>
              <w:t>。</w:t>
            </w:r>
          </w:p>
          <w:p>
            <w:pPr>
              <w:jc w:val="center"/>
              <w:rPr>
                <w:b/>
                <w:bCs/>
                <w:sz w:val="24"/>
              </w:rPr>
            </w:pPr>
            <w:r>
              <w:rPr>
                <w:rFonts w:hint="eastAsia"/>
                <w:b/>
                <w:bCs/>
                <w:sz w:val="24"/>
              </w:rPr>
              <w:t>表</w:t>
            </w:r>
            <w:r>
              <w:rPr>
                <w:rFonts w:hint="eastAsia"/>
                <w:b/>
                <w:bCs/>
                <w:sz w:val="24"/>
                <w:lang w:val="en-US" w:eastAsia="zh-CN"/>
              </w:rPr>
              <w:t>12</w:t>
            </w:r>
            <w:r>
              <w:rPr>
                <w:b/>
                <w:bCs/>
                <w:sz w:val="24"/>
              </w:rPr>
              <w:t xml:space="preserve">  </w:t>
            </w:r>
            <w:r>
              <w:rPr>
                <w:rFonts w:hint="eastAsia"/>
                <w:b/>
                <w:bCs/>
                <w:sz w:val="24"/>
              </w:rPr>
              <w:t>本工程</w:t>
            </w:r>
            <w:r>
              <w:rPr>
                <w:b/>
                <w:bCs/>
                <w:sz w:val="24"/>
              </w:rPr>
              <w:t>特征年交通量预测结果</w:t>
            </w:r>
          </w:p>
          <w:tbl>
            <w:tblPr>
              <w:tblStyle w:val="34"/>
              <w:tblW w:w="8379" w:type="dxa"/>
              <w:jc w:val="center"/>
              <w:tblLayout w:type="fixed"/>
              <w:tblCellMar>
                <w:top w:w="0" w:type="dxa"/>
                <w:left w:w="10" w:type="dxa"/>
                <w:bottom w:w="0" w:type="dxa"/>
                <w:right w:w="10" w:type="dxa"/>
              </w:tblCellMar>
            </w:tblPr>
            <w:tblGrid>
              <w:gridCol w:w="2211"/>
              <w:gridCol w:w="1938"/>
              <w:gridCol w:w="1995"/>
              <w:gridCol w:w="2235"/>
            </w:tblGrid>
            <w:tr>
              <w:tblPrEx>
                <w:tblCellMar>
                  <w:top w:w="0" w:type="dxa"/>
                  <w:left w:w="10" w:type="dxa"/>
                  <w:bottom w:w="0" w:type="dxa"/>
                  <w:right w:w="10" w:type="dxa"/>
                </w:tblCellMar>
              </w:tblPrEx>
              <w:trPr>
                <w:trHeight w:val="340" w:hRule="exact"/>
                <w:jc w:val="center"/>
              </w:trPr>
              <w:tc>
                <w:tcPr>
                  <w:tcW w:w="2211" w:type="dxa"/>
                  <w:vMerge w:val="restart"/>
                  <w:tcBorders>
                    <w:top w:val="single" w:color="auto" w:sz="4" w:space="0"/>
                    <w:lef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道路路段</w:t>
                  </w:r>
                </w:p>
              </w:tc>
              <w:tc>
                <w:tcPr>
                  <w:tcW w:w="6168" w:type="dxa"/>
                  <w:gridSpan w:val="3"/>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单向最大高峰小时交通量（pcu/h )</w:t>
                  </w:r>
                </w:p>
              </w:tc>
            </w:tr>
            <w:tr>
              <w:tblPrEx>
                <w:tblCellMar>
                  <w:top w:w="0" w:type="dxa"/>
                  <w:left w:w="10" w:type="dxa"/>
                  <w:bottom w:w="0" w:type="dxa"/>
                  <w:right w:w="10" w:type="dxa"/>
                </w:tblCellMar>
              </w:tblPrEx>
              <w:trPr>
                <w:trHeight w:val="340" w:hRule="exact"/>
                <w:jc w:val="center"/>
              </w:trPr>
              <w:tc>
                <w:tcPr>
                  <w:tcW w:w="2211" w:type="dxa"/>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p>
              </w:tc>
              <w:tc>
                <w:tcPr>
                  <w:tcW w:w="1938" w:type="dxa"/>
                  <w:tcBorders>
                    <w:top w:val="single" w:color="auto" w:sz="4" w:space="0"/>
                    <w:lef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202</w:t>
                  </w:r>
                  <w:r>
                    <w:rPr>
                      <w:rFonts w:hint="eastAsia"/>
                      <w:kern w:val="0"/>
                      <w:sz w:val="21"/>
                      <w:szCs w:val="21"/>
                      <w:lang w:val="en-US" w:eastAsia="zh-CN" w:bidi="ar"/>
                    </w:rPr>
                    <w:t>4</w:t>
                  </w:r>
                  <w:r>
                    <w:rPr>
                      <w:kern w:val="0"/>
                      <w:sz w:val="21"/>
                      <w:szCs w:val="21"/>
                      <w:lang w:bidi="ar"/>
                    </w:rPr>
                    <w:t>年</w:t>
                  </w:r>
                </w:p>
              </w:tc>
              <w:tc>
                <w:tcPr>
                  <w:tcW w:w="1995" w:type="dxa"/>
                  <w:tcBorders>
                    <w:top w:val="single" w:color="auto" w:sz="4" w:space="0"/>
                    <w:lef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20</w:t>
                  </w:r>
                  <w:r>
                    <w:rPr>
                      <w:rFonts w:hint="eastAsia"/>
                      <w:kern w:val="0"/>
                      <w:sz w:val="21"/>
                      <w:szCs w:val="21"/>
                      <w:lang w:val="en-US" w:eastAsia="zh-CN" w:bidi="ar"/>
                    </w:rPr>
                    <w:t>30</w:t>
                  </w:r>
                  <w:r>
                    <w:rPr>
                      <w:kern w:val="0"/>
                      <w:sz w:val="21"/>
                      <w:szCs w:val="21"/>
                      <w:lang w:bidi="ar"/>
                    </w:rPr>
                    <w:t>年</w:t>
                  </w:r>
                </w:p>
              </w:tc>
              <w:tc>
                <w:tcPr>
                  <w:tcW w:w="2235"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203</w:t>
                  </w:r>
                  <w:r>
                    <w:rPr>
                      <w:rFonts w:hint="eastAsia"/>
                      <w:kern w:val="0"/>
                      <w:sz w:val="21"/>
                      <w:szCs w:val="21"/>
                      <w:lang w:val="en-US" w:eastAsia="zh-CN" w:bidi="ar"/>
                    </w:rPr>
                    <w:t>8</w:t>
                  </w:r>
                  <w:r>
                    <w:rPr>
                      <w:kern w:val="0"/>
                      <w:sz w:val="21"/>
                      <w:szCs w:val="21"/>
                      <w:lang w:bidi="ar"/>
                    </w:rPr>
                    <w:t>年</w:t>
                  </w:r>
                </w:p>
              </w:tc>
            </w:tr>
            <w:tr>
              <w:tblPrEx>
                <w:tblCellMar>
                  <w:top w:w="0" w:type="dxa"/>
                  <w:left w:w="10" w:type="dxa"/>
                  <w:bottom w:w="0" w:type="dxa"/>
                  <w:right w:w="10" w:type="dxa"/>
                </w:tblCellMar>
              </w:tblPrEx>
              <w:trPr>
                <w:trHeight w:val="397" w:hRule="exact"/>
                <w:jc w:val="center"/>
              </w:trPr>
              <w:tc>
                <w:tcPr>
                  <w:tcW w:w="221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eastAsia="宋体"/>
                      <w:kern w:val="0"/>
                      <w:sz w:val="21"/>
                      <w:szCs w:val="21"/>
                      <w:lang w:eastAsia="zh-CN" w:bidi="ar"/>
                    </w:rPr>
                  </w:pPr>
                  <w:r>
                    <w:rPr>
                      <w:rFonts w:hint="eastAsia"/>
                      <w:kern w:val="0"/>
                      <w:sz w:val="21"/>
                      <w:szCs w:val="21"/>
                      <w:lang w:eastAsia="zh-CN" w:bidi="ar"/>
                    </w:rPr>
                    <w:t>马鞍路</w:t>
                  </w:r>
                </w:p>
              </w:tc>
              <w:tc>
                <w:tcPr>
                  <w:tcW w:w="1938"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eastAsia="宋体"/>
                      <w:kern w:val="0"/>
                      <w:sz w:val="21"/>
                      <w:szCs w:val="21"/>
                      <w:lang w:val="en-US" w:eastAsia="zh-CN" w:bidi="ar"/>
                    </w:rPr>
                  </w:pPr>
                  <w:r>
                    <w:rPr>
                      <w:rFonts w:hint="eastAsia"/>
                      <w:kern w:val="0"/>
                      <w:sz w:val="21"/>
                      <w:szCs w:val="21"/>
                      <w:lang w:val="en-US" w:eastAsia="zh-CN" w:bidi="ar"/>
                    </w:rPr>
                    <w:t>1163</w:t>
                  </w:r>
                </w:p>
              </w:tc>
              <w:tc>
                <w:tcPr>
                  <w:tcW w:w="1995"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eastAsia="宋体"/>
                      <w:kern w:val="0"/>
                      <w:sz w:val="21"/>
                      <w:szCs w:val="21"/>
                      <w:lang w:val="en-US" w:eastAsia="zh-CN" w:bidi="ar"/>
                    </w:rPr>
                  </w:pPr>
                  <w:r>
                    <w:rPr>
                      <w:rFonts w:hint="eastAsia"/>
                      <w:kern w:val="0"/>
                      <w:sz w:val="21"/>
                      <w:szCs w:val="21"/>
                      <w:lang w:val="en-US" w:eastAsia="zh-CN" w:bidi="ar"/>
                    </w:rPr>
                    <w:t>1365</w:t>
                  </w:r>
                </w:p>
              </w:tc>
              <w:tc>
                <w:tcPr>
                  <w:tcW w:w="22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宋体" w:cs="Times New Roman"/>
                      <w:kern w:val="2"/>
                      <w:sz w:val="21"/>
                      <w:szCs w:val="20"/>
                      <w:lang w:val="en-US" w:eastAsia="zh-CN" w:bidi="ar-SA"/>
                    </w:rPr>
                  </w:pPr>
                  <w:r>
                    <w:rPr>
                      <w:rFonts w:hint="eastAsia"/>
                    </w:rPr>
                    <w:t>1535</w:t>
                  </w:r>
                </w:p>
              </w:tc>
            </w:tr>
            <w:tr>
              <w:tblPrEx>
                <w:tblCellMar>
                  <w:top w:w="0" w:type="dxa"/>
                  <w:left w:w="10" w:type="dxa"/>
                  <w:bottom w:w="0" w:type="dxa"/>
                  <w:right w:w="10" w:type="dxa"/>
                </w:tblCellMar>
              </w:tblPrEx>
              <w:trPr>
                <w:trHeight w:val="397" w:hRule="exact"/>
                <w:jc w:val="center"/>
              </w:trPr>
              <w:tc>
                <w:tcPr>
                  <w:tcW w:w="221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eastAsia="宋体"/>
                      <w:kern w:val="0"/>
                      <w:sz w:val="21"/>
                      <w:szCs w:val="21"/>
                      <w:lang w:eastAsia="zh-CN" w:bidi="ar"/>
                    </w:rPr>
                  </w:pPr>
                  <w:r>
                    <w:rPr>
                      <w:rFonts w:hint="eastAsia"/>
                      <w:kern w:val="0"/>
                      <w:sz w:val="21"/>
                      <w:szCs w:val="21"/>
                      <w:lang w:eastAsia="zh-CN" w:bidi="ar"/>
                    </w:rPr>
                    <w:t>桃园路</w:t>
                  </w:r>
                </w:p>
              </w:tc>
              <w:tc>
                <w:tcPr>
                  <w:tcW w:w="1938"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eastAsia="宋体"/>
                      <w:kern w:val="0"/>
                      <w:sz w:val="21"/>
                      <w:szCs w:val="21"/>
                      <w:lang w:val="en-US" w:eastAsia="zh-CN" w:bidi="ar"/>
                    </w:rPr>
                  </w:pPr>
                  <w:r>
                    <w:rPr>
                      <w:rFonts w:hint="eastAsia"/>
                      <w:kern w:val="0"/>
                      <w:sz w:val="21"/>
                      <w:szCs w:val="21"/>
                      <w:lang w:val="en-US" w:eastAsia="zh-CN" w:bidi="ar"/>
                    </w:rPr>
                    <w:t>1790</w:t>
                  </w:r>
                </w:p>
              </w:tc>
              <w:tc>
                <w:tcPr>
                  <w:tcW w:w="1995"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eastAsia="宋体"/>
                      <w:kern w:val="0"/>
                      <w:sz w:val="21"/>
                      <w:szCs w:val="21"/>
                      <w:lang w:val="en-US" w:eastAsia="zh-CN" w:bidi="ar"/>
                    </w:rPr>
                  </w:pPr>
                  <w:r>
                    <w:rPr>
                      <w:rFonts w:hint="eastAsia"/>
                      <w:kern w:val="0"/>
                      <w:sz w:val="21"/>
                      <w:szCs w:val="21"/>
                      <w:lang w:val="en-US" w:eastAsia="zh-CN" w:bidi="ar"/>
                    </w:rPr>
                    <w:t>2721</w:t>
                  </w:r>
                </w:p>
              </w:tc>
              <w:tc>
                <w:tcPr>
                  <w:tcW w:w="22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ascii="Times New Roman" w:hAnsi="Times New Roman" w:eastAsia="宋体" w:cs="Times New Roman"/>
                      <w:kern w:val="2"/>
                      <w:sz w:val="21"/>
                      <w:szCs w:val="21"/>
                      <w:lang w:val="en-US" w:eastAsia="zh-CN" w:bidi="ar-SA"/>
                    </w:rPr>
                  </w:pPr>
                  <w:r>
                    <w:rPr>
                      <w:rFonts w:eastAsia="宋体"/>
                      <w:sz w:val="21"/>
                      <w:szCs w:val="21"/>
                    </w:rPr>
                    <w:t>3230</w:t>
                  </w:r>
                </w:p>
              </w:tc>
            </w:tr>
            <w:tr>
              <w:tblPrEx>
                <w:tblCellMar>
                  <w:top w:w="0" w:type="dxa"/>
                  <w:left w:w="10" w:type="dxa"/>
                  <w:bottom w:w="0" w:type="dxa"/>
                  <w:right w:w="10" w:type="dxa"/>
                </w:tblCellMar>
              </w:tblPrEx>
              <w:trPr>
                <w:trHeight w:val="397" w:hRule="exact"/>
                <w:jc w:val="center"/>
              </w:trPr>
              <w:tc>
                <w:tcPr>
                  <w:tcW w:w="221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eastAsia="宋体"/>
                      <w:kern w:val="0"/>
                      <w:sz w:val="21"/>
                      <w:szCs w:val="21"/>
                      <w:lang w:eastAsia="zh-CN" w:bidi="ar"/>
                    </w:rPr>
                  </w:pPr>
                  <w:r>
                    <w:rPr>
                      <w:rFonts w:hint="eastAsia"/>
                      <w:kern w:val="0"/>
                      <w:sz w:val="21"/>
                      <w:szCs w:val="21"/>
                      <w:lang w:eastAsia="zh-CN" w:bidi="ar"/>
                    </w:rPr>
                    <w:t>纬四路</w:t>
                  </w:r>
                </w:p>
              </w:tc>
              <w:tc>
                <w:tcPr>
                  <w:tcW w:w="1938"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eastAsia="宋体"/>
                      <w:kern w:val="0"/>
                      <w:sz w:val="21"/>
                      <w:szCs w:val="21"/>
                      <w:lang w:val="en-US" w:eastAsia="zh-CN" w:bidi="ar"/>
                    </w:rPr>
                  </w:pPr>
                  <w:r>
                    <w:rPr>
                      <w:rFonts w:hint="eastAsia"/>
                      <w:kern w:val="0"/>
                      <w:sz w:val="21"/>
                      <w:szCs w:val="21"/>
                      <w:lang w:val="en-US" w:eastAsia="zh-CN" w:bidi="ar"/>
                    </w:rPr>
                    <w:t>195</w:t>
                  </w:r>
                </w:p>
              </w:tc>
              <w:tc>
                <w:tcPr>
                  <w:tcW w:w="1995"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eastAsia="宋体"/>
                      <w:kern w:val="0"/>
                      <w:sz w:val="21"/>
                      <w:szCs w:val="21"/>
                      <w:lang w:val="en-US" w:eastAsia="zh-CN" w:bidi="ar"/>
                    </w:rPr>
                  </w:pPr>
                  <w:r>
                    <w:rPr>
                      <w:rFonts w:hint="eastAsia"/>
                      <w:kern w:val="0"/>
                      <w:sz w:val="21"/>
                      <w:szCs w:val="21"/>
                      <w:lang w:val="en-US" w:eastAsia="zh-CN" w:bidi="ar"/>
                    </w:rPr>
                    <w:t>297</w:t>
                  </w:r>
                </w:p>
              </w:tc>
              <w:tc>
                <w:tcPr>
                  <w:tcW w:w="22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ascii="Times New Roman" w:hAnsi="Times New Roman" w:eastAsia="宋体" w:cs="Times New Roman"/>
                      <w:kern w:val="2"/>
                      <w:sz w:val="21"/>
                      <w:szCs w:val="21"/>
                      <w:lang w:val="en-US" w:eastAsia="zh-CN" w:bidi="ar-SA"/>
                    </w:rPr>
                  </w:pPr>
                  <w:r>
                    <w:rPr>
                      <w:rFonts w:eastAsia="宋体"/>
                      <w:sz w:val="21"/>
                      <w:szCs w:val="21"/>
                    </w:rPr>
                    <w:t>390</w:t>
                  </w:r>
                </w:p>
              </w:tc>
            </w:tr>
            <w:tr>
              <w:tblPrEx>
                <w:tblCellMar>
                  <w:top w:w="0" w:type="dxa"/>
                  <w:left w:w="10" w:type="dxa"/>
                  <w:bottom w:w="0" w:type="dxa"/>
                  <w:right w:w="10" w:type="dxa"/>
                </w:tblCellMar>
              </w:tblPrEx>
              <w:trPr>
                <w:trHeight w:val="397" w:hRule="exact"/>
                <w:jc w:val="center"/>
              </w:trPr>
              <w:tc>
                <w:tcPr>
                  <w:tcW w:w="221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eastAsia="宋体"/>
                      <w:kern w:val="0"/>
                      <w:sz w:val="21"/>
                      <w:szCs w:val="21"/>
                      <w:lang w:eastAsia="zh-CN" w:bidi="ar"/>
                    </w:rPr>
                  </w:pPr>
                  <w:r>
                    <w:rPr>
                      <w:rFonts w:hint="eastAsia"/>
                      <w:kern w:val="0"/>
                      <w:sz w:val="21"/>
                      <w:szCs w:val="21"/>
                      <w:lang w:eastAsia="zh-CN" w:bidi="ar"/>
                    </w:rPr>
                    <w:t>百合路</w:t>
                  </w:r>
                </w:p>
              </w:tc>
              <w:tc>
                <w:tcPr>
                  <w:tcW w:w="1938"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eastAsia="宋体"/>
                      <w:kern w:val="0"/>
                      <w:sz w:val="21"/>
                      <w:szCs w:val="21"/>
                      <w:lang w:val="en-US" w:eastAsia="zh-CN" w:bidi="ar"/>
                    </w:rPr>
                  </w:pPr>
                  <w:r>
                    <w:rPr>
                      <w:rFonts w:hint="eastAsia"/>
                      <w:kern w:val="0"/>
                      <w:sz w:val="21"/>
                      <w:szCs w:val="21"/>
                      <w:lang w:val="en-US" w:eastAsia="zh-CN" w:bidi="ar"/>
                    </w:rPr>
                    <w:t>1208</w:t>
                  </w:r>
                </w:p>
              </w:tc>
              <w:tc>
                <w:tcPr>
                  <w:tcW w:w="1995"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eastAsia="宋体"/>
                      <w:kern w:val="0"/>
                      <w:sz w:val="21"/>
                      <w:szCs w:val="21"/>
                      <w:lang w:val="en-US" w:eastAsia="zh-CN" w:bidi="ar"/>
                    </w:rPr>
                  </w:pPr>
                  <w:r>
                    <w:rPr>
                      <w:rFonts w:hint="eastAsia"/>
                      <w:kern w:val="0"/>
                      <w:sz w:val="21"/>
                      <w:szCs w:val="21"/>
                      <w:lang w:val="en-US" w:eastAsia="zh-CN" w:bidi="ar"/>
                    </w:rPr>
                    <w:t>1388</w:t>
                  </w:r>
                </w:p>
              </w:tc>
              <w:tc>
                <w:tcPr>
                  <w:tcW w:w="22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Times New Roman" w:hAnsi="Times New Roman" w:eastAsia="宋体" w:cs="Times New Roman"/>
                      <w:kern w:val="2"/>
                      <w:sz w:val="21"/>
                      <w:szCs w:val="20"/>
                      <w:lang w:val="en-US" w:eastAsia="zh-CN" w:bidi="ar-SA"/>
                    </w:rPr>
                  </w:pPr>
                  <w:r>
                    <w:rPr>
                      <w:rFonts w:hint="eastAsia"/>
                    </w:rPr>
                    <w:t>1515</w:t>
                  </w:r>
                </w:p>
              </w:tc>
            </w:tr>
          </w:tbl>
          <w:p>
            <w:pPr>
              <w:jc w:val="center"/>
              <w:rPr>
                <w:rFonts w:hint="eastAsia"/>
                <w:b/>
                <w:bCs/>
                <w:sz w:val="24"/>
              </w:rPr>
            </w:pPr>
          </w:p>
          <w:p>
            <w:pPr>
              <w:jc w:val="center"/>
              <w:rPr>
                <w:b/>
                <w:bCs/>
                <w:sz w:val="24"/>
              </w:rPr>
            </w:pPr>
            <w:r>
              <w:rPr>
                <w:rFonts w:hint="eastAsia"/>
                <w:b/>
                <w:bCs/>
                <w:sz w:val="24"/>
              </w:rPr>
              <w:t>表</w:t>
            </w:r>
            <w:r>
              <w:rPr>
                <w:rFonts w:hint="eastAsia"/>
                <w:b/>
                <w:bCs/>
                <w:sz w:val="24"/>
                <w:lang w:val="en-US" w:eastAsia="zh-CN"/>
              </w:rPr>
              <w:t>13</w:t>
            </w:r>
            <w:r>
              <w:rPr>
                <w:b/>
                <w:bCs/>
                <w:sz w:val="24"/>
              </w:rPr>
              <w:t xml:space="preserve">  </w:t>
            </w:r>
            <w:r>
              <w:rPr>
                <w:rFonts w:hint="eastAsia"/>
                <w:b/>
                <w:bCs/>
                <w:sz w:val="24"/>
              </w:rPr>
              <w:t>车型绝对量构成表（按大、中、小型）  单位：%</w:t>
            </w:r>
          </w:p>
          <w:tbl>
            <w:tblPr>
              <w:tblStyle w:val="34"/>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41"/>
              <w:gridCol w:w="1719"/>
              <w:gridCol w:w="1686"/>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eastAsia="宋体" w:cs="Arial"/>
                      <w:sz w:val="22"/>
                      <w:szCs w:val="21"/>
                      <w:lang w:eastAsia="zh-CN"/>
                    </w:rPr>
                  </w:pPr>
                  <w:r>
                    <w:rPr>
                      <w:rFonts w:hint="eastAsia" w:cs="Arial"/>
                      <w:sz w:val="22"/>
                      <w:szCs w:val="21"/>
                      <w:lang w:eastAsia="zh-CN"/>
                    </w:rPr>
                    <w:t>路段</w:t>
                  </w:r>
                </w:p>
              </w:tc>
              <w:tc>
                <w:tcPr>
                  <w:tcW w:w="17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宋体" w:cs="Arial"/>
                      <w:kern w:val="2"/>
                      <w:sz w:val="22"/>
                      <w:szCs w:val="21"/>
                      <w:lang w:val="en-US" w:eastAsia="zh-CN" w:bidi="ar-SA"/>
                    </w:rPr>
                  </w:pPr>
                  <w:r>
                    <w:rPr>
                      <w:rFonts w:hint="eastAsia" w:hAnsi="宋体" w:cs="Arial"/>
                      <w:sz w:val="22"/>
                      <w:szCs w:val="21"/>
                    </w:rPr>
                    <w:t>小型车</w:t>
                  </w:r>
                </w:p>
              </w:tc>
              <w:tc>
                <w:tcPr>
                  <w:tcW w:w="171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宋体" w:cs="Arial"/>
                      <w:kern w:val="2"/>
                      <w:sz w:val="22"/>
                      <w:szCs w:val="21"/>
                      <w:lang w:val="en-US" w:eastAsia="zh-CN" w:bidi="ar-SA"/>
                    </w:rPr>
                  </w:pPr>
                  <w:r>
                    <w:rPr>
                      <w:rFonts w:hint="eastAsia" w:cs="Arial"/>
                      <w:sz w:val="22"/>
                      <w:szCs w:val="21"/>
                    </w:rPr>
                    <w:t>中型车</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宋体" w:cs="Arial"/>
                      <w:kern w:val="2"/>
                      <w:sz w:val="22"/>
                      <w:szCs w:val="21"/>
                      <w:lang w:val="en-US" w:eastAsia="zh-CN" w:bidi="ar-SA"/>
                    </w:rPr>
                  </w:pPr>
                  <w:r>
                    <w:rPr>
                      <w:rFonts w:hint="eastAsia" w:cs="Arial"/>
                      <w:sz w:val="22"/>
                      <w:szCs w:val="21"/>
                    </w:rPr>
                    <w:t>大型车</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Arial"/>
                      <w:kern w:val="2"/>
                      <w:sz w:val="22"/>
                      <w:szCs w:val="21"/>
                      <w:lang w:val="en-US" w:eastAsia="zh-CN" w:bidi="ar-SA"/>
                    </w:rPr>
                  </w:pPr>
                  <w:r>
                    <w:rPr>
                      <w:rFonts w:hint="eastAsia" w:cs="Arial"/>
                      <w:sz w:val="22"/>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0"/>
                      <w:sz w:val="21"/>
                      <w:szCs w:val="21"/>
                      <w:lang w:val="en-US" w:eastAsia="zh-CN" w:bidi="ar"/>
                    </w:rPr>
                  </w:pPr>
                  <w:r>
                    <w:rPr>
                      <w:rFonts w:hint="eastAsia"/>
                      <w:kern w:val="0"/>
                      <w:sz w:val="21"/>
                      <w:szCs w:val="21"/>
                      <w:lang w:eastAsia="zh-CN" w:bidi="ar"/>
                    </w:rPr>
                    <w:t>马鞍路</w:t>
                  </w:r>
                </w:p>
              </w:tc>
              <w:tc>
                <w:tcPr>
                  <w:tcW w:w="17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2"/>
                      <w:szCs w:val="21"/>
                      <w:lang w:val="en-US" w:eastAsia="zh-CN" w:bidi="ar-SA"/>
                    </w:rPr>
                  </w:pPr>
                  <w:r>
                    <w:rPr>
                      <w:rFonts w:hint="eastAsia"/>
                      <w:sz w:val="22"/>
                      <w:szCs w:val="21"/>
                    </w:rPr>
                    <w:t>70</w:t>
                  </w:r>
                </w:p>
              </w:tc>
              <w:tc>
                <w:tcPr>
                  <w:tcW w:w="171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2"/>
                      <w:szCs w:val="21"/>
                      <w:lang w:val="en-US" w:eastAsia="zh-CN" w:bidi="ar-SA"/>
                    </w:rPr>
                  </w:pPr>
                  <w:r>
                    <w:rPr>
                      <w:rFonts w:hint="eastAsia"/>
                      <w:sz w:val="22"/>
                      <w:szCs w:val="21"/>
                    </w:rPr>
                    <w:t>20</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2"/>
                      <w:szCs w:val="21"/>
                      <w:lang w:val="en-US" w:eastAsia="zh-CN" w:bidi="ar-SA"/>
                    </w:rPr>
                  </w:pPr>
                  <w:r>
                    <w:rPr>
                      <w:rFonts w:hint="eastAsia"/>
                      <w:sz w:val="22"/>
                      <w:szCs w:val="21"/>
                    </w:rPr>
                    <w:t>10</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2"/>
                      <w:szCs w:val="21"/>
                      <w:lang w:val="en-US" w:eastAsia="zh-CN" w:bidi="ar-SA"/>
                    </w:rPr>
                  </w:pPr>
                  <w:r>
                    <w:rPr>
                      <w:rFonts w:hint="eastAsia"/>
                      <w:sz w:val="22"/>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0"/>
                      <w:sz w:val="21"/>
                      <w:szCs w:val="21"/>
                      <w:lang w:val="en-US" w:eastAsia="zh-CN" w:bidi="ar"/>
                    </w:rPr>
                  </w:pPr>
                  <w:r>
                    <w:rPr>
                      <w:rFonts w:hint="eastAsia"/>
                      <w:kern w:val="0"/>
                      <w:sz w:val="21"/>
                      <w:szCs w:val="21"/>
                      <w:lang w:eastAsia="zh-CN" w:bidi="ar"/>
                    </w:rPr>
                    <w:t>桃园路</w:t>
                  </w:r>
                </w:p>
              </w:tc>
              <w:tc>
                <w:tcPr>
                  <w:tcW w:w="17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2"/>
                      <w:szCs w:val="21"/>
                      <w:lang w:val="en-US" w:eastAsia="zh-CN" w:bidi="ar-SA"/>
                    </w:rPr>
                  </w:pPr>
                  <w:r>
                    <w:rPr>
                      <w:rFonts w:hint="eastAsia"/>
                      <w:sz w:val="22"/>
                      <w:szCs w:val="21"/>
                      <w:lang w:val="en-US" w:eastAsia="zh-CN"/>
                    </w:rPr>
                    <w:t>6</w:t>
                  </w:r>
                  <w:r>
                    <w:rPr>
                      <w:rFonts w:hint="eastAsia"/>
                      <w:sz w:val="22"/>
                      <w:szCs w:val="21"/>
                    </w:rPr>
                    <w:t>0</w:t>
                  </w:r>
                </w:p>
              </w:tc>
              <w:tc>
                <w:tcPr>
                  <w:tcW w:w="171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2"/>
                      <w:szCs w:val="21"/>
                      <w:lang w:val="en-US" w:eastAsia="zh-CN" w:bidi="ar-SA"/>
                    </w:rPr>
                  </w:pPr>
                  <w:r>
                    <w:rPr>
                      <w:rFonts w:hint="eastAsia"/>
                      <w:sz w:val="22"/>
                      <w:szCs w:val="21"/>
                    </w:rPr>
                    <w:t>20</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2"/>
                      <w:szCs w:val="21"/>
                      <w:lang w:val="en-US" w:eastAsia="zh-CN" w:bidi="ar-SA"/>
                    </w:rPr>
                  </w:pPr>
                  <w:r>
                    <w:rPr>
                      <w:rFonts w:hint="eastAsia"/>
                      <w:sz w:val="22"/>
                      <w:szCs w:val="21"/>
                      <w:lang w:val="en-US" w:eastAsia="zh-CN"/>
                    </w:rPr>
                    <w:t>2</w:t>
                  </w:r>
                  <w:r>
                    <w:rPr>
                      <w:rFonts w:hint="eastAsia"/>
                      <w:sz w:val="22"/>
                      <w:szCs w:val="21"/>
                    </w:rPr>
                    <w:t>0</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2"/>
                      <w:szCs w:val="21"/>
                      <w:lang w:val="en-US" w:eastAsia="zh-CN" w:bidi="ar-SA"/>
                    </w:rPr>
                  </w:pPr>
                  <w:r>
                    <w:rPr>
                      <w:rFonts w:hint="eastAsia"/>
                      <w:sz w:val="22"/>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0"/>
                      <w:sz w:val="21"/>
                      <w:szCs w:val="21"/>
                      <w:lang w:val="en-US" w:eastAsia="zh-CN" w:bidi="ar"/>
                    </w:rPr>
                  </w:pPr>
                  <w:r>
                    <w:rPr>
                      <w:rFonts w:hint="eastAsia"/>
                      <w:kern w:val="0"/>
                      <w:sz w:val="21"/>
                      <w:szCs w:val="21"/>
                      <w:lang w:eastAsia="zh-CN" w:bidi="ar"/>
                    </w:rPr>
                    <w:t>纬四路</w:t>
                  </w:r>
                </w:p>
              </w:tc>
              <w:tc>
                <w:tcPr>
                  <w:tcW w:w="17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eastAsia="宋体"/>
                      <w:sz w:val="22"/>
                      <w:szCs w:val="21"/>
                      <w:lang w:val="en-US" w:eastAsia="zh-CN"/>
                    </w:rPr>
                  </w:pPr>
                  <w:r>
                    <w:rPr>
                      <w:rFonts w:hint="eastAsia"/>
                      <w:sz w:val="22"/>
                      <w:szCs w:val="21"/>
                      <w:lang w:val="en-US" w:eastAsia="zh-CN"/>
                    </w:rPr>
                    <w:t>70</w:t>
                  </w:r>
                </w:p>
              </w:tc>
              <w:tc>
                <w:tcPr>
                  <w:tcW w:w="171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eastAsia="宋体"/>
                      <w:sz w:val="22"/>
                      <w:szCs w:val="21"/>
                      <w:lang w:val="en-US" w:eastAsia="zh-CN"/>
                    </w:rPr>
                  </w:pPr>
                  <w:r>
                    <w:rPr>
                      <w:rFonts w:hint="eastAsia"/>
                      <w:sz w:val="22"/>
                      <w:szCs w:val="21"/>
                      <w:lang w:val="en-US" w:eastAsia="zh-CN"/>
                    </w:rPr>
                    <w:t>20</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eastAsia="宋体"/>
                      <w:sz w:val="22"/>
                      <w:szCs w:val="21"/>
                      <w:lang w:val="en-US" w:eastAsia="zh-CN"/>
                    </w:rPr>
                  </w:pPr>
                  <w:r>
                    <w:rPr>
                      <w:rFonts w:hint="eastAsia"/>
                      <w:sz w:val="22"/>
                      <w:szCs w:val="21"/>
                      <w:lang w:val="en-US" w:eastAsia="zh-CN"/>
                    </w:rPr>
                    <w:t>10</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eastAsia="宋体"/>
                      <w:sz w:val="22"/>
                      <w:szCs w:val="21"/>
                      <w:lang w:val="en-US" w:eastAsia="zh-CN"/>
                    </w:rPr>
                  </w:pPr>
                  <w:r>
                    <w:rPr>
                      <w:rFonts w:hint="eastAsia"/>
                      <w:sz w:val="22"/>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0"/>
                      <w:sz w:val="21"/>
                      <w:szCs w:val="21"/>
                      <w:lang w:val="en-US" w:eastAsia="zh-CN" w:bidi="ar"/>
                    </w:rPr>
                  </w:pPr>
                  <w:r>
                    <w:rPr>
                      <w:rFonts w:hint="eastAsia"/>
                      <w:kern w:val="0"/>
                      <w:sz w:val="21"/>
                      <w:szCs w:val="21"/>
                      <w:lang w:eastAsia="zh-CN" w:bidi="ar"/>
                    </w:rPr>
                    <w:t>百合路</w:t>
                  </w:r>
                </w:p>
              </w:tc>
              <w:tc>
                <w:tcPr>
                  <w:tcW w:w="17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2"/>
                      <w:szCs w:val="21"/>
                      <w:lang w:val="en-US" w:eastAsia="zh-CN" w:bidi="ar-SA"/>
                    </w:rPr>
                  </w:pPr>
                  <w:r>
                    <w:rPr>
                      <w:rFonts w:hint="eastAsia"/>
                      <w:sz w:val="22"/>
                      <w:szCs w:val="21"/>
                      <w:lang w:val="en-US" w:eastAsia="zh-CN"/>
                    </w:rPr>
                    <w:t>4</w:t>
                  </w:r>
                  <w:r>
                    <w:rPr>
                      <w:rFonts w:hint="eastAsia"/>
                      <w:sz w:val="22"/>
                      <w:szCs w:val="21"/>
                    </w:rPr>
                    <w:t>0</w:t>
                  </w:r>
                </w:p>
              </w:tc>
              <w:tc>
                <w:tcPr>
                  <w:tcW w:w="1719"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2"/>
                      <w:szCs w:val="21"/>
                      <w:lang w:val="en-US" w:eastAsia="zh-CN" w:bidi="ar-SA"/>
                    </w:rPr>
                  </w:pPr>
                  <w:r>
                    <w:rPr>
                      <w:rFonts w:hint="eastAsia"/>
                      <w:sz w:val="22"/>
                      <w:szCs w:val="21"/>
                      <w:lang w:val="en-US" w:eastAsia="zh-CN"/>
                    </w:rPr>
                    <w:t>3</w:t>
                  </w:r>
                  <w:r>
                    <w:rPr>
                      <w:rFonts w:hint="eastAsia"/>
                      <w:sz w:val="22"/>
                      <w:szCs w:val="21"/>
                    </w:rPr>
                    <w:t>0</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2"/>
                      <w:szCs w:val="21"/>
                      <w:lang w:val="en-US" w:eastAsia="zh-CN" w:bidi="ar-SA"/>
                    </w:rPr>
                  </w:pPr>
                  <w:r>
                    <w:rPr>
                      <w:rFonts w:hint="eastAsia"/>
                      <w:sz w:val="22"/>
                      <w:szCs w:val="21"/>
                      <w:lang w:val="en-US" w:eastAsia="zh-CN"/>
                    </w:rPr>
                    <w:t>3</w:t>
                  </w:r>
                  <w:r>
                    <w:rPr>
                      <w:rFonts w:hint="eastAsia"/>
                      <w:sz w:val="22"/>
                      <w:szCs w:val="21"/>
                    </w:rPr>
                    <w:t>0</w:t>
                  </w:r>
                </w:p>
              </w:tc>
              <w:tc>
                <w:tcPr>
                  <w:tcW w:w="1686"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2"/>
                      <w:szCs w:val="21"/>
                      <w:lang w:val="en-US" w:eastAsia="zh-CN" w:bidi="ar-SA"/>
                    </w:rPr>
                  </w:pPr>
                  <w:r>
                    <w:rPr>
                      <w:rFonts w:hint="eastAsia"/>
                      <w:sz w:val="22"/>
                      <w:szCs w:val="21"/>
                    </w:rPr>
                    <w:t>100</w:t>
                  </w:r>
                </w:p>
              </w:tc>
            </w:tr>
          </w:tbl>
          <w:p>
            <w:pPr>
              <w:ind w:firstLine="480" w:firstLineChars="200"/>
              <w:rPr>
                <w:sz w:val="24"/>
              </w:rPr>
            </w:pPr>
            <w:r>
              <w:rPr>
                <w:rFonts w:hint="eastAsia"/>
                <w:sz w:val="24"/>
              </w:rPr>
              <w:t>根据《城市道路设计规范》，机动车道的方向分布系数的推荐值</w:t>
            </w:r>
            <w:r>
              <w:rPr>
                <w:sz w:val="24"/>
                <w:rtl/>
              </w:rPr>
              <w:t>؏</w:t>
            </w:r>
            <w:r>
              <w:rPr>
                <w:rFonts w:hint="eastAsia"/>
                <w:sz w:val="24"/>
              </w:rPr>
              <w:t>=高峰时单向交通量/高峰时双向交通量=0.6，高峰小时比率的推荐值k=Q</w:t>
            </w:r>
            <w:r>
              <w:rPr>
                <w:rFonts w:hint="eastAsia"/>
                <w:sz w:val="24"/>
                <w:vertAlign w:val="subscript"/>
              </w:rPr>
              <w:t>h</w:t>
            </w:r>
            <w:r>
              <w:rPr>
                <w:rFonts w:hint="eastAsia"/>
                <w:sz w:val="24"/>
              </w:rPr>
              <w:t>/Q</w:t>
            </w:r>
            <w:r>
              <w:rPr>
                <w:rFonts w:hint="eastAsia"/>
                <w:sz w:val="24"/>
                <w:vertAlign w:val="subscript"/>
              </w:rPr>
              <w:t>da</w:t>
            </w:r>
            <w:r>
              <w:rPr>
                <w:rFonts w:hint="eastAsia"/>
                <w:sz w:val="24"/>
              </w:rPr>
              <w:t>=11%。由此可计算各预测年车流量预测结果见表</w:t>
            </w:r>
            <w:r>
              <w:rPr>
                <w:rFonts w:hint="eastAsia"/>
                <w:sz w:val="24"/>
                <w:lang w:val="en-US" w:eastAsia="zh-CN"/>
              </w:rPr>
              <w:t>14</w:t>
            </w:r>
            <w:r>
              <w:rPr>
                <w:rFonts w:hint="eastAsia"/>
                <w:sz w:val="24"/>
              </w:rPr>
              <w:t>。</w:t>
            </w:r>
          </w:p>
          <w:p>
            <w:pPr>
              <w:jc w:val="center"/>
              <w:rPr>
                <w:b/>
                <w:bCs/>
                <w:sz w:val="24"/>
              </w:rPr>
            </w:pPr>
            <w:r>
              <w:rPr>
                <w:rFonts w:hint="eastAsia"/>
                <w:b/>
                <w:bCs/>
                <w:sz w:val="24"/>
              </w:rPr>
              <w:t>表</w:t>
            </w:r>
            <w:r>
              <w:rPr>
                <w:rFonts w:hint="eastAsia"/>
                <w:b/>
                <w:bCs/>
                <w:sz w:val="24"/>
                <w:lang w:val="en-US" w:eastAsia="zh-CN"/>
              </w:rPr>
              <w:t>14</w:t>
            </w:r>
            <w:r>
              <w:rPr>
                <w:b/>
                <w:bCs/>
                <w:sz w:val="24"/>
              </w:rPr>
              <w:t xml:space="preserve">  </w:t>
            </w:r>
            <w:r>
              <w:rPr>
                <w:rFonts w:hint="eastAsia"/>
                <w:b/>
                <w:bCs/>
                <w:sz w:val="24"/>
              </w:rPr>
              <w:t>本工程</w:t>
            </w:r>
            <w:r>
              <w:rPr>
                <w:b/>
                <w:bCs/>
                <w:sz w:val="24"/>
              </w:rPr>
              <w:t>特征年交通量预测结果</w:t>
            </w:r>
          </w:p>
          <w:tbl>
            <w:tblPr>
              <w:tblStyle w:val="34"/>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64"/>
              <w:gridCol w:w="1984"/>
              <w:gridCol w:w="1606"/>
              <w:gridCol w:w="1740"/>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cs="Arial"/>
                      <w:sz w:val="22"/>
                      <w:szCs w:val="21"/>
                      <w:lang w:eastAsia="zh-CN"/>
                    </w:rPr>
                    <w:t>路段</w:t>
                  </w:r>
                </w:p>
              </w:tc>
              <w:tc>
                <w:tcPr>
                  <w:tcW w:w="198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车流量</w:t>
                  </w:r>
                </w:p>
              </w:tc>
              <w:tc>
                <w:tcPr>
                  <w:tcW w:w="5071"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双向日均</w:t>
                  </w:r>
                  <w:r>
                    <w:rPr>
                      <w:kern w:val="0"/>
                      <w:sz w:val="21"/>
                      <w:szCs w:val="21"/>
                      <w:lang w:bidi="ar"/>
                    </w:rPr>
                    <w:t>交通</w:t>
                  </w:r>
                  <w:r>
                    <w:rPr>
                      <w:rFonts w:hint="eastAsia"/>
                      <w:kern w:val="0"/>
                      <w:sz w:val="21"/>
                      <w:szCs w:val="21"/>
                      <w:lang w:bidi="ar"/>
                    </w:rPr>
                    <w:t>总</w:t>
                  </w:r>
                  <w:r>
                    <w:rPr>
                      <w:kern w:val="0"/>
                      <w:sz w:val="21"/>
                      <w:szCs w:val="21"/>
                      <w:lang w:bidi="ar"/>
                    </w:rPr>
                    <w:t>量（</w:t>
                  </w:r>
                  <w:r>
                    <w:rPr>
                      <w:rFonts w:hint="eastAsia"/>
                      <w:kern w:val="0"/>
                      <w:sz w:val="21"/>
                      <w:szCs w:val="21"/>
                      <w:lang w:bidi="ar"/>
                    </w:rPr>
                    <w:t>辆/日</w:t>
                  </w:r>
                  <w:r>
                    <w:rPr>
                      <w:kern w:val="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p>
              </w:tc>
              <w:tc>
                <w:tcPr>
                  <w:tcW w:w="19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Times New Roman" w:hAnsi="Times New Roman" w:eastAsia="宋体" w:cs="Times New Roman"/>
                      <w:kern w:val="0"/>
                      <w:sz w:val="21"/>
                      <w:szCs w:val="21"/>
                      <w:lang w:val="en-US" w:eastAsia="zh-CN" w:bidi="ar"/>
                    </w:rPr>
                  </w:pPr>
                </w:p>
              </w:tc>
              <w:tc>
                <w:tcPr>
                  <w:tcW w:w="16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202</w:t>
                  </w:r>
                  <w:r>
                    <w:rPr>
                      <w:rFonts w:hint="eastAsia"/>
                      <w:kern w:val="0"/>
                      <w:sz w:val="21"/>
                      <w:szCs w:val="21"/>
                      <w:lang w:val="en-US" w:eastAsia="zh-CN" w:bidi="ar"/>
                    </w:rPr>
                    <w:t>4</w:t>
                  </w:r>
                  <w:r>
                    <w:rPr>
                      <w:kern w:val="0"/>
                      <w:sz w:val="21"/>
                      <w:szCs w:val="21"/>
                      <w:lang w:bidi="ar"/>
                    </w:rPr>
                    <w:t>年</w:t>
                  </w:r>
                </w:p>
              </w:tc>
              <w:tc>
                <w:tcPr>
                  <w:tcW w:w="17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20</w:t>
                  </w:r>
                  <w:r>
                    <w:rPr>
                      <w:rFonts w:hint="eastAsia"/>
                      <w:kern w:val="0"/>
                      <w:sz w:val="21"/>
                      <w:szCs w:val="21"/>
                      <w:lang w:val="en-US" w:eastAsia="zh-CN" w:bidi="ar"/>
                    </w:rPr>
                    <w:t>30</w:t>
                  </w:r>
                  <w:r>
                    <w:rPr>
                      <w:kern w:val="0"/>
                      <w:sz w:val="21"/>
                      <w:szCs w:val="21"/>
                      <w:lang w:bidi="ar"/>
                    </w:rPr>
                    <w:t>年</w:t>
                  </w:r>
                </w:p>
              </w:tc>
              <w:tc>
                <w:tcPr>
                  <w:tcW w:w="17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203</w:t>
                  </w:r>
                  <w:r>
                    <w:rPr>
                      <w:rFonts w:hint="eastAsia"/>
                      <w:kern w:val="0"/>
                      <w:sz w:val="21"/>
                      <w:szCs w:val="21"/>
                      <w:lang w:val="en-US" w:eastAsia="zh-CN" w:bidi="ar"/>
                    </w:rPr>
                    <w:t>8</w:t>
                  </w:r>
                  <w:r>
                    <w:rPr>
                      <w:kern w:val="0"/>
                      <w:sz w:val="21"/>
                      <w:szCs w:val="21"/>
                      <w:lang w:bidi="ar"/>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sz w:val="22"/>
                      <w:szCs w:val="21"/>
                    </w:rPr>
                  </w:pPr>
                  <w:r>
                    <w:rPr>
                      <w:rFonts w:hint="eastAsia"/>
                      <w:kern w:val="0"/>
                      <w:sz w:val="21"/>
                      <w:szCs w:val="21"/>
                      <w:lang w:eastAsia="zh-CN" w:bidi="ar"/>
                    </w:rPr>
                    <w:t>马鞍路</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Times New Roman" w:hAnsi="Times New Roman" w:eastAsia="宋体" w:cs="Times New Roman"/>
                      <w:kern w:val="0"/>
                      <w:sz w:val="21"/>
                      <w:szCs w:val="21"/>
                      <w:lang w:val="en-US" w:eastAsia="zh-CN" w:bidi="ar"/>
                    </w:rPr>
                  </w:pPr>
                  <w:r>
                    <w:rPr>
                      <w:rFonts w:hint="eastAsia"/>
                      <w:kern w:val="0"/>
                      <w:sz w:val="21"/>
                      <w:szCs w:val="21"/>
                      <w:lang w:bidi="ar"/>
                    </w:rPr>
                    <w:t>标车流量</w:t>
                  </w:r>
                  <w:r>
                    <w:rPr>
                      <w:kern w:val="0"/>
                      <w:sz w:val="21"/>
                      <w:szCs w:val="21"/>
                      <w:lang w:bidi="ar"/>
                    </w:rPr>
                    <w:t>（pcu/</w:t>
                  </w:r>
                  <w:r>
                    <w:rPr>
                      <w:rFonts w:hint="eastAsia"/>
                      <w:kern w:val="0"/>
                      <w:sz w:val="21"/>
                      <w:szCs w:val="21"/>
                      <w:lang w:bidi="ar"/>
                    </w:rPr>
                    <w:t>d</w:t>
                  </w:r>
                  <w:r>
                    <w:rPr>
                      <w:kern w:val="0"/>
                      <w:sz w:val="21"/>
                      <w:szCs w:val="21"/>
                      <w:lang w:bidi="ar"/>
                    </w:rPr>
                    <w:t>)</w:t>
                  </w:r>
                </w:p>
              </w:tc>
              <w:tc>
                <w:tcPr>
                  <w:tcW w:w="16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17621</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20682</w:t>
                  </w:r>
                </w:p>
              </w:tc>
              <w:tc>
                <w:tcPr>
                  <w:tcW w:w="17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23258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Times New Roman" w:hAnsi="Times New Roman" w:eastAsia="宋体" w:cs="Times New Roman"/>
                      <w:kern w:val="0"/>
                      <w:sz w:val="21"/>
                      <w:szCs w:val="21"/>
                      <w:lang w:val="en-US" w:eastAsia="zh-CN" w:bidi="ar"/>
                    </w:rPr>
                  </w:pPr>
                  <w:r>
                    <w:rPr>
                      <w:rFonts w:hint="eastAsia"/>
                      <w:kern w:val="0"/>
                      <w:sz w:val="21"/>
                      <w:szCs w:val="21"/>
                      <w:lang w:bidi="ar"/>
                    </w:rPr>
                    <w:t>绝对车流量</w:t>
                  </w:r>
                  <w:r>
                    <w:rPr>
                      <w:kern w:val="0"/>
                      <w:sz w:val="21"/>
                      <w:szCs w:val="21"/>
                      <w:lang w:bidi="ar"/>
                    </w:rPr>
                    <w:t>（</w:t>
                  </w:r>
                  <w:r>
                    <w:rPr>
                      <w:rFonts w:hint="eastAsia"/>
                      <w:kern w:val="0"/>
                      <w:sz w:val="21"/>
                      <w:szCs w:val="21"/>
                      <w:lang w:bidi="ar"/>
                    </w:rPr>
                    <w:t>辆/d</w:t>
                  </w:r>
                  <w:r>
                    <w:rPr>
                      <w:kern w:val="0"/>
                      <w:sz w:val="21"/>
                      <w:szCs w:val="21"/>
                      <w:lang w:bidi="ar"/>
                    </w:rPr>
                    <w:t xml:space="preserve"> )</w:t>
                  </w:r>
                </w:p>
              </w:tc>
              <w:tc>
                <w:tcPr>
                  <w:tcW w:w="16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14684</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17235</w:t>
                  </w:r>
                </w:p>
              </w:tc>
              <w:tc>
                <w:tcPr>
                  <w:tcW w:w="17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19382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sz w:val="22"/>
                      <w:szCs w:val="21"/>
                    </w:rPr>
                  </w:pPr>
                  <w:r>
                    <w:rPr>
                      <w:rFonts w:hint="eastAsia"/>
                      <w:kern w:val="0"/>
                      <w:sz w:val="21"/>
                      <w:szCs w:val="21"/>
                      <w:lang w:eastAsia="zh-CN" w:bidi="ar"/>
                    </w:rPr>
                    <w:t>桃园路</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标车流量</w:t>
                  </w:r>
                  <w:r>
                    <w:rPr>
                      <w:kern w:val="0"/>
                      <w:sz w:val="21"/>
                      <w:szCs w:val="21"/>
                      <w:lang w:bidi="ar"/>
                    </w:rPr>
                    <w:t>（pcu/</w:t>
                  </w:r>
                  <w:r>
                    <w:rPr>
                      <w:rFonts w:hint="eastAsia"/>
                      <w:kern w:val="0"/>
                      <w:sz w:val="21"/>
                      <w:szCs w:val="21"/>
                      <w:lang w:bidi="ar"/>
                    </w:rPr>
                    <w:t>d</w:t>
                  </w:r>
                  <w:r>
                    <w:rPr>
                      <w:kern w:val="0"/>
                      <w:sz w:val="21"/>
                      <w:szCs w:val="21"/>
                      <w:lang w:bidi="ar"/>
                    </w:rPr>
                    <w:t>)</w:t>
                  </w:r>
                </w:p>
              </w:tc>
              <w:tc>
                <w:tcPr>
                  <w:tcW w:w="16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27121</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39435</w:t>
                  </w:r>
                </w:p>
              </w:tc>
              <w:tc>
                <w:tcPr>
                  <w:tcW w:w="17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绝对车流量</w:t>
                  </w:r>
                  <w:r>
                    <w:rPr>
                      <w:kern w:val="0"/>
                      <w:sz w:val="21"/>
                      <w:szCs w:val="21"/>
                      <w:lang w:bidi="ar"/>
                    </w:rPr>
                    <w:t>（</w:t>
                  </w:r>
                  <w:r>
                    <w:rPr>
                      <w:rFonts w:hint="eastAsia"/>
                      <w:kern w:val="0"/>
                      <w:sz w:val="21"/>
                      <w:szCs w:val="21"/>
                      <w:lang w:bidi="ar"/>
                    </w:rPr>
                    <w:t>辆/d</w:t>
                  </w:r>
                  <w:r>
                    <w:rPr>
                      <w:kern w:val="0"/>
                      <w:sz w:val="21"/>
                      <w:szCs w:val="21"/>
                      <w:lang w:bidi="ar"/>
                    </w:rPr>
                    <w:t xml:space="preserve"> )</w:t>
                  </w:r>
                </w:p>
              </w:tc>
              <w:tc>
                <w:tcPr>
                  <w:tcW w:w="16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22601</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32862</w:t>
                  </w:r>
                </w:p>
              </w:tc>
              <w:tc>
                <w:tcPr>
                  <w:tcW w:w="17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sz w:val="22"/>
                      <w:szCs w:val="21"/>
                    </w:rPr>
                  </w:pPr>
                  <w:r>
                    <w:rPr>
                      <w:rFonts w:hint="eastAsia"/>
                      <w:kern w:val="0"/>
                      <w:sz w:val="21"/>
                      <w:szCs w:val="21"/>
                      <w:lang w:eastAsia="zh-CN" w:bidi="ar"/>
                    </w:rPr>
                    <w:t>纬四路</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标车流量</w:t>
                  </w:r>
                  <w:r>
                    <w:rPr>
                      <w:kern w:val="0"/>
                      <w:sz w:val="21"/>
                      <w:szCs w:val="21"/>
                      <w:lang w:bidi="ar"/>
                    </w:rPr>
                    <w:t>（pcu/</w:t>
                  </w:r>
                  <w:r>
                    <w:rPr>
                      <w:rFonts w:hint="eastAsia"/>
                      <w:kern w:val="0"/>
                      <w:sz w:val="21"/>
                      <w:szCs w:val="21"/>
                      <w:lang w:bidi="ar"/>
                    </w:rPr>
                    <w:t>d</w:t>
                  </w:r>
                  <w:r>
                    <w:rPr>
                      <w:kern w:val="0"/>
                      <w:sz w:val="21"/>
                      <w:szCs w:val="21"/>
                      <w:lang w:bidi="ar"/>
                    </w:rPr>
                    <w:t>)</w:t>
                  </w:r>
                </w:p>
              </w:tc>
              <w:tc>
                <w:tcPr>
                  <w:tcW w:w="16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2826</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4304</w:t>
                  </w:r>
                </w:p>
              </w:tc>
              <w:tc>
                <w:tcPr>
                  <w:tcW w:w="17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sz w:val="22"/>
                      <w:szCs w:val="21"/>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绝对车流量</w:t>
                  </w:r>
                  <w:r>
                    <w:rPr>
                      <w:kern w:val="0"/>
                      <w:sz w:val="21"/>
                      <w:szCs w:val="21"/>
                      <w:lang w:bidi="ar"/>
                    </w:rPr>
                    <w:t>（</w:t>
                  </w:r>
                  <w:r>
                    <w:rPr>
                      <w:rFonts w:hint="eastAsia"/>
                      <w:kern w:val="0"/>
                      <w:sz w:val="21"/>
                      <w:szCs w:val="21"/>
                      <w:lang w:bidi="ar"/>
                    </w:rPr>
                    <w:t>辆/d</w:t>
                  </w:r>
                  <w:r>
                    <w:rPr>
                      <w:kern w:val="0"/>
                      <w:sz w:val="21"/>
                      <w:szCs w:val="21"/>
                      <w:lang w:bidi="ar"/>
                    </w:rPr>
                    <w:t xml:space="preserve"> )</w:t>
                  </w:r>
                </w:p>
              </w:tc>
              <w:tc>
                <w:tcPr>
                  <w:tcW w:w="16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2459</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3743</w:t>
                  </w:r>
                </w:p>
              </w:tc>
              <w:tc>
                <w:tcPr>
                  <w:tcW w:w="17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sz w:val="22"/>
                      <w:szCs w:val="21"/>
                    </w:rPr>
                  </w:pPr>
                  <w:r>
                    <w:rPr>
                      <w:rFonts w:hint="eastAsia"/>
                      <w:kern w:val="0"/>
                      <w:sz w:val="21"/>
                      <w:szCs w:val="21"/>
                      <w:lang w:eastAsia="zh-CN" w:bidi="ar"/>
                    </w:rPr>
                    <w:t>百合路</w:t>
                  </w: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标车流量</w:t>
                  </w:r>
                  <w:r>
                    <w:rPr>
                      <w:kern w:val="0"/>
                      <w:sz w:val="21"/>
                      <w:szCs w:val="21"/>
                      <w:lang w:bidi="ar"/>
                    </w:rPr>
                    <w:t>（pcu/</w:t>
                  </w:r>
                  <w:r>
                    <w:rPr>
                      <w:rFonts w:hint="eastAsia"/>
                      <w:kern w:val="0"/>
                      <w:sz w:val="21"/>
                      <w:szCs w:val="21"/>
                      <w:lang w:bidi="ar"/>
                    </w:rPr>
                    <w:t>d</w:t>
                  </w:r>
                  <w:r>
                    <w:rPr>
                      <w:kern w:val="0"/>
                      <w:sz w:val="21"/>
                      <w:szCs w:val="21"/>
                      <w:lang w:bidi="ar"/>
                    </w:rPr>
                    <w:t>)</w:t>
                  </w:r>
                </w:p>
              </w:tc>
              <w:tc>
                <w:tcPr>
                  <w:tcW w:w="16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18303</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21030</w:t>
                  </w:r>
                </w:p>
              </w:tc>
              <w:tc>
                <w:tcPr>
                  <w:tcW w:w="17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22954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96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sz w:val="22"/>
                      <w:szCs w:val="21"/>
                    </w:rPr>
                  </w:pPr>
                </w:p>
              </w:tc>
              <w:tc>
                <w:tcPr>
                  <w:tcW w:w="198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绝对车流量</w:t>
                  </w:r>
                  <w:r>
                    <w:rPr>
                      <w:kern w:val="0"/>
                      <w:sz w:val="21"/>
                      <w:szCs w:val="21"/>
                      <w:lang w:bidi="ar"/>
                    </w:rPr>
                    <w:t>（</w:t>
                  </w:r>
                  <w:r>
                    <w:rPr>
                      <w:rFonts w:hint="eastAsia"/>
                      <w:kern w:val="0"/>
                      <w:sz w:val="21"/>
                      <w:szCs w:val="21"/>
                      <w:lang w:bidi="ar"/>
                    </w:rPr>
                    <w:t>辆/d</w:t>
                  </w:r>
                  <w:r>
                    <w:rPr>
                      <w:kern w:val="0"/>
                      <w:sz w:val="21"/>
                      <w:szCs w:val="21"/>
                      <w:lang w:bidi="ar"/>
                    </w:rPr>
                    <w:t xml:space="preserve"> )</w:t>
                  </w:r>
                </w:p>
              </w:tc>
              <w:tc>
                <w:tcPr>
                  <w:tcW w:w="160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15253</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17525</w:t>
                  </w:r>
                </w:p>
              </w:tc>
              <w:tc>
                <w:tcPr>
                  <w:tcW w:w="172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19128</w:t>
                  </w:r>
                </w:p>
              </w:tc>
            </w:tr>
          </w:tbl>
          <w:p>
            <w:pPr>
              <w:ind w:firstLine="480" w:firstLineChars="200"/>
              <w:rPr>
                <w:rFonts w:hint="eastAsia"/>
                <w:b/>
                <w:bCs/>
                <w:sz w:val="24"/>
              </w:rPr>
            </w:pPr>
            <w:r>
              <w:rPr>
                <w:rFonts w:hint="eastAsia"/>
                <w:sz w:val="24"/>
              </w:rPr>
              <w:t>昼间、夜间的划分按北京时间划分为昼间16个小时，即北京时间6∶00~22∶00；夜间8个小时，即北京时间22∶00~次日6∶00。通过调查，本项目所在地的昼间车流量约为日车流量的90%，夜间为日车流量的10%。本项目营运期交通量预测结果见表</w:t>
            </w:r>
            <w:r>
              <w:rPr>
                <w:rFonts w:hint="eastAsia"/>
                <w:sz w:val="24"/>
                <w:lang w:val="en-US" w:eastAsia="zh-CN"/>
              </w:rPr>
              <w:t>15</w:t>
            </w:r>
            <w:r>
              <w:rPr>
                <w:rFonts w:hint="eastAsia"/>
                <w:sz w:val="24"/>
              </w:rPr>
              <w:t>。</w:t>
            </w:r>
          </w:p>
          <w:p>
            <w:pPr>
              <w:jc w:val="center"/>
              <w:rPr>
                <w:b/>
                <w:bCs/>
                <w:sz w:val="24"/>
              </w:rPr>
            </w:pPr>
            <w:r>
              <w:rPr>
                <w:rFonts w:hint="eastAsia"/>
                <w:b/>
                <w:bCs/>
                <w:sz w:val="24"/>
              </w:rPr>
              <w:t>表</w:t>
            </w:r>
            <w:r>
              <w:rPr>
                <w:rFonts w:hint="eastAsia"/>
                <w:b/>
                <w:bCs/>
                <w:sz w:val="24"/>
                <w:lang w:val="en-US" w:eastAsia="zh-CN"/>
              </w:rPr>
              <w:t xml:space="preserve">15 </w:t>
            </w:r>
            <w:r>
              <w:rPr>
                <w:b/>
                <w:bCs/>
                <w:sz w:val="24"/>
              </w:rPr>
              <w:t xml:space="preserve"> </w:t>
            </w:r>
            <w:r>
              <w:rPr>
                <w:rFonts w:hint="eastAsia"/>
                <w:b/>
                <w:bCs/>
                <w:sz w:val="24"/>
              </w:rPr>
              <w:t>拟建道路营运期昼夜交通量预测结果（原车型）</w:t>
            </w:r>
          </w:p>
          <w:tbl>
            <w:tblPr>
              <w:tblStyle w:val="34"/>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94"/>
              <w:gridCol w:w="1417"/>
              <w:gridCol w:w="772"/>
              <w:gridCol w:w="780"/>
              <w:gridCol w:w="795"/>
              <w:gridCol w:w="840"/>
              <w:gridCol w:w="795"/>
              <w:gridCol w:w="825"/>
              <w:gridCol w:w="810"/>
              <w:gridCol w:w="82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Times New Roman" w:hAnsi="Times New Roman" w:eastAsia="宋体" w:cs="Arial"/>
                      <w:kern w:val="2"/>
                      <w:sz w:val="22"/>
                      <w:szCs w:val="21"/>
                      <w:lang w:val="en-US" w:eastAsia="zh-CN" w:bidi="ar-SA"/>
                    </w:rPr>
                  </w:pPr>
                  <w:r>
                    <w:rPr>
                      <w:rFonts w:hint="eastAsia" w:cs="Arial"/>
                      <w:sz w:val="22"/>
                      <w:szCs w:val="21"/>
                      <w:lang w:eastAsia="zh-CN"/>
                    </w:rPr>
                    <w:t>路段</w:t>
                  </w:r>
                </w:p>
              </w:tc>
              <w:tc>
                <w:tcPr>
                  <w:tcW w:w="1417" w:type="dxa"/>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时期</w:t>
                  </w:r>
                </w:p>
              </w:tc>
              <w:tc>
                <w:tcPr>
                  <w:tcW w:w="2347" w:type="dxa"/>
                  <w:gridSpan w:val="3"/>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202</w:t>
                  </w:r>
                  <w:r>
                    <w:rPr>
                      <w:rFonts w:hint="eastAsia"/>
                      <w:kern w:val="0"/>
                      <w:sz w:val="21"/>
                      <w:szCs w:val="21"/>
                      <w:lang w:val="en-US" w:eastAsia="zh-CN" w:bidi="ar"/>
                    </w:rPr>
                    <w:t>4</w:t>
                  </w:r>
                  <w:r>
                    <w:rPr>
                      <w:rFonts w:hint="eastAsia"/>
                      <w:kern w:val="0"/>
                      <w:sz w:val="21"/>
                      <w:szCs w:val="21"/>
                      <w:lang w:bidi="ar"/>
                    </w:rPr>
                    <w:t>年(近期)</w:t>
                  </w:r>
                </w:p>
              </w:tc>
              <w:tc>
                <w:tcPr>
                  <w:tcW w:w="2460" w:type="dxa"/>
                  <w:gridSpan w:val="3"/>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20</w:t>
                  </w:r>
                  <w:r>
                    <w:rPr>
                      <w:rFonts w:hint="eastAsia"/>
                      <w:kern w:val="0"/>
                      <w:sz w:val="21"/>
                      <w:szCs w:val="21"/>
                      <w:lang w:val="en-US" w:eastAsia="zh-CN" w:bidi="ar"/>
                    </w:rPr>
                    <w:t>30</w:t>
                  </w:r>
                  <w:r>
                    <w:rPr>
                      <w:rFonts w:hint="eastAsia"/>
                      <w:kern w:val="0"/>
                      <w:sz w:val="21"/>
                      <w:szCs w:val="21"/>
                      <w:lang w:bidi="ar"/>
                    </w:rPr>
                    <w:t>年(中期)</w:t>
                  </w:r>
                </w:p>
              </w:tc>
              <w:tc>
                <w:tcPr>
                  <w:tcW w:w="2550" w:type="dxa"/>
                  <w:gridSpan w:val="3"/>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kern w:val="0"/>
                      <w:sz w:val="21"/>
                      <w:szCs w:val="21"/>
                      <w:lang w:bidi="ar"/>
                    </w:rPr>
                    <w:t>20</w:t>
                  </w:r>
                  <w:r>
                    <w:rPr>
                      <w:rFonts w:hint="eastAsia"/>
                      <w:kern w:val="0"/>
                      <w:sz w:val="21"/>
                      <w:szCs w:val="21"/>
                      <w:lang w:bidi="ar"/>
                    </w:rPr>
                    <w:t>3</w:t>
                  </w:r>
                  <w:r>
                    <w:rPr>
                      <w:rFonts w:hint="eastAsia"/>
                      <w:kern w:val="0"/>
                      <w:sz w:val="21"/>
                      <w:szCs w:val="21"/>
                      <w:lang w:val="en-US" w:eastAsia="zh-CN" w:bidi="ar"/>
                    </w:rPr>
                    <w:t>8</w:t>
                  </w:r>
                  <w:r>
                    <w:rPr>
                      <w:rFonts w:hint="eastAsia"/>
                      <w:kern w:val="0"/>
                      <w:sz w:val="21"/>
                      <w:szCs w:val="21"/>
                      <w:lang w:bidi="ar"/>
                    </w:rPr>
                    <w:t>年(远期)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p>
              </w:tc>
              <w:tc>
                <w:tcPr>
                  <w:tcW w:w="1417"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p>
              </w:tc>
              <w:tc>
                <w:tcPr>
                  <w:tcW w:w="772"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小型车</w:t>
                  </w:r>
                </w:p>
              </w:tc>
              <w:tc>
                <w:tcPr>
                  <w:tcW w:w="780"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中型车</w:t>
                  </w:r>
                </w:p>
              </w:tc>
              <w:tc>
                <w:tcPr>
                  <w:tcW w:w="79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大型车</w:t>
                  </w:r>
                </w:p>
              </w:tc>
              <w:tc>
                <w:tcPr>
                  <w:tcW w:w="840"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小型车</w:t>
                  </w:r>
                </w:p>
              </w:tc>
              <w:tc>
                <w:tcPr>
                  <w:tcW w:w="79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中型车</w:t>
                  </w:r>
                </w:p>
              </w:tc>
              <w:tc>
                <w:tcPr>
                  <w:tcW w:w="82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大型车</w:t>
                  </w:r>
                </w:p>
              </w:tc>
              <w:tc>
                <w:tcPr>
                  <w:tcW w:w="810"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小型车</w:t>
                  </w:r>
                </w:p>
              </w:tc>
              <w:tc>
                <w:tcPr>
                  <w:tcW w:w="82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中型车</w:t>
                  </w:r>
                </w:p>
              </w:tc>
              <w:tc>
                <w:tcPr>
                  <w:tcW w:w="9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eastAsia="zh-CN" w:bidi="ar"/>
                    </w:rPr>
                    <w:t>马鞍路</w:t>
                  </w: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日平均</w:t>
                  </w:r>
                  <w:r>
                    <w:rPr>
                      <w:kern w:val="0"/>
                      <w:sz w:val="21"/>
                      <w:szCs w:val="21"/>
                      <w:lang w:bidi="ar"/>
                    </w:rPr>
                    <w:t>(</w:t>
                  </w:r>
                  <w:r>
                    <w:rPr>
                      <w:rFonts w:hint="eastAsia"/>
                      <w:kern w:val="0"/>
                      <w:sz w:val="21"/>
                      <w:szCs w:val="21"/>
                      <w:lang w:bidi="ar"/>
                    </w:rPr>
                    <w:t>辆</w:t>
                  </w:r>
                  <w:r>
                    <w:rPr>
                      <w:kern w:val="0"/>
                      <w:sz w:val="21"/>
                      <w:szCs w:val="21"/>
                      <w:lang w:bidi="ar"/>
                    </w:rPr>
                    <w:t>/</w:t>
                  </w:r>
                  <w:r>
                    <w:rPr>
                      <w:rFonts w:hint="eastAsia"/>
                      <w:kern w:val="0"/>
                      <w:sz w:val="21"/>
                      <w:szCs w:val="21"/>
                      <w:lang w:bidi="ar"/>
                    </w:rPr>
                    <w:t>日</w:t>
                  </w:r>
                  <w:r>
                    <w:rPr>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10279</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2937</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1468</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12064</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3447</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1724</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13568</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3876</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昼间(辆</w:t>
                  </w:r>
                  <w:r>
                    <w:rPr>
                      <w:kern w:val="0"/>
                      <w:sz w:val="21"/>
                      <w:szCs w:val="21"/>
                      <w:lang w:bidi="ar"/>
                    </w:rPr>
                    <w:t>/h</w:t>
                  </w:r>
                  <w:r>
                    <w:rPr>
                      <w:rFonts w:hint="eastAsia"/>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578</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165</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83</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679</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194</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97</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763</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218</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kern w:val="0"/>
                      <w:sz w:val="21"/>
                      <w:szCs w:val="21"/>
                      <w:lang w:val="en-US" w:eastAsia="zh-CN" w:bidi="ar"/>
                    </w:rPr>
                  </w:pP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kern w:val="0"/>
                      <w:sz w:val="21"/>
                      <w:szCs w:val="21"/>
                      <w:lang w:bidi="ar"/>
                    </w:rPr>
                  </w:pPr>
                  <w:r>
                    <w:rPr>
                      <w:rFonts w:hint="eastAsia"/>
                      <w:kern w:val="0"/>
                      <w:sz w:val="21"/>
                      <w:szCs w:val="21"/>
                      <w:lang w:bidi="ar"/>
                    </w:rPr>
                    <w:t>夜间(辆</w:t>
                  </w:r>
                  <w:r>
                    <w:rPr>
                      <w:kern w:val="0"/>
                      <w:sz w:val="21"/>
                      <w:szCs w:val="21"/>
                      <w:lang w:bidi="ar"/>
                    </w:rPr>
                    <w:t>/h</w:t>
                  </w:r>
                  <w:r>
                    <w:rPr>
                      <w:rFonts w:hint="eastAsia"/>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128</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37</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18</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151</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43</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22</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170</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48</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eastAsia="zh-CN" w:bidi="ar"/>
                    </w:rPr>
                  </w:pPr>
                  <w:r>
                    <w:rPr>
                      <w:rFonts w:hint="eastAsia"/>
                      <w:kern w:val="0"/>
                      <w:sz w:val="21"/>
                      <w:szCs w:val="21"/>
                      <w:lang w:eastAsia="zh-CN" w:bidi="ar"/>
                    </w:rPr>
                    <w:t>桃园路</w:t>
                  </w: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kern w:val="0"/>
                      <w:sz w:val="21"/>
                      <w:szCs w:val="21"/>
                      <w:lang w:bidi="ar"/>
                    </w:rPr>
                    <w:t>日平均</w:t>
                  </w:r>
                  <w:r>
                    <w:rPr>
                      <w:kern w:val="0"/>
                      <w:sz w:val="21"/>
                      <w:szCs w:val="21"/>
                      <w:lang w:bidi="ar"/>
                    </w:rPr>
                    <w:t>(</w:t>
                  </w:r>
                  <w:r>
                    <w:rPr>
                      <w:rFonts w:hint="eastAsia"/>
                      <w:kern w:val="0"/>
                      <w:sz w:val="21"/>
                      <w:szCs w:val="21"/>
                      <w:lang w:bidi="ar"/>
                    </w:rPr>
                    <w:t>辆</w:t>
                  </w:r>
                  <w:r>
                    <w:rPr>
                      <w:kern w:val="0"/>
                      <w:sz w:val="21"/>
                      <w:szCs w:val="21"/>
                      <w:lang w:bidi="ar"/>
                    </w:rPr>
                    <w:t>/</w:t>
                  </w:r>
                  <w:r>
                    <w:rPr>
                      <w:rFonts w:hint="eastAsia"/>
                      <w:kern w:val="0"/>
                      <w:sz w:val="21"/>
                      <w:szCs w:val="21"/>
                      <w:lang w:bidi="ar"/>
                    </w:rPr>
                    <w:t>日</w:t>
                  </w:r>
                  <w:r>
                    <w:rPr>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15821</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4520</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2260</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23003</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6572</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3287</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27307</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7802</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eastAsia="zh-CN" w:bidi="ar"/>
                    </w:rPr>
                  </w:pP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kern w:val="0"/>
                      <w:sz w:val="21"/>
                      <w:szCs w:val="21"/>
                      <w:lang w:bidi="ar"/>
                    </w:rPr>
                    <w:t>昼间(辆</w:t>
                  </w:r>
                  <w:r>
                    <w:rPr>
                      <w:kern w:val="0"/>
                      <w:sz w:val="21"/>
                      <w:szCs w:val="21"/>
                      <w:lang w:bidi="ar"/>
                    </w:rPr>
                    <w:t>/h</w:t>
                  </w:r>
                  <w:r>
                    <w:rPr>
                      <w:rFonts w:hint="eastAsia"/>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890</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254</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127</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1294</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370</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185</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1536</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439</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eastAsia="zh-CN" w:bidi="ar"/>
                    </w:rPr>
                  </w:pP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kern w:val="0"/>
                      <w:sz w:val="21"/>
                      <w:szCs w:val="21"/>
                      <w:lang w:bidi="ar"/>
                    </w:rPr>
                    <w:t>夜间(辆</w:t>
                  </w:r>
                  <w:r>
                    <w:rPr>
                      <w:kern w:val="0"/>
                      <w:sz w:val="21"/>
                      <w:szCs w:val="21"/>
                      <w:lang w:bidi="ar"/>
                    </w:rPr>
                    <w:t>/h</w:t>
                  </w:r>
                  <w:r>
                    <w:rPr>
                      <w:rFonts w:hint="eastAsia"/>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198</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57</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28</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288</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82</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41</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341</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98</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eastAsia="zh-CN" w:bidi="ar"/>
                    </w:rPr>
                  </w:pPr>
                  <w:r>
                    <w:rPr>
                      <w:rFonts w:hint="eastAsia"/>
                      <w:kern w:val="0"/>
                      <w:sz w:val="21"/>
                      <w:szCs w:val="21"/>
                      <w:lang w:eastAsia="zh-CN" w:bidi="ar"/>
                    </w:rPr>
                    <w:t>纬四路</w:t>
                  </w: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kern w:val="0"/>
                      <w:sz w:val="21"/>
                      <w:szCs w:val="21"/>
                      <w:lang w:bidi="ar"/>
                    </w:rPr>
                    <w:t>日平均</w:t>
                  </w:r>
                  <w:r>
                    <w:rPr>
                      <w:kern w:val="0"/>
                      <w:sz w:val="21"/>
                      <w:szCs w:val="21"/>
                      <w:lang w:bidi="ar"/>
                    </w:rPr>
                    <w:t>(</w:t>
                  </w:r>
                  <w:r>
                    <w:rPr>
                      <w:rFonts w:hint="eastAsia"/>
                      <w:kern w:val="0"/>
                      <w:sz w:val="21"/>
                      <w:szCs w:val="21"/>
                      <w:lang w:bidi="ar"/>
                    </w:rPr>
                    <w:t>辆</w:t>
                  </w:r>
                  <w:r>
                    <w:rPr>
                      <w:kern w:val="0"/>
                      <w:sz w:val="21"/>
                      <w:szCs w:val="21"/>
                      <w:lang w:bidi="ar"/>
                    </w:rPr>
                    <w:t>/</w:t>
                  </w:r>
                  <w:r>
                    <w:rPr>
                      <w:rFonts w:hint="eastAsia"/>
                      <w:kern w:val="0"/>
                      <w:sz w:val="21"/>
                      <w:szCs w:val="21"/>
                      <w:lang w:bidi="ar"/>
                    </w:rPr>
                    <w:t>日</w:t>
                  </w:r>
                  <w:r>
                    <w:rPr>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1967</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246</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246</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2696</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374</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374</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3932</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491</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eastAsia="zh-CN" w:bidi="ar"/>
                    </w:rPr>
                  </w:pP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kern w:val="0"/>
                      <w:sz w:val="21"/>
                      <w:szCs w:val="21"/>
                      <w:lang w:bidi="ar"/>
                    </w:rPr>
                    <w:t>昼间(辆</w:t>
                  </w:r>
                  <w:r>
                    <w:rPr>
                      <w:kern w:val="0"/>
                      <w:sz w:val="21"/>
                      <w:szCs w:val="21"/>
                      <w:lang w:bidi="ar"/>
                    </w:rPr>
                    <w:t>/h</w:t>
                  </w:r>
                  <w:r>
                    <w:rPr>
                      <w:rFonts w:hint="eastAsia"/>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111</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14</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14</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168</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21</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21</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221</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28</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eastAsia="zh-CN" w:bidi="ar"/>
                    </w:rPr>
                  </w:pP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kern w:val="0"/>
                      <w:sz w:val="21"/>
                      <w:szCs w:val="21"/>
                      <w:lang w:bidi="ar"/>
                    </w:rPr>
                    <w:t>夜间(辆</w:t>
                  </w:r>
                  <w:r>
                    <w:rPr>
                      <w:kern w:val="0"/>
                      <w:sz w:val="21"/>
                      <w:szCs w:val="21"/>
                      <w:lang w:bidi="ar"/>
                    </w:rPr>
                    <w:t>/h</w:t>
                  </w:r>
                  <w:r>
                    <w:rPr>
                      <w:rFonts w:hint="eastAsia"/>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25</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3</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3</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37</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5</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5</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49</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6</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eastAsia="zh-CN" w:bidi="ar"/>
                    </w:rPr>
                  </w:pPr>
                  <w:r>
                    <w:rPr>
                      <w:rFonts w:hint="eastAsia"/>
                      <w:kern w:val="0"/>
                      <w:sz w:val="21"/>
                      <w:szCs w:val="21"/>
                      <w:lang w:eastAsia="zh-CN" w:bidi="ar"/>
                    </w:rPr>
                    <w:t>百合路</w:t>
                  </w: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kern w:val="0"/>
                      <w:sz w:val="21"/>
                      <w:szCs w:val="21"/>
                      <w:lang w:bidi="ar"/>
                    </w:rPr>
                    <w:t>日平均</w:t>
                  </w:r>
                  <w:r>
                    <w:rPr>
                      <w:kern w:val="0"/>
                      <w:sz w:val="21"/>
                      <w:szCs w:val="21"/>
                      <w:lang w:bidi="ar"/>
                    </w:rPr>
                    <w:t>(</w:t>
                  </w:r>
                  <w:r>
                    <w:rPr>
                      <w:rFonts w:hint="eastAsia"/>
                      <w:kern w:val="0"/>
                      <w:sz w:val="21"/>
                      <w:szCs w:val="21"/>
                      <w:lang w:bidi="ar"/>
                    </w:rPr>
                    <w:t>辆</w:t>
                  </w:r>
                  <w:r>
                    <w:rPr>
                      <w:kern w:val="0"/>
                      <w:sz w:val="21"/>
                      <w:szCs w:val="21"/>
                      <w:lang w:bidi="ar"/>
                    </w:rPr>
                    <w:t>/</w:t>
                  </w:r>
                  <w:r>
                    <w:rPr>
                      <w:rFonts w:hint="eastAsia"/>
                      <w:kern w:val="0"/>
                      <w:sz w:val="21"/>
                      <w:szCs w:val="21"/>
                      <w:lang w:bidi="ar"/>
                    </w:rPr>
                    <w:t>日</w:t>
                  </w:r>
                  <w:r>
                    <w:rPr>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10677</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3051</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1525</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12268</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3505</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1752</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13390</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3825</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eastAsia="zh-CN" w:bidi="ar"/>
                    </w:rPr>
                  </w:pP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kern w:val="0"/>
                      <w:sz w:val="21"/>
                      <w:szCs w:val="21"/>
                      <w:lang w:bidi="ar"/>
                    </w:rPr>
                    <w:t>昼间(辆</w:t>
                  </w:r>
                  <w:r>
                    <w:rPr>
                      <w:kern w:val="0"/>
                      <w:sz w:val="21"/>
                      <w:szCs w:val="21"/>
                      <w:lang w:bidi="ar"/>
                    </w:rPr>
                    <w:t>/h</w:t>
                  </w:r>
                  <w:r>
                    <w:rPr>
                      <w:rFonts w:hint="eastAsia"/>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宋体" w:cs="Times New Roman"/>
                      <w:kern w:val="2"/>
                      <w:sz w:val="21"/>
                      <w:szCs w:val="21"/>
                      <w:lang w:val="en-US" w:eastAsia="zh-CN" w:bidi="ar-SA"/>
                    </w:rPr>
                  </w:pPr>
                  <w:r>
                    <w:rPr>
                      <w:rFonts w:hint="eastAsia"/>
                      <w:sz w:val="21"/>
                      <w:szCs w:val="21"/>
                      <w:lang w:val="en-US" w:eastAsia="zh-CN"/>
                    </w:rPr>
                    <w:t>601</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宋体" w:cs="Times New Roman"/>
                      <w:kern w:val="2"/>
                      <w:sz w:val="21"/>
                      <w:szCs w:val="21"/>
                      <w:lang w:val="en-US" w:eastAsia="zh-CN" w:bidi="ar-SA"/>
                    </w:rPr>
                  </w:pPr>
                  <w:r>
                    <w:rPr>
                      <w:rFonts w:hint="eastAsia"/>
                      <w:sz w:val="21"/>
                      <w:szCs w:val="21"/>
                      <w:lang w:val="en-US" w:eastAsia="zh-CN"/>
                    </w:rPr>
                    <w:t>172</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86</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690</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197</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99</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753</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215</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794"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eastAsia="zh-CN" w:bidi="ar"/>
                    </w:rPr>
                  </w:pPr>
                </w:p>
              </w:tc>
              <w:tc>
                <w:tcPr>
                  <w:tcW w:w="1417"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kern w:val="0"/>
                      <w:sz w:val="21"/>
                      <w:szCs w:val="21"/>
                      <w:lang w:bidi="ar"/>
                    </w:rPr>
                  </w:pPr>
                  <w:r>
                    <w:rPr>
                      <w:rFonts w:hint="eastAsia"/>
                      <w:kern w:val="0"/>
                      <w:sz w:val="21"/>
                      <w:szCs w:val="21"/>
                      <w:lang w:bidi="ar"/>
                    </w:rPr>
                    <w:t>夜间(辆</w:t>
                  </w:r>
                  <w:r>
                    <w:rPr>
                      <w:kern w:val="0"/>
                      <w:sz w:val="21"/>
                      <w:szCs w:val="21"/>
                      <w:lang w:bidi="ar"/>
                    </w:rPr>
                    <w:t>/h</w:t>
                  </w:r>
                  <w:r>
                    <w:rPr>
                      <w:rFonts w:hint="eastAsia"/>
                      <w:kern w:val="0"/>
                      <w:sz w:val="21"/>
                      <w:szCs w:val="21"/>
                      <w:lang w:bidi="ar"/>
                    </w:rPr>
                    <w:t>)</w:t>
                  </w:r>
                </w:p>
              </w:tc>
              <w:tc>
                <w:tcPr>
                  <w:tcW w:w="77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宋体" w:cs="Times New Roman"/>
                      <w:kern w:val="2"/>
                      <w:sz w:val="21"/>
                      <w:szCs w:val="21"/>
                      <w:lang w:val="en-US" w:eastAsia="zh-CN" w:bidi="ar-SA"/>
                    </w:rPr>
                  </w:pPr>
                  <w:r>
                    <w:rPr>
                      <w:rFonts w:hint="eastAsia"/>
                      <w:sz w:val="21"/>
                      <w:szCs w:val="21"/>
                      <w:lang w:val="en-US" w:eastAsia="zh-CN"/>
                    </w:rPr>
                    <w:t>133</w:t>
                  </w:r>
                </w:p>
              </w:tc>
              <w:tc>
                <w:tcPr>
                  <w:tcW w:w="7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宋体" w:cs="Times New Roman"/>
                      <w:kern w:val="2"/>
                      <w:sz w:val="21"/>
                      <w:szCs w:val="21"/>
                      <w:lang w:val="en-US" w:eastAsia="zh-CN" w:bidi="ar-SA"/>
                    </w:rPr>
                  </w:pPr>
                  <w:r>
                    <w:rPr>
                      <w:rFonts w:hint="eastAsia"/>
                      <w:sz w:val="21"/>
                      <w:szCs w:val="21"/>
                      <w:lang w:val="en-US" w:eastAsia="zh-CN"/>
                    </w:rPr>
                    <w:t>38</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19</w:t>
                  </w:r>
                </w:p>
              </w:tc>
              <w:tc>
                <w:tcPr>
                  <w:tcW w:w="84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153</w:t>
                  </w:r>
                </w:p>
              </w:tc>
              <w:tc>
                <w:tcPr>
                  <w:tcW w:w="7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44</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22</w:t>
                  </w:r>
                </w:p>
              </w:tc>
              <w:tc>
                <w:tcPr>
                  <w:tcW w:w="81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167</w:t>
                  </w:r>
                </w:p>
              </w:tc>
              <w:tc>
                <w:tcPr>
                  <w:tcW w:w="8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48</w:t>
                  </w:r>
                </w:p>
              </w:tc>
              <w:tc>
                <w:tcPr>
                  <w:tcW w:w="9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24</w:t>
                  </w:r>
                </w:p>
              </w:tc>
            </w:tr>
          </w:tbl>
          <w:p>
            <w:pPr>
              <w:ind w:firstLine="482" w:firstLineChars="200"/>
              <w:rPr>
                <w:b/>
                <w:bCs/>
                <w:kern w:val="0"/>
                <w:sz w:val="24"/>
              </w:rPr>
            </w:pPr>
            <w:r>
              <w:rPr>
                <w:b/>
                <w:bCs/>
                <w:kern w:val="0"/>
                <w:sz w:val="24"/>
              </w:rPr>
              <w:t>2.</w:t>
            </w:r>
            <w:r>
              <w:rPr>
                <w:rFonts w:hint="eastAsia"/>
                <w:b/>
                <w:bCs/>
                <w:kern w:val="0"/>
                <w:sz w:val="24"/>
                <w:lang w:val="en-US" w:eastAsia="zh-CN"/>
              </w:rPr>
              <w:t>9</w:t>
            </w:r>
            <w:r>
              <w:rPr>
                <w:b/>
                <w:bCs/>
                <w:kern w:val="0"/>
                <w:sz w:val="24"/>
              </w:rPr>
              <w:t>项目进度安排</w:t>
            </w:r>
          </w:p>
          <w:p>
            <w:pPr>
              <w:ind w:firstLine="560"/>
              <w:rPr>
                <w:rFonts w:hint="default" w:eastAsia="宋体"/>
                <w:lang w:val="en-US" w:eastAsia="zh-CN"/>
              </w:rPr>
            </w:pPr>
            <w:r>
              <w:rPr>
                <w:rFonts w:hint="default"/>
                <w:szCs w:val="28"/>
              </w:rPr>
              <w:t>根据项目具体情况，</w:t>
            </w:r>
            <w:r>
              <w:rPr>
                <w:szCs w:val="28"/>
              </w:rPr>
              <w:t>本项目总工期为</w:t>
            </w:r>
            <w:r>
              <w:rPr>
                <w:rFonts w:hint="eastAsia"/>
                <w:szCs w:val="28"/>
                <w:lang w:val="en-US" w:eastAsia="zh-CN"/>
              </w:rPr>
              <w:t>28</w:t>
            </w:r>
            <w:r>
              <w:rPr>
                <w:szCs w:val="28"/>
              </w:rPr>
              <w:t>个月，分两期实施，其中</w:t>
            </w:r>
            <w:r>
              <w:rPr>
                <w:rFonts w:hint="default"/>
              </w:rPr>
              <w:t>一期</w:t>
            </w:r>
            <w:r>
              <w:t>工程工期为</w:t>
            </w:r>
            <w:r>
              <w:rPr>
                <w:rFonts w:hint="default"/>
              </w:rPr>
              <w:t>2020年10月-2021年12月</w:t>
            </w:r>
            <w:r>
              <w:t>，建设</w:t>
            </w:r>
            <w:r>
              <w:rPr>
                <w:rFonts w:hint="default"/>
              </w:rPr>
              <w:t>百合路（马鞍路-云龙大道）、马鞍路（百合路-桃园路）、桃园路（马鞍路-纬四路）</w:t>
            </w:r>
            <w:r>
              <w:t>及</w:t>
            </w:r>
            <w:r>
              <w:rPr>
                <w:rFonts w:hint="default"/>
              </w:rPr>
              <w:t>纬四路（百合路-桃园路）</w:t>
            </w:r>
            <w:r>
              <w:t>；</w:t>
            </w:r>
            <w:r>
              <w:rPr>
                <w:rFonts w:hint="default"/>
              </w:rPr>
              <w:t>二期</w:t>
            </w:r>
            <w:r>
              <w:t>工程</w:t>
            </w:r>
            <w:r>
              <w:rPr>
                <w:rFonts w:hint="default"/>
              </w:rPr>
              <w:t>2022年4月-2023年6月</w:t>
            </w:r>
            <w:r>
              <w:t>，建设</w:t>
            </w:r>
            <w:r>
              <w:rPr>
                <w:rFonts w:hint="default"/>
              </w:rPr>
              <w:t>百合路（云峰大道-马鞍路）</w:t>
            </w:r>
            <w:r>
              <w:rPr>
                <w:rFonts w:hint="default"/>
                <w:szCs w:val="28"/>
              </w:rPr>
              <w:t>。具体里程碑节点工期</w:t>
            </w:r>
            <w:r>
              <w:rPr>
                <w:rFonts w:hint="eastAsia"/>
                <w:szCs w:val="28"/>
                <w:lang w:eastAsia="zh-CN"/>
              </w:rPr>
              <w:t>见表</w:t>
            </w:r>
            <w:r>
              <w:rPr>
                <w:rFonts w:hint="eastAsia"/>
                <w:szCs w:val="28"/>
                <w:lang w:val="en-US" w:eastAsia="zh-CN"/>
              </w:rPr>
              <w:t>16。</w:t>
            </w:r>
          </w:p>
          <w:p>
            <w:pPr>
              <w:bidi w:val="0"/>
              <w:jc w:val="center"/>
              <w:rPr>
                <w:rFonts w:hint="eastAsia" w:eastAsia="宋体"/>
                <w:b/>
                <w:bCs/>
                <w:lang w:eastAsia="zh-CN"/>
              </w:rPr>
            </w:pPr>
            <w:r>
              <w:rPr>
                <w:rFonts w:hint="eastAsia"/>
                <w:b/>
                <w:bCs/>
                <w:lang w:eastAsia="zh-CN"/>
              </w:rPr>
              <w:t>表</w:t>
            </w:r>
            <w:r>
              <w:rPr>
                <w:rFonts w:hint="eastAsia"/>
                <w:b/>
                <w:bCs/>
                <w:lang w:val="en-US" w:eastAsia="zh-CN"/>
              </w:rPr>
              <w:t xml:space="preserve">16  </w:t>
            </w:r>
            <w:r>
              <w:rPr>
                <w:rFonts w:hint="default"/>
                <w:b/>
                <w:bCs/>
              </w:rPr>
              <w:t>项目进度安排</w:t>
            </w:r>
            <w:r>
              <w:rPr>
                <w:rFonts w:hint="eastAsia"/>
                <w:b/>
                <w:bCs/>
                <w:lang w:eastAsia="zh-CN"/>
              </w:rPr>
              <w:t>表</w:t>
            </w:r>
          </w:p>
          <w:tbl>
            <w:tblPr>
              <w:tblStyle w:val="35"/>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135"/>
              <w:gridCol w:w="4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lang w:eastAsia="zh-CN"/>
                    </w:rPr>
                  </w:pPr>
                  <w:r>
                    <w:rPr>
                      <w:rFonts w:hint="eastAsia"/>
                      <w:sz w:val="21"/>
                      <w:szCs w:val="21"/>
                      <w:lang w:eastAsia="zh-CN"/>
                    </w:rPr>
                    <w:t>序号</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lang w:eastAsia="zh-CN"/>
                    </w:rPr>
                  </w:pPr>
                  <w:r>
                    <w:rPr>
                      <w:rFonts w:hint="eastAsia"/>
                      <w:sz w:val="21"/>
                      <w:szCs w:val="21"/>
                      <w:lang w:eastAsia="zh-CN"/>
                    </w:rPr>
                    <w:t>阶段</w:t>
                  </w:r>
                </w:p>
              </w:tc>
              <w:tc>
                <w:tcPr>
                  <w:tcW w:w="44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lang w:eastAsia="zh-CN"/>
                    </w:rPr>
                  </w:pPr>
                  <w:r>
                    <w:rPr>
                      <w:rFonts w:hint="eastAsia"/>
                      <w:sz w:val="21"/>
                      <w:szCs w:val="21"/>
                      <w:lang w:eastAsia="zh-CN"/>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lang w:val="en-US" w:eastAsia="zh-CN"/>
                    </w:rPr>
                  </w:pPr>
                  <w:r>
                    <w:rPr>
                      <w:rFonts w:hint="eastAsia"/>
                      <w:sz w:val="21"/>
                      <w:szCs w:val="21"/>
                      <w:lang w:val="en-US" w:eastAsia="zh-CN"/>
                    </w:rPr>
                    <w:t>1</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20</w:t>
                  </w:r>
                  <w:r>
                    <w:rPr>
                      <w:sz w:val="21"/>
                      <w:szCs w:val="21"/>
                    </w:rPr>
                    <w:t>20</w:t>
                  </w:r>
                  <w:r>
                    <w:rPr>
                      <w:rFonts w:hint="default"/>
                      <w:sz w:val="21"/>
                      <w:szCs w:val="21"/>
                    </w:rPr>
                    <w:t>年</w:t>
                  </w:r>
                  <w:r>
                    <w:rPr>
                      <w:sz w:val="21"/>
                      <w:szCs w:val="21"/>
                    </w:rPr>
                    <w:t>10</w:t>
                  </w:r>
                  <w:r>
                    <w:rPr>
                      <w:rFonts w:hint="default"/>
                      <w:sz w:val="21"/>
                      <w:szCs w:val="21"/>
                    </w:rPr>
                    <w:t>月</w:t>
                  </w:r>
                </w:p>
              </w:tc>
              <w:tc>
                <w:tcPr>
                  <w:tcW w:w="44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可研、工程招标等前期工作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lang w:val="en-US" w:eastAsia="zh-CN"/>
                    </w:rPr>
                  </w:pPr>
                  <w:r>
                    <w:rPr>
                      <w:rFonts w:hint="eastAsia"/>
                      <w:sz w:val="21"/>
                      <w:szCs w:val="21"/>
                      <w:lang w:val="en-US" w:eastAsia="zh-CN"/>
                    </w:rPr>
                    <w:t>2</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20</w:t>
                  </w:r>
                  <w:r>
                    <w:rPr>
                      <w:sz w:val="21"/>
                      <w:szCs w:val="21"/>
                    </w:rPr>
                    <w:t>20</w:t>
                  </w:r>
                  <w:r>
                    <w:rPr>
                      <w:rFonts w:hint="default"/>
                      <w:sz w:val="21"/>
                      <w:szCs w:val="21"/>
                    </w:rPr>
                    <w:t>年</w:t>
                  </w:r>
                  <w:r>
                    <w:rPr>
                      <w:sz w:val="21"/>
                      <w:szCs w:val="21"/>
                    </w:rPr>
                    <w:t>10</w:t>
                  </w:r>
                  <w:r>
                    <w:rPr>
                      <w:rFonts w:hint="default"/>
                      <w:sz w:val="21"/>
                      <w:szCs w:val="21"/>
                    </w:rPr>
                    <w:t>月-20</w:t>
                  </w:r>
                  <w:r>
                    <w:rPr>
                      <w:sz w:val="21"/>
                      <w:szCs w:val="21"/>
                    </w:rPr>
                    <w:t>21</w:t>
                  </w:r>
                  <w:r>
                    <w:rPr>
                      <w:rFonts w:hint="default"/>
                      <w:sz w:val="21"/>
                      <w:szCs w:val="21"/>
                    </w:rPr>
                    <w:t>年</w:t>
                  </w:r>
                  <w:r>
                    <w:rPr>
                      <w:sz w:val="21"/>
                      <w:szCs w:val="21"/>
                    </w:rPr>
                    <w:t>6</w:t>
                  </w:r>
                  <w:r>
                    <w:rPr>
                      <w:rFonts w:hint="default"/>
                      <w:sz w:val="21"/>
                      <w:szCs w:val="21"/>
                    </w:rPr>
                    <w:t>月</w:t>
                  </w:r>
                </w:p>
              </w:tc>
              <w:tc>
                <w:tcPr>
                  <w:tcW w:w="44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征地拆迁及土石方工程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lang w:val="en-US" w:eastAsia="zh-CN"/>
                    </w:rPr>
                  </w:pPr>
                  <w:r>
                    <w:rPr>
                      <w:rFonts w:hint="eastAsia"/>
                      <w:sz w:val="21"/>
                      <w:szCs w:val="21"/>
                      <w:lang w:val="en-US" w:eastAsia="zh-CN"/>
                    </w:rPr>
                    <w:t>3</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20</w:t>
                  </w:r>
                  <w:r>
                    <w:rPr>
                      <w:sz w:val="21"/>
                      <w:szCs w:val="21"/>
                    </w:rPr>
                    <w:t>21</w:t>
                  </w:r>
                  <w:r>
                    <w:rPr>
                      <w:rFonts w:hint="default"/>
                      <w:sz w:val="21"/>
                      <w:szCs w:val="21"/>
                    </w:rPr>
                    <w:t>年</w:t>
                  </w:r>
                  <w:r>
                    <w:rPr>
                      <w:sz w:val="21"/>
                      <w:szCs w:val="21"/>
                    </w:rPr>
                    <w:t>7</w:t>
                  </w:r>
                  <w:r>
                    <w:rPr>
                      <w:rFonts w:hint="default"/>
                      <w:sz w:val="21"/>
                      <w:szCs w:val="21"/>
                    </w:rPr>
                    <w:t>月-20</w:t>
                  </w:r>
                  <w:r>
                    <w:rPr>
                      <w:sz w:val="21"/>
                      <w:szCs w:val="21"/>
                    </w:rPr>
                    <w:t>21</w:t>
                  </w:r>
                  <w:r>
                    <w:rPr>
                      <w:rFonts w:hint="default"/>
                      <w:sz w:val="21"/>
                      <w:szCs w:val="21"/>
                    </w:rPr>
                    <w:t>年</w:t>
                  </w:r>
                  <w:r>
                    <w:rPr>
                      <w:sz w:val="21"/>
                      <w:szCs w:val="21"/>
                    </w:rPr>
                    <w:t>7</w:t>
                  </w:r>
                  <w:r>
                    <w:rPr>
                      <w:rFonts w:hint="default"/>
                      <w:sz w:val="21"/>
                      <w:szCs w:val="21"/>
                    </w:rPr>
                    <w:t>月</w:t>
                  </w:r>
                </w:p>
              </w:tc>
              <w:tc>
                <w:tcPr>
                  <w:tcW w:w="44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sz w:val="21"/>
                      <w:szCs w:val="21"/>
                    </w:rPr>
                    <w:t>一期工程</w:t>
                  </w:r>
                  <w:r>
                    <w:rPr>
                      <w:rFonts w:hint="default"/>
                      <w:sz w:val="21"/>
                      <w:szCs w:val="21"/>
                    </w:rPr>
                    <w:t>道路主体工程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lang w:val="en-US" w:eastAsia="zh-CN"/>
                    </w:rPr>
                  </w:pPr>
                  <w:r>
                    <w:rPr>
                      <w:rFonts w:hint="eastAsia"/>
                      <w:sz w:val="21"/>
                      <w:szCs w:val="21"/>
                      <w:lang w:val="en-US" w:eastAsia="zh-CN"/>
                    </w:rPr>
                    <w:t>4</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20</w:t>
                  </w:r>
                  <w:r>
                    <w:rPr>
                      <w:sz w:val="21"/>
                      <w:szCs w:val="21"/>
                    </w:rPr>
                    <w:t>21</w:t>
                  </w:r>
                  <w:r>
                    <w:rPr>
                      <w:rFonts w:hint="default"/>
                      <w:sz w:val="21"/>
                      <w:szCs w:val="21"/>
                    </w:rPr>
                    <w:t>年</w:t>
                  </w:r>
                  <w:r>
                    <w:rPr>
                      <w:sz w:val="21"/>
                      <w:szCs w:val="21"/>
                    </w:rPr>
                    <w:t>8</w:t>
                  </w:r>
                  <w:r>
                    <w:rPr>
                      <w:rFonts w:hint="default"/>
                      <w:sz w:val="21"/>
                      <w:szCs w:val="21"/>
                    </w:rPr>
                    <w:t>月</w:t>
                  </w:r>
                  <w:r>
                    <w:rPr>
                      <w:sz w:val="21"/>
                      <w:szCs w:val="21"/>
                    </w:rPr>
                    <w:t>初</w:t>
                  </w:r>
                  <w:r>
                    <w:rPr>
                      <w:rFonts w:hint="default"/>
                      <w:sz w:val="21"/>
                      <w:szCs w:val="21"/>
                    </w:rPr>
                    <w:t>-20</w:t>
                  </w:r>
                  <w:r>
                    <w:rPr>
                      <w:sz w:val="21"/>
                      <w:szCs w:val="21"/>
                    </w:rPr>
                    <w:t>21</w:t>
                  </w:r>
                  <w:r>
                    <w:rPr>
                      <w:rFonts w:hint="default"/>
                      <w:sz w:val="21"/>
                      <w:szCs w:val="21"/>
                    </w:rPr>
                    <w:t>年</w:t>
                  </w:r>
                  <w:r>
                    <w:rPr>
                      <w:sz w:val="21"/>
                      <w:szCs w:val="21"/>
                    </w:rPr>
                    <w:t>12</w:t>
                  </w:r>
                  <w:r>
                    <w:rPr>
                      <w:rFonts w:hint="default"/>
                      <w:sz w:val="21"/>
                      <w:szCs w:val="21"/>
                    </w:rPr>
                    <w:t>月</w:t>
                  </w:r>
                </w:p>
              </w:tc>
              <w:tc>
                <w:tcPr>
                  <w:tcW w:w="44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sz w:val="21"/>
                      <w:szCs w:val="21"/>
                    </w:rPr>
                    <w:t>一期</w:t>
                  </w:r>
                  <w:r>
                    <w:rPr>
                      <w:rFonts w:hint="default"/>
                      <w:sz w:val="21"/>
                      <w:szCs w:val="21"/>
                    </w:rPr>
                    <w:t>绿化工程、照明工程及道路附属工程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lang w:val="en-US" w:eastAsia="zh-CN"/>
                    </w:rPr>
                  </w:pPr>
                  <w:r>
                    <w:rPr>
                      <w:rFonts w:hint="eastAsia"/>
                      <w:sz w:val="21"/>
                      <w:szCs w:val="21"/>
                      <w:lang w:val="en-US" w:eastAsia="zh-CN"/>
                    </w:rPr>
                    <w:t>5</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20</w:t>
                  </w:r>
                  <w:r>
                    <w:rPr>
                      <w:sz w:val="21"/>
                      <w:szCs w:val="21"/>
                    </w:rPr>
                    <w:t>22</w:t>
                  </w:r>
                  <w:r>
                    <w:rPr>
                      <w:rFonts w:hint="default"/>
                      <w:sz w:val="21"/>
                      <w:szCs w:val="21"/>
                    </w:rPr>
                    <w:t>年</w:t>
                  </w:r>
                  <w:r>
                    <w:rPr>
                      <w:sz w:val="21"/>
                      <w:szCs w:val="21"/>
                    </w:rPr>
                    <w:t>4</w:t>
                  </w:r>
                  <w:r>
                    <w:rPr>
                      <w:rFonts w:hint="default"/>
                      <w:sz w:val="21"/>
                      <w:szCs w:val="21"/>
                    </w:rPr>
                    <w:t>月-20</w:t>
                  </w:r>
                  <w:r>
                    <w:rPr>
                      <w:sz w:val="21"/>
                      <w:szCs w:val="21"/>
                    </w:rPr>
                    <w:t>23</w:t>
                  </w:r>
                  <w:r>
                    <w:rPr>
                      <w:rFonts w:hint="default"/>
                      <w:sz w:val="21"/>
                      <w:szCs w:val="21"/>
                    </w:rPr>
                    <w:t>年</w:t>
                  </w:r>
                  <w:r>
                    <w:rPr>
                      <w:sz w:val="21"/>
                      <w:szCs w:val="21"/>
                    </w:rPr>
                    <w:t>2</w:t>
                  </w:r>
                  <w:r>
                    <w:rPr>
                      <w:rFonts w:hint="default"/>
                      <w:sz w:val="21"/>
                      <w:szCs w:val="21"/>
                    </w:rPr>
                    <w:t>月</w:t>
                  </w:r>
                </w:p>
              </w:tc>
              <w:tc>
                <w:tcPr>
                  <w:tcW w:w="44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sz w:val="21"/>
                      <w:szCs w:val="21"/>
                    </w:rPr>
                    <w:t>二期工程</w:t>
                  </w:r>
                  <w:r>
                    <w:rPr>
                      <w:rFonts w:hint="default"/>
                      <w:sz w:val="21"/>
                      <w:szCs w:val="21"/>
                    </w:rPr>
                    <w:t>道路主体工程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lang w:val="en-US" w:eastAsia="zh-CN"/>
                    </w:rPr>
                  </w:pPr>
                  <w:r>
                    <w:rPr>
                      <w:rFonts w:hint="eastAsia"/>
                      <w:sz w:val="21"/>
                      <w:szCs w:val="21"/>
                      <w:lang w:val="en-US" w:eastAsia="zh-CN"/>
                    </w:rPr>
                    <w:t>6</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20</w:t>
                  </w:r>
                  <w:r>
                    <w:rPr>
                      <w:sz w:val="21"/>
                      <w:szCs w:val="21"/>
                    </w:rPr>
                    <w:t>23</w:t>
                  </w:r>
                  <w:r>
                    <w:rPr>
                      <w:rFonts w:hint="default"/>
                      <w:sz w:val="21"/>
                      <w:szCs w:val="21"/>
                    </w:rPr>
                    <w:t>年</w:t>
                  </w:r>
                  <w:r>
                    <w:rPr>
                      <w:sz w:val="21"/>
                      <w:szCs w:val="21"/>
                    </w:rPr>
                    <w:t>2</w:t>
                  </w:r>
                  <w:r>
                    <w:rPr>
                      <w:rFonts w:hint="default"/>
                      <w:sz w:val="21"/>
                      <w:szCs w:val="21"/>
                    </w:rPr>
                    <w:t>月</w:t>
                  </w:r>
                  <w:r>
                    <w:rPr>
                      <w:sz w:val="21"/>
                      <w:szCs w:val="21"/>
                    </w:rPr>
                    <w:t>初</w:t>
                  </w:r>
                  <w:r>
                    <w:rPr>
                      <w:rFonts w:hint="default"/>
                      <w:sz w:val="21"/>
                      <w:szCs w:val="21"/>
                    </w:rPr>
                    <w:t>-20</w:t>
                  </w:r>
                  <w:r>
                    <w:rPr>
                      <w:sz w:val="21"/>
                      <w:szCs w:val="21"/>
                    </w:rPr>
                    <w:t>23</w:t>
                  </w:r>
                  <w:r>
                    <w:rPr>
                      <w:rFonts w:hint="default"/>
                      <w:sz w:val="21"/>
                      <w:szCs w:val="21"/>
                    </w:rPr>
                    <w:t>年</w:t>
                  </w:r>
                  <w:r>
                    <w:rPr>
                      <w:sz w:val="21"/>
                      <w:szCs w:val="21"/>
                    </w:rPr>
                    <w:t>5</w:t>
                  </w:r>
                  <w:r>
                    <w:rPr>
                      <w:rFonts w:hint="default"/>
                      <w:sz w:val="21"/>
                      <w:szCs w:val="21"/>
                    </w:rPr>
                    <w:t>月</w:t>
                  </w:r>
                </w:p>
              </w:tc>
              <w:tc>
                <w:tcPr>
                  <w:tcW w:w="44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sz w:val="21"/>
                      <w:szCs w:val="21"/>
                    </w:rPr>
                    <w:t>二期</w:t>
                  </w:r>
                  <w:r>
                    <w:rPr>
                      <w:rFonts w:hint="default"/>
                      <w:sz w:val="21"/>
                      <w:szCs w:val="21"/>
                    </w:rPr>
                    <w:t>绿化工程、照明工程及道路附属工程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lang w:val="en-US" w:eastAsia="zh-CN"/>
                    </w:rPr>
                  </w:pPr>
                  <w:r>
                    <w:rPr>
                      <w:rFonts w:hint="eastAsia"/>
                      <w:sz w:val="21"/>
                      <w:szCs w:val="21"/>
                      <w:lang w:val="en-US" w:eastAsia="zh-CN"/>
                    </w:rPr>
                    <w:t>7</w:t>
                  </w:r>
                </w:p>
              </w:tc>
              <w:tc>
                <w:tcPr>
                  <w:tcW w:w="31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20</w:t>
                  </w:r>
                  <w:r>
                    <w:rPr>
                      <w:sz w:val="21"/>
                      <w:szCs w:val="21"/>
                    </w:rPr>
                    <w:t>23</w:t>
                  </w:r>
                  <w:r>
                    <w:rPr>
                      <w:rFonts w:hint="default"/>
                      <w:sz w:val="21"/>
                      <w:szCs w:val="21"/>
                    </w:rPr>
                    <w:t>年</w:t>
                  </w:r>
                  <w:r>
                    <w:rPr>
                      <w:sz w:val="21"/>
                      <w:szCs w:val="21"/>
                    </w:rPr>
                    <w:t>6</w:t>
                  </w:r>
                  <w:r>
                    <w:rPr>
                      <w:rFonts w:hint="default"/>
                      <w:sz w:val="21"/>
                      <w:szCs w:val="21"/>
                    </w:rPr>
                    <w:t>月</w:t>
                  </w:r>
                </w:p>
              </w:tc>
              <w:tc>
                <w:tcPr>
                  <w:tcW w:w="443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rPr>
                  </w:pPr>
                  <w:r>
                    <w:rPr>
                      <w:rFonts w:hint="default"/>
                      <w:sz w:val="21"/>
                      <w:szCs w:val="21"/>
                    </w:rPr>
                    <w:t>竣工验收</w:t>
                  </w:r>
                </w:p>
              </w:tc>
            </w:tr>
          </w:tbl>
          <w:p>
            <w:pPr>
              <w:tabs>
                <w:tab w:val="left" w:pos="5790"/>
              </w:tabs>
              <w:ind w:firstLine="482" w:firstLineChars="200"/>
              <w:rPr>
                <w:b/>
                <w:bCs/>
                <w:kern w:val="0"/>
                <w:sz w:val="24"/>
              </w:rPr>
            </w:pPr>
            <w:r>
              <w:rPr>
                <w:b/>
                <w:bCs/>
                <w:kern w:val="0"/>
                <w:sz w:val="24"/>
              </w:rPr>
              <w:t>2.</w:t>
            </w:r>
            <w:r>
              <w:rPr>
                <w:rFonts w:hint="eastAsia"/>
                <w:b/>
                <w:bCs/>
                <w:kern w:val="0"/>
                <w:sz w:val="24"/>
                <w:lang w:val="en-US" w:eastAsia="zh-CN"/>
              </w:rPr>
              <w:t>10</w:t>
            </w:r>
            <w:r>
              <w:rPr>
                <w:rFonts w:hint="eastAsia"/>
                <w:b/>
                <w:bCs/>
                <w:kern w:val="0"/>
                <w:sz w:val="24"/>
              </w:rPr>
              <w:t>投资估算</w:t>
            </w:r>
            <w:r>
              <w:rPr>
                <w:b/>
                <w:bCs/>
                <w:kern w:val="0"/>
                <w:sz w:val="24"/>
              </w:rPr>
              <w:tab/>
            </w:r>
          </w:p>
          <w:p>
            <w:pPr>
              <w:ind w:firstLine="480" w:firstLineChars="200"/>
              <w:rPr>
                <w:rFonts w:hint="eastAsia" w:eastAsia="宋体"/>
                <w:sz w:val="24"/>
                <w:lang w:eastAsia="zh-CN"/>
              </w:rPr>
            </w:pPr>
            <w:r>
              <w:rPr>
                <w:rFonts w:hint="eastAsia"/>
                <w:sz w:val="24"/>
              </w:rPr>
              <w:t>项目投资估算总额为23989.38万元，其中：工程费用13019.53万元，工程建设其他费用9273.95万元</w:t>
            </w:r>
            <w:r>
              <w:rPr>
                <w:rFonts w:hint="eastAsia"/>
                <w:sz w:val="24"/>
                <w:lang w:eastAsia="zh-CN"/>
              </w:rPr>
              <w:t>，</w:t>
            </w:r>
            <w:r>
              <w:rPr>
                <w:rFonts w:hint="eastAsia"/>
                <w:sz w:val="24"/>
              </w:rPr>
              <w:t>预备费1419.38万元，建设期利息276.52万元</w:t>
            </w:r>
            <w:r>
              <w:rPr>
                <w:rFonts w:hint="eastAsia"/>
                <w:sz w:val="24"/>
                <w:lang w:eastAsia="zh-CN"/>
              </w:rPr>
              <w:t>。</w:t>
            </w:r>
            <w:r>
              <w:rPr>
                <w:rFonts w:hint="eastAsia"/>
                <w:sz w:val="24"/>
              </w:rPr>
              <w:t>本项目开发投资的资金来源为：</w:t>
            </w:r>
            <w:r>
              <w:rPr>
                <w:rFonts w:hint="default"/>
                <w:szCs w:val="28"/>
              </w:rPr>
              <w:t>本</w:t>
            </w:r>
            <w:r>
              <w:rPr>
                <w:szCs w:val="28"/>
              </w:rPr>
              <w:t>自筹资金为16079.38万元</w:t>
            </w:r>
            <w:r>
              <w:rPr>
                <w:rFonts w:hint="eastAsia"/>
                <w:szCs w:val="28"/>
                <w:lang w:eastAsia="zh-CN"/>
              </w:rPr>
              <w:t>，</w:t>
            </w:r>
            <w:r>
              <w:rPr>
                <w:szCs w:val="28"/>
              </w:rPr>
              <w:t>专项债资金为7910.00万元</w:t>
            </w:r>
            <w:r>
              <w:rPr>
                <w:rFonts w:hint="eastAsia"/>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5" w:hRule="atLeast"/>
          <w:jc w:val="center"/>
        </w:trPr>
        <w:tc>
          <w:tcPr>
            <w:tcW w:w="9776" w:type="dxa"/>
            <w:gridSpan w:val="8"/>
            <w:tcBorders>
              <w:bottom w:val="single" w:color="auto" w:sz="4" w:space="0"/>
            </w:tcBorders>
          </w:tcPr>
          <w:p>
            <w:pPr>
              <w:rPr>
                <w:b/>
                <w:bCs/>
                <w:sz w:val="28"/>
                <w:szCs w:val="28"/>
                <w:highlight w:val="yellow"/>
              </w:rPr>
            </w:pPr>
            <w:r>
              <w:rPr>
                <w:rFonts w:hint="eastAsia"/>
                <w:b/>
                <w:bCs/>
                <w:sz w:val="28"/>
                <w:szCs w:val="28"/>
                <w:highlight w:val="none"/>
              </w:rPr>
              <w:t>与本项目有关的原有污染情况及主要环境问题</w:t>
            </w:r>
          </w:p>
          <w:p>
            <w:pPr>
              <w:bidi w:val="0"/>
              <w:ind w:firstLine="480" w:firstLineChars="200"/>
            </w:pPr>
            <w:r>
              <w:rPr>
                <w:rFonts w:hint="eastAsia"/>
              </w:rPr>
              <w:t>经现场察看，</w:t>
            </w:r>
            <w:r>
              <w:rPr>
                <w:rFonts w:hint="default"/>
              </w:rPr>
              <w:t>本项目规划区域范围内</w:t>
            </w:r>
            <w:r>
              <w:rPr>
                <w:rFonts w:hint="eastAsia"/>
                <w:lang w:val="en-US" w:eastAsia="zh-CN"/>
              </w:rPr>
              <w:t>除部分建设用地外，基本为农田、水塘、丘陵、菜地、荒地与部分林地</w:t>
            </w:r>
            <w:r>
              <w:rPr>
                <w:rFonts w:hint="eastAsia"/>
                <w:lang w:eastAsia="zh-CN"/>
              </w:rPr>
              <w:t>，</w:t>
            </w:r>
            <w:r>
              <w:rPr>
                <w:rFonts w:hint="eastAsia"/>
                <w:color w:val="auto"/>
                <w:sz w:val="24"/>
              </w:rPr>
              <w:t>无与项目有关的环境问题。</w:t>
            </w:r>
          </w:p>
        </w:tc>
      </w:tr>
    </w:tbl>
    <w:p>
      <w:pPr>
        <w:jc w:val="left"/>
        <w:outlineLvl w:val="0"/>
        <w:rPr>
          <w:rFonts w:cs="宋体"/>
          <w:b/>
          <w:bCs/>
          <w:sz w:val="28"/>
        </w:rPr>
      </w:pPr>
      <w:r>
        <w:rPr>
          <w:rFonts w:hint="eastAsia" w:cs="宋体"/>
          <w:b/>
          <w:bCs/>
          <w:sz w:val="28"/>
        </w:rPr>
        <w:t>建设项目所在地自然社会环境简况</w:t>
      </w:r>
    </w:p>
    <w:tbl>
      <w:tblPr>
        <w:tblStyle w:val="34"/>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31" w:type="dxa"/>
          </w:tcPr>
          <w:p>
            <w:pPr>
              <w:bidi w:val="0"/>
            </w:pPr>
            <w:r>
              <w:rPr>
                <w:rFonts w:hint="eastAsia"/>
              </w:rPr>
              <w:t>自然环境简况（地形、地貌、地质、气候、气象、水文、植被、生物多样性等）</w:t>
            </w:r>
          </w:p>
          <w:p>
            <w:pPr>
              <w:ind w:firstLine="480" w:firstLineChars="200"/>
              <w:jc w:val="left"/>
            </w:pPr>
            <w:r>
              <w:t>1、地理位置</w:t>
            </w:r>
          </w:p>
          <w:p>
            <w:pPr>
              <w:bidi w:val="0"/>
              <w:ind w:firstLine="480" w:firstLineChars="200"/>
              <w:rPr>
                <w:rFonts w:hint="eastAsia"/>
              </w:rPr>
            </w:pPr>
            <w:r>
              <w:rPr>
                <w:rFonts w:hint="eastAsia"/>
              </w:rPr>
              <w:t>株洲市是我国南方重要的交通枢纽，铁路有京广、浙赣、湘黔三大干线在此交汇；道路四通八达，106、320国道和京珠高速道路穿境而过；水路以湘江为主，通江达海，四季通航。株洲市位于湖南省东部，湘江中下游，罗宵山脉西麓，南岭山脉至江汉平原的倾斜地段上，地跨东经125°57′30″～114°07′15″、北纬26°03′05″～28°01′27″，南北长219.25km，东西宽88.75km，地域总面积11272 km2，占全省总面积的5.32%。</w:t>
            </w:r>
          </w:p>
          <w:p>
            <w:pPr>
              <w:bidi w:val="0"/>
              <w:ind w:firstLine="480" w:firstLineChars="200"/>
            </w:pPr>
            <w:r>
              <w:t>株洲云龙示范区位于长株潭城市群东线重点发展轴上，150 公里半径内有长沙、株洲、湘潭、岳阳、益阳、娄底、衡阳、萍乡等8个地级市，是株洲市未来重要的建设拓展区，也是株洲市与长沙市接轨的关键性节点、枢纽区域。长株、上瑞高速公路贯穿其中，即将开工建设株洲至长沙洞井的红楠大道等城市主干道将穿境而过。云龙示范区距长沙、株洲、湘潭市中心均约20分钟车程。特别是长沙空港、高铁站提供了最佳区域交通支撑 条件，在接受黄花空港的辐射、带动、发展临空经济方面，株洲云龙示范区集聚了最佳的发展潜力。同时，随着长株潭核心区“七纵七横”的城际主干道、</w:t>
            </w:r>
            <w:r>
              <w:rPr>
                <w:rFonts w:hint="eastAsia"/>
                <w:lang w:eastAsia="zh-CN"/>
              </w:rPr>
              <w:t>“</w:t>
            </w:r>
            <w:r>
              <w:rPr>
                <w:rFonts w:hint="eastAsia"/>
                <w:lang w:val="en-US" w:eastAsia="zh-CN"/>
              </w:rPr>
              <w:t>3+5</w:t>
            </w:r>
            <w:r>
              <w:rPr>
                <w:rFonts w:hint="eastAsia"/>
                <w:lang w:eastAsia="zh-CN"/>
              </w:rPr>
              <w:t>”</w:t>
            </w:r>
            <w:r>
              <w:t>城市群高速路网相继开工建设，云龙示范区的区位交通优势将进一步彰显。</w:t>
            </w:r>
          </w:p>
          <w:p>
            <w:pPr>
              <w:ind w:firstLine="480" w:firstLineChars="200"/>
              <w:rPr>
                <w:rFonts w:hint="default"/>
                <w:lang w:val="en-US" w:eastAsia="zh-CN"/>
              </w:rPr>
            </w:pPr>
            <w:r>
              <w:rPr>
                <w:rFonts w:hint="eastAsia"/>
              </w:rPr>
              <w:t>本项目位于株洲市云龙示范区</w:t>
            </w:r>
            <w:r>
              <w:rPr>
                <w:rFonts w:hint="eastAsia"/>
                <w:lang w:eastAsia="zh-CN"/>
              </w:rPr>
              <w:t>。</w:t>
            </w:r>
          </w:p>
          <w:p>
            <w:pPr>
              <w:ind w:firstLine="480" w:firstLineChars="200"/>
              <w:jc w:val="left"/>
            </w:pPr>
            <w:r>
              <w:t>2、地形地貌</w:t>
            </w:r>
          </w:p>
          <w:p>
            <w:pPr>
              <w:bidi w:val="0"/>
              <w:ind w:firstLine="480" w:firstLineChars="200"/>
            </w:pPr>
            <w:r>
              <w:rPr>
                <w:rFonts w:hint="eastAsia"/>
              </w:rPr>
              <w:t>株洲市位于罗霄山脉西麓，南岭山脉至江汉平原的倾斜地段上，市域总的地势东南高、西北低。北中部地形岭谷相间，盆地呈带状展布；东南部均为山地，山峦迭障，地势雄伟。</w:t>
            </w:r>
          </w:p>
          <w:p>
            <w:pPr>
              <w:bidi w:val="0"/>
              <w:ind w:firstLine="480" w:firstLineChars="200"/>
            </w:pPr>
            <w:r>
              <w:rPr>
                <w:rFonts w:hint="eastAsia"/>
              </w:rPr>
              <w:t>水域637.27平方公里，占市域总面积的5.66%；平原1843.25平方公里,占16.37%；低岗地1449.86平方公里，占12.87%；高岗地738.74平方公里，占6.56%；丘陵1916.61平方公里，占17.02%；山地4676.47平方公里，占41.52%。山地主要集中于市域东南部，岗地以市域中北部居多，平原沿湘江两岸分布。本项目规划区域范围内以自然缓丘绿化为主，地面植被覆盖丰富，整个区域具有良好的自然环境条件，除部分建设用地外，基本为农田、水塘、丘陵、菜地、荒地与部分林地。项目区域保持较为完整的水系和林系，具有较强的自然调控能力。</w:t>
            </w:r>
          </w:p>
          <w:p>
            <w:pPr>
              <w:ind w:firstLine="480" w:firstLineChars="200"/>
              <w:jc w:val="left"/>
              <w:rPr>
                <w:rFonts w:hint="eastAsia"/>
                <w:lang w:eastAsia="zh-CN"/>
              </w:rPr>
            </w:pPr>
            <w:r>
              <w:rPr>
                <w:rFonts w:hint="eastAsia"/>
              </w:rPr>
              <w:t>拟建道路位于株洲盆地中部，结合地质图及工程地质测绘成果，地貌单元属剥蚀残丘，低丘与冲沟谷地相间，沿线微地貌单元主为剥蚀残丘，沿线地表起伏较大。根据株洲市地质情况，结合项目周边已建成及已规划建设项目的地质情况，本项目基本排除岩溶、滑坡、泥石流、危岩及崩塌、采空区、地面沉降等不良工程地质作用</w:t>
            </w:r>
            <w:r>
              <w:rPr>
                <w:rFonts w:hint="eastAsia"/>
                <w:lang w:eastAsia="zh-CN"/>
              </w:rPr>
              <w:t>。</w:t>
            </w:r>
          </w:p>
          <w:p>
            <w:pPr>
              <w:ind w:firstLine="480" w:firstLineChars="200"/>
              <w:jc w:val="left"/>
            </w:pPr>
            <w:r>
              <w:t>3、气候气象</w:t>
            </w:r>
            <w:r>
              <w:rPr>
                <w:rFonts w:hint="eastAsia"/>
                <w:lang w:val="en-US" w:eastAsia="zh-CN"/>
              </w:rPr>
              <w:t xml:space="preserve">       </w:t>
            </w:r>
          </w:p>
          <w:p>
            <w:pPr>
              <w:bidi w:val="0"/>
              <w:ind w:firstLine="480" w:firstLineChars="200"/>
            </w:pPr>
            <w:r>
              <w:t>株洲市属中亚热带季风湿润性气候区，具有明显的季风气候，并有一定的大陆特征。气候湿润多雨，光热丰富，四季分明，表现为春温多变、夏多暑热、秋高气爽、冬少严寒、雨水充沛、热量丰富、涝重于旱。</w:t>
            </w:r>
          </w:p>
          <w:p>
            <w:pPr>
              <w:bidi w:val="0"/>
              <w:ind w:firstLine="480" w:firstLineChars="200"/>
            </w:pPr>
            <w:r>
              <w:t>年平均气温为17.5℃，月平均气温1月最低约5℃、7月最高约29.8℃、极端最高气温达40.5℃，极端最低气温-11.5℃。</w:t>
            </w:r>
          </w:p>
          <w:p>
            <w:pPr>
              <w:bidi w:val="0"/>
              <w:ind w:firstLine="480" w:firstLineChars="200"/>
            </w:pPr>
            <w:r>
              <w:t>年平均降雨量为1409.5mm，日降雨量大于0.1 mm的有154.7天，大于50mm的有68.4天，最大日降雨量195.7 mm。降水主要集中在4～6月，7～10月为旱季，干旱频率为57%，洪涝频率为73%。</w:t>
            </w:r>
          </w:p>
          <w:p>
            <w:pPr>
              <w:bidi w:val="0"/>
              <w:ind w:firstLine="480" w:firstLineChars="200"/>
            </w:pPr>
            <w:r>
              <w:t>常年主导风向为西北偏北风，频率为16.6%。冬季主导风向西北偏北风，频率24.1%，夏季主导风向东南偏南风，频率15.6%。静风频率22.9%。年平均风速为2.2 m/s，夏季平均风速为2.3 m/s，冬季为2.1 m/s。月平均风速以7月最高达2.5 m/s，2月最低，为1.9 m/s。</w:t>
            </w:r>
          </w:p>
          <w:p>
            <w:pPr>
              <w:ind w:firstLine="480" w:firstLineChars="200"/>
              <w:jc w:val="left"/>
            </w:pPr>
            <w:r>
              <w:t>4、水文</w:t>
            </w:r>
          </w:p>
          <w:p>
            <w:pPr>
              <w:shd w:val="clear"/>
              <w:bidi w:val="0"/>
              <w:ind w:firstLine="480" w:firstLineChars="200"/>
              <w:rPr>
                <w:rFonts w:hint="eastAsia"/>
              </w:rPr>
            </w:pPr>
            <w:r>
              <w:rPr>
                <w:rFonts w:hint="eastAsia"/>
              </w:rPr>
              <w:t>本项目所在区域地表水系主要为湘江</w:t>
            </w:r>
            <w:r>
              <w:rPr>
                <w:rFonts w:hint="eastAsia"/>
                <w:lang w:eastAsia="zh-CN"/>
              </w:rPr>
              <w:t>及</w:t>
            </w:r>
            <w:r>
              <w:rPr>
                <w:rFonts w:hint="eastAsia"/>
                <w:lang w:val="en-US" w:eastAsia="zh-CN"/>
              </w:rPr>
              <w:t>白石港</w:t>
            </w:r>
            <w:r>
              <w:rPr>
                <w:rFonts w:hint="eastAsia"/>
              </w:rPr>
              <w:t>。项目所在地东侧最近距离约</w:t>
            </w:r>
            <w:r>
              <w:rPr>
                <w:rFonts w:hint="eastAsia"/>
                <w:lang w:val="en-US" w:eastAsia="zh-CN"/>
              </w:rPr>
              <w:t>2.1</w:t>
            </w:r>
            <w:r>
              <w:rPr>
                <w:rFonts w:hint="eastAsia"/>
              </w:rPr>
              <w:t>km左右为</w:t>
            </w:r>
            <w:r>
              <w:rPr>
                <w:rFonts w:hint="eastAsia"/>
                <w:lang w:val="en-US" w:eastAsia="zh-CN"/>
              </w:rPr>
              <w:t>白石港</w:t>
            </w:r>
            <w:r>
              <w:rPr>
                <w:rFonts w:hint="eastAsia"/>
              </w:rPr>
              <w:t>支流栗江。湘江自北向南流经清水塘地区，湘江在区域内的长度约6.5km，沿途接纳了白石港、霞湾港、老霞湾港、乌丫港等4条小支流。河床平均宽800m，多年平均流量1780m3/s，历年最大流量为20700m3/s，最枯流量101m3/s，平均流速0.25m/s。最高水位42.69m（1994年6月18日），实测最大流量20700m3/s，最低水位29.37m（2008年10月23日），实测最小流量101m3/s，正常水位为29.54～32.06m。年最高水位一般出现在4～7月份，年最低水位出现在12月～2月。年平均流速0.25m/s，最小流速0.10m/s，平水期流速0.50m/s，枯水期流速0.14m/s，枯水期水面宽约100m。年平均总径流量644亿m3，河套弯曲曲率半径约200m。湘江左右两岸水文条件差异较大，右岸水流急、水深，污染物扩散稀释条件较好。左岸水流平缓，水浅，扩散稀释条件比右岸差，但河床平且多为沙滩。</w:t>
            </w:r>
          </w:p>
          <w:p>
            <w:pPr>
              <w:bidi w:val="0"/>
              <w:ind w:firstLine="480" w:firstLineChars="200"/>
              <w:rPr>
                <w:rFonts w:hint="eastAsia"/>
                <w:lang w:eastAsia="zh-CN"/>
              </w:rPr>
            </w:pPr>
            <w:r>
              <w:rPr>
                <w:rFonts w:hint="eastAsia"/>
              </w:rPr>
              <w:t>本项目拟建道路沿线地表水体主要为鱼塘及河沟，沿线地下水类型主要为赋存于第四系素填土①和耕植土②层的上层滞水及赋存于基岩中的基岩裂隙水。地下水水量贫乏，局部地段见有地下水。拟建道路沿线上层滞水主要受大气降水，水位变化因气候、季节而异，赋水量一般不大；基岩裂隙水赋存于泥质粉砂岩各风化带裂隙中，未形成连续水位面，受大气降水、上层地下水和区域地下水的补给。</w:t>
            </w:r>
          </w:p>
          <w:p>
            <w:pPr>
              <w:ind w:firstLine="480" w:firstLineChars="200"/>
              <w:jc w:val="left"/>
            </w:pPr>
            <w:r>
              <w:t>5、植被和生物</w:t>
            </w:r>
          </w:p>
          <w:p>
            <w:pPr>
              <w:bidi w:val="0"/>
              <w:ind w:firstLine="480" w:firstLineChars="200"/>
              <w:rPr>
                <w:rFonts w:hint="eastAsia"/>
              </w:rPr>
            </w:pPr>
            <w:r>
              <w:t>土壤主要是红壤，还有黄壤、水稻土、紫色土、潮土、红色石灰土等。在亚热带高温多雨的条件下，生物物种循环旺盛，境内土壤资源具有类型多。植被</w:t>
            </w:r>
            <w:r>
              <w:rPr>
                <w:rFonts w:hint="eastAsia"/>
              </w:rPr>
              <w:t>主要是灌木及部分乔木</w:t>
            </w:r>
            <w:r>
              <w:t>。</w:t>
            </w:r>
          </w:p>
          <w:p>
            <w:pPr>
              <w:bidi w:val="0"/>
              <w:ind w:firstLine="480" w:firstLineChars="200"/>
              <w:rPr>
                <w:rFonts w:hint="eastAsia"/>
                <w:lang w:eastAsia="zh-CN"/>
              </w:rPr>
            </w:pPr>
            <w:r>
              <w:rPr>
                <w:rFonts w:hint="eastAsia"/>
              </w:rPr>
              <w:t>境内植被覆盖的主要类型有</w:t>
            </w:r>
            <w:r>
              <w:rPr>
                <w:rFonts w:hint="eastAsia"/>
                <w:lang w:eastAsia="zh-CN"/>
              </w:rPr>
              <w:t>：</w:t>
            </w:r>
            <w:r>
              <w:rPr>
                <w:rFonts w:hint="eastAsia"/>
              </w:rPr>
              <w:t>高山草本乔木植物</w:t>
            </w:r>
            <w:r>
              <w:rPr>
                <w:rFonts w:hint="eastAsia"/>
                <w:lang w:eastAsia="zh-CN"/>
              </w:rPr>
              <w:t>：</w:t>
            </w:r>
            <w:r>
              <w:rPr>
                <w:rFonts w:hint="eastAsia"/>
              </w:rPr>
              <w:t>草本以东茅</w:t>
            </w:r>
            <w:r>
              <w:rPr>
                <w:rFonts w:hint="eastAsia"/>
                <w:lang w:eastAsia="zh-CN"/>
              </w:rPr>
              <w:t>、</w:t>
            </w:r>
            <w:r>
              <w:rPr>
                <w:rFonts w:hint="eastAsia"/>
              </w:rPr>
              <w:t>羊须草</w:t>
            </w:r>
            <w:r>
              <w:rPr>
                <w:rFonts w:hint="eastAsia"/>
                <w:lang w:eastAsia="zh-CN"/>
              </w:rPr>
              <w:t>、</w:t>
            </w:r>
            <w:r>
              <w:rPr>
                <w:rFonts w:hint="eastAsia"/>
              </w:rPr>
              <w:t>蕨类等酸性植物群落为主</w:t>
            </w:r>
            <w:r>
              <w:rPr>
                <w:rFonts w:hint="eastAsia"/>
                <w:lang w:eastAsia="zh-CN"/>
              </w:rPr>
              <w:t>，</w:t>
            </w:r>
            <w:r>
              <w:rPr>
                <w:rFonts w:hint="eastAsia"/>
              </w:rPr>
              <w:t>木本以桐</w:t>
            </w:r>
            <w:r>
              <w:rPr>
                <w:rFonts w:hint="eastAsia"/>
                <w:lang w:eastAsia="zh-CN"/>
              </w:rPr>
              <w:t>、</w:t>
            </w:r>
            <w:r>
              <w:rPr>
                <w:rFonts w:hint="eastAsia"/>
              </w:rPr>
              <w:t>樟</w:t>
            </w:r>
            <w:r>
              <w:rPr>
                <w:rFonts w:hint="eastAsia"/>
                <w:lang w:eastAsia="zh-CN"/>
              </w:rPr>
              <w:t>、</w:t>
            </w:r>
            <w:r>
              <w:rPr>
                <w:rFonts w:hint="eastAsia"/>
              </w:rPr>
              <w:t>枫</w:t>
            </w:r>
            <w:r>
              <w:rPr>
                <w:rFonts w:hint="eastAsia"/>
                <w:lang w:eastAsia="zh-CN"/>
              </w:rPr>
              <w:t>、</w:t>
            </w:r>
            <w:r>
              <w:rPr>
                <w:rFonts w:hint="eastAsia"/>
              </w:rPr>
              <w:t>栎</w:t>
            </w:r>
            <w:r>
              <w:rPr>
                <w:rFonts w:hint="eastAsia"/>
                <w:lang w:eastAsia="zh-CN"/>
              </w:rPr>
              <w:t>、</w:t>
            </w:r>
            <w:r>
              <w:rPr>
                <w:rFonts w:hint="eastAsia"/>
              </w:rPr>
              <w:t>粟</w:t>
            </w:r>
            <w:r>
              <w:rPr>
                <w:rFonts w:hint="eastAsia"/>
                <w:lang w:eastAsia="zh-CN"/>
              </w:rPr>
              <w:t>、</w:t>
            </w:r>
            <w:r>
              <w:rPr>
                <w:rFonts w:hint="eastAsia"/>
              </w:rPr>
              <w:t>檀等阔叶林为主，覆盖率在90%左右。低山草本乔木植物</w:t>
            </w:r>
            <w:r>
              <w:rPr>
                <w:rFonts w:hint="eastAsia"/>
                <w:lang w:eastAsia="zh-CN"/>
              </w:rPr>
              <w:t>：</w:t>
            </w:r>
            <w:r>
              <w:rPr>
                <w:rFonts w:hint="eastAsia"/>
              </w:rPr>
              <w:t>草本多为酸性植物如狗尾草</w:t>
            </w:r>
            <w:r>
              <w:rPr>
                <w:rFonts w:hint="eastAsia"/>
                <w:lang w:eastAsia="zh-CN"/>
              </w:rPr>
              <w:t>、</w:t>
            </w:r>
            <w:r>
              <w:rPr>
                <w:rFonts w:hint="eastAsia"/>
              </w:rPr>
              <w:t>五节芒</w:t>
            </w:r>
            <w:r>
              <w:rPr>
                <w:rFonts w:hint="eastAsia"/>
                <w:lang w:eastAsia="zh-CN"/>
              </w:rPr>
              <w:t>、</w:t>
            </w:r>
            <w:r>
              <w:rPr>
                <w:rFonts w:hint="eastAsia"/>
              </w:rPr>
              <w:t>营草等</w:t>
            </w:r>
            <w:r>
              <w:rPr>
                <w:rFonts w:hint="eastAsia"/>
                <w:lang w:eastAsia="zh-CN"/>
              </w:rPr>
              <w:t>，</w:t>
            </w:r>
            <w:r>
              <w:rPr>
                <w:rFonts w:hint="eastAsia"/>
              </w:rPr>
              <w:t>木本以松</w:t>
            </w:r>
            <w:r>
              <w:rPr>
                <w:rFonts w:hint="eastAsia"/>
                <w:lang w:eastAsia="zh-CN"/>
              </w:rPr>
              <w:t>、</w:t>
            </w:r>
            <w:r>
              <w:rPr>
                <w:rFonts w:hint="eastAsia"/>
              </w:rPr>
              <w:t>杉</w:t>
            </w:r>
            <w:r>
              <w:rPr>
                <w:rFonts w:hint="eastAsia"/>
                <w:lang w:eastAsia="zh-CN"/>
              </w:rPr>
              <w:t>、</w:t>
            </w:r>
            <w:r>
              <w:rPr>
                <w:rFonts w:hint="eastAsia"/>
              </w:rPr>
              <w:t>楠竹为主，矮生灌木穿插分布。丘陵混交疏林矮生植物</w:t>
            </w:r>
            <w:r>
              <w:rPr>
                <w:rFonts w:hint="eastAsia"/>
                <w:lang w:eastAsia="zh-CN"/>
              </w:rPr>
              <w:t>：</w:t>
            </w:r>
            <w:r>
              <w:rPr>
                <w:rFonts w:hint="eastAsia"/>
              </w:rPr>
              <w:t>以油茶为主，夹杂松</w:t>
            </w:r>
            <w:r>
              <w:rPr>
                <w:rFonts w:hint="eastAsia"/>
                <w:lang w:eastAsia="zh-CN"/>
              </w:rPr>
              <w:t>、</w:t>
            </w:r>
            <w:r>
              <w:rPr>
                <w:rFonts w:hint="eastAsia"/>
              </w:rPr>
              <w:t>杉</w:t>
            </w:r>
            <w:r>
              <w:rPr>
                <w:rFonts w:hint="eastAsia"/>
                <w:lang w:eastAsia="zh-CN"/>
              </w:rPr>
              <w:t>、</w:t>
            </w:r>
            <w:r>
              <w:rPr>
                <w:rFonts w:hint="eastAsia"/>
              </w:rPr>
              <w:t>栎等疏生木本植物，并有新发展的柑橘，柰李等水果及茶叶</w:t>
            </w:r>
            <w:r>
              <w:rPr>
                <w:rFonts w:hint="eastAsia"/>
                <w:lang w:eastAsia="zh-CN"/>
              </w:rPr>
              <w:t>、</w:t>
            </w:r>
            <w:r>
              <w:rPr>
                <w:rFonts w:hint="eastAsia"/>
              </w:rPr>
              <w:t>蔬菜</w:t>
            </w:r>
            <w:r>
              <w:rPr>
                <w:rFonts w:hint="eastAsia"/>
                <w:lang w:eastAsia="zh-CN"/>
              </w:rPr>
              <w:t>、</w:t>
            </w:r>
            <w:r>
              <w:rPr>
                <w:rFonts w:hint="eastAsia"/>
              </w:rPr>
              <w:t>油料</w:t>
            </w:r>
            <w:r>
              <w:rPr>
                <w:rFonts w:hint="eastAsia"/>
                <w:lang w:eastAsia="zh-CN"/>
              </w:rPr>
              <w:t>、</w:t>
            </w:r>
            <w:r>
              <w:rPr>
                <w:rFonts w:hint="eastAsia"/>
              </w:rPr>
              <w:t>花木种植基地。稻田植物</w:t>
            </w:r>
            <w:r>
              <w:rPr>
                <w:rFonts w:hint="eastAsia"/>
                <w:lang w:eastAsia="zh-CN"/>
              </w:rPr>
              <w:t>：</w:t>
            </w:r>
            <w:r>
              <w:rPr>
                <w:rFonts w:hint="eastAsia"/>
              </w:rPr>
              <w:t>以水稻</w:t>
            </w:r>
            <w:r>
              <w:rPr>
                <w:rFonts w:hint="eastAsia"/>
                <w:lang w:eastAsia="zh-CN"/>
              </w:rPr>
              <w:t>、</w:t>
            </w:r>
            <w:r>
              <w:rPr>
                <w:rFonts w:hint="eastAsia"/>
              </w:rPr>
              <w:t>蔬菜等耕作植物为主，按季节轮换生长。野生植物多狗毛粘</w:t>
            </w:r>
            <w:r>
              <w:rPr>
                <w:rFonts w:hint="eastAsia"/>
                <w:lang w:eastAsia="zh-CN"/>
              </w:rPr>
              <w:t>、</w:t>
            </w:r>
            <w:r>
              <w:rPr>
                <w:rFonts w:hint="eastAsia"/>
              </w:rPr>
              <w:t>三棱草</w:t>
            </w:r>
            <w:r>
              <w:rPr>
                <w:rFonts w:hint="eastAsia"/>
                <w:lang w:eastAsia="zh-CN"/>
              </w:rPr>
              <w:t>、</w:t>
            </w:r>
            <w:r>
              <w:rPr>
                <w:rFonts w:hint="eastAsia"/>
              </w:rPr>
              <w:t>水香附</w:t>
            </w:r>
            <w:r>
              <w:rPr>
                <w:rFonts w:hint="eastAsia"/>
                <w:lang w:eastAsia="zh-CN"/>
              </w:rPr>
              <w:t>、</w:t>
            </w:r>
            <w:r>
              <w:rPr>
                <w:rFonts w:hint="eastAsia"/>
              </w:rPr>
              <w:t>水马齿苋</w:t>
            </w:r>
            <w:r>
              <w:rPr>
                <w:rFonts w:hint="eastAsia"/>
                <w:lang w:eastAsia="zh-CN"/>
              </w:rPr>
              <w:t>、</w:t>
            </w:r>
            <w:r>
              <w:rPr>
                <w:rFonts w:hint="eastAsia"/>
              </w:rPr>
              <w:t>水稗</w:t>
            </w:r>
            <w:r>
              <w:rPr>
                <w:rFonts w:hint="eastAsia"/>
                <w:lang w:eastAsia="zh-CN"/>
              </w:rPr>
              <w:t>、</w:t>
            </w:r>
            <w:r>
              <w:rPr>
                <w:rFonts w:hint="eastAsia"/>
              </w:rPr>
              <w:t>四叶莲等酸性指示草本植物。道路沿线区域为丘岗地，丘岗地间隔平坦处多为水田、旱地，多为人工植被，其组成主要有花卉类、用材林、经济林、沼泽性水生植物、农田植被及早地植被等群落，花卉类以山茶科、杜鹃花科为主，用材林以松、杉为主，农田植被主要为水稻，早地植被主要为蔬菜。</w:t>
            </w:r>
          </w:p>
          <w:p>
            <w:pPr>
              <w:bidi w:val="0"/>
              <w:ind w:firstLine="480" w:firstLineChars="200"/>
              <w:rPr>
                <w:rFonts w:hint="eastAsia"/>
              </w:rPr>
            </w:pPr>
            <w:r>
              <w:rPr>
                <w:rFonts w:hint="eastAsia"/>
              </w:rPr>
              <w:t>沿线未发现有珍稀保护植物物种，也没有名木古树。</w:t>
            </w:r>
          </w:p>
          <w:p>
            <w:pPr>
              <w:bidi w:val="0"/>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8931" w:type="dxa"/>
          </w:tcPr>
          <w:p>
            <w:pPr>
              <w:rPr>
                <w:b/>
                <w:bCs/>
                <w:sz w:val="28"/>
                <w:szCs w:val="28"/>
              </w:rPr>
            </w:pPr>
            <w:r>
              <w:rPr>
                <w:rFonts w:hint="eastAsia"/>
                <w:b/>
                <w:bCs/>
                <w:sz w:val="28"/>
                <w:szCs w:val="28"/>
              </w:rPr>
              <w:t>社会环境简况（社会经济结构、教育、文化、文物保护等）</w:t>
            </w:r>
          </w:p>
          <w:p>
            <w:pPr>
              <w:ind w:left="480"/>
              <w:rPr>
                <w:b/>
                <w:bCs/>
              </w:rPr>
            </w:pPr>
            <w:r>
              <w:rPr>
                <w:b/>
                <w:bCs/>
              </w:rPr>
              <w:t>1、株洲市概况</w:t>
            </w:r>
          </w:p>
          <w:p>
            <w:pPr>
              <w:bidi w:val="0"/>
              <w:ind w:firstLine="480" w:firstLineChars="200"/>
            </w:pPr>
            <w:r>
              <w:rPr>
                <w:rFonts w:hint="eastAsia"/>
              </w:rPr>
              <w:t>株洲，位于湖南东部，古称建宁，公元214年，三国东吴在此设建宁郡，到南宋绍熙元年（公元1190年）正式定名为株洲。解放之初，株洲只是一个7000人的小镇，1951年为省辖市，1956年升为省辖地级市，1983年实行市带县体制。2007年获批国家“两型社会”建设综合配套改革试验区。现辖 3 县（攸县、茶陵县、炎陵县），5 区（荷塘、芦淞、 天元、荷塘、渌口），代管县级醴陵市，另设有云龙示范区。株洲市域的总面积为11262平方千米。</w:t>
            </w:r>
          </w:p>
          <w:p>
            <w:pPr>
              <w:bidi w:val="0"/>
              <w:ind w:firstLine="480" w:firstLineChars="200"/>
              <w:rPr>
                <w:rFonts w:hint="eastAsia"/>
              </w:rPr>
            </w:pPr>
            <w:r>
              <w:rPr>
                <w:rFonts w:hint="eastAsia"/>
              </w:rPr>
              <w:t>201</w:t>
            </w:r>
            <w:r>
              <w:rPr>
                <w:rFonts w:hint="eastAsia"/>
                <w:lang w:val="en-US" w:eastAsia="zh-CN"/>
              </w:rPr>
              <w:t>9</w:t>
            </w:r>
            <w:r>
              <w:rPr>
                <w:rFonts w:hint="eastAsia"/>
              </w:rPr>
              <w:t>年，全市地区生产总值3003.13亿元，首次突破3000 亿元大关，成为全省第5 个经济总量跨越3000 亿元的市州，按可比价计算，同比增长7.9%，分别高于全国、全省1.8 和0.3 个百分点。其中：第一产业实现增加值220.7 亿元，增长3.3%；第二产业实现增加值1358.7 亿元，增长8.8%；第三产业实现增加值1423.7 亿元，增长7.3%；三次产业结构为7.3</w:t>
            </w:r>
            <w:r>
              <w:rPr>
                <w:rFonts w:hint="eastAsia"/>
                <w:lang w:eastAsia="zh-CN"/>
              </w:rPr>
              <w:t>：</w:t>
            </w:r>
            <w:r>
              <w:rPr>
                <w:rFonts w:hint="eastAsia"/>
              </w:rPr>
              <w:t>45.2</w:t>
            </w:r>
            <w:r>
              <w:rPr>
                <w:rFonts w:hint="eastAsia"/>
                <w:lang w:eastAsia="zh-CN"/>
              </w:rPr>
              <w:t>：</w:t>
            </w:r>
            <w:r>
              <w:rPr>
                <w:rFonts w:hint="eastAsia"/>
              </w:rPr>
              <w:t>47.5。全市人均GDP 为7.46 万元，按年均汇率测算，达到1.08 万美元，首次突破1 万美元大关。</w:t>
            </w:r>
          </w:p>
          <w:p>
            <w:pPr>
              <w:ind w:firstLine="482" w:firstLineChars="200"/>
              <w:rPr>
                <w:b/>
                <w:bCs/>
              </w:rPr>
            </w:pPr>
            <w:r>
              <w:rPr>
                <w:b/>
                <w:bCs/>
              </w:rPr>
              <w:t>2</w:t>
            </w:r>
            <w:r>
              <w:rPr>
                <w:rFonts w:hint="eastAsia"/>
                <w:b/>
                <w:bCs/>
              </w:rPr>
              <w:t>、</w:t>
            </w:r>
            <w:r>
              <w:rPr>
                <w:rFonts w:hint="eastAsia"/>
                <w:b/>
                <w:bCs/>
                <w:lang w:eastAsia="zh-CN"/>
              </w:rPr>
              <w:t>云龙示范区</w:t>
            </w:r>
            <w:r>
              <w:rPr>
                <w:b/>
                <w:bCs/>
              </w:rPr>
              <w:t>概况</w:t>
            </w:r>
          </w:p>
          <w:p>
            <w:pPr>
              <w:bidi w:val="0"/>
              <w:ind w:firstLine="480" w:firstLineChars="200"/>
              <w:rPr>
                <w:rFonts w:hint="eastAsia"/>
              </w:rPr>
            </w:pPr>
            <w:r>
              <w:rPr>
                <w:rFonts w:hint="eastAsia"/>
              </w:rPr>
              <w:t>株洲市经开区、云龙示范区位于株洲市北部，位于长株潭城市群东线重点发展轴上，毗邻长沙南部片区、湘潭东北部的三地中心地带。沪昆、长株两条高速在此交汇，连接长沙和株洲的城际干道云龙大道纵贯全境。规划范围《长株潭城市群“两型社会”示范区株洲云龙片区规划（2010-2030）》中所确定的规划范围，总面积 178.7 平方公里，包括学林街道办事处、云田乡、龙头铺镇、仙庾镇和明照乡的行政管辖范围</w:t>
            </w:r>
            <w:r>
              <w:rPr>
                <w:rFonts w:hint="eastAsia"/>
                <w:lang w:eastAsia="zh-CN"/>
              </w:rPr>
              <w:t>，</w:t>
            </w:r>
            <w:r>
              <w:t>2019年末全区常住人口12.87万人</w:t>
            </w:r>
            <w:r>
              <w:rPr>
                <w:rFonts w:hint="eastAsia"/>
                <w:lang w:eastAsia="zh-CN"/>
              </w:rPr>
              <w:t>。</w:t>
            </w:r>
          </w:p>
          <w:p>
            <w:pPr>
              <w:bidi w:val="0"/>
              <w:ind w:firstLine="480" w:firstLineChars="200"/>
              <w:rPr>
                <w:rFonts w:hint="eastAsia"/>
              </w:rPr>
            </w:pPr>
            <w:r>
              <w:rPr>
                <w:rFonts w:hint="eastAsia"/>
              </w:rPr>
              <w:t>2019年</w:t>
            </w:r>
            <w:r>
              <w:rPr>
                <w:rFonts w:hint="eastAsia"/>
                <w:lang w:eastAsia="zh-CN"/>
              </w:rPr>
              <w:t>，</w:t>
            </w:r>
            <w:r>
              <w:rPr>
                <w:rFonts w:hint="eastAsia"/>
              </w:rPr>
              <w:t>全区地区生产总值47.7亿元，同比增长10.5%</w:t>
            </w:r>
            <w:r>
              <w:rPr>
                <w:rFonts w:hint="eastAsia"/>
                <w:lang w:eastAsia="zh-CN"/>
              </w:rPr>
              <w:t>，</w:t>
            </w:r>
            <w:r>
              <w:rPr>
                <w:rFonts w:hint="eastAsia"/>
              </w:rPr>
              <w:t>其中一产3.9亿元，同比增长3.1%，二产13.6亿元，同比增长2.5%，三产30.2亿元，同比增长16.5%，一产、二产和三产的比重为8.15</w:t>
            </w:r>
            <w:r>
              <w:rPr>
                <w:rFonts w:hint="eastAsia"/>
                <w:lang w:eastAsia="zh-CN"/>
              </w:rPr>
              <w:t>：</w:t>
            </w:r>
            <w:r>
              <w:rPr>
                <w:rFonts w:hint="eastAsia"/>
              </w:rPr>
              <w:t>28.62</w:t>
            </w:r>
            <w:r>
              <w:rPr>
                <w:rFonts w:hint="eastAsia"/>
                <w:lang w:eastAsia="zh-CN"/>
              </w:rPr>
              <w:t>：</w:t>
            </w:r>
            <w:r>
              <w:rPr>
                <w:rFonts w:hint="eastAsia"/>
              </w:rPr>
              <w:t>63.23。三次产业对经济增长的贡献率依次为2.2%、8.4%和89.4%，分别拉动经济增长0.2个百分点、0.9个百分点和9.4个百分点。</w:t>
            </w:r>
          </w:p>
          <w:p>
            <w:pPr>
              <w:ind w:firstLine="482" w:firstLineChars="200"/>
              <w:rPr>
                <w:b/>
                <w:bCs/>
                <w:highlight w:val="none"/>
              </w:rPr>
            </w:pPr>
            <w:r>
              <w:rPr>
                <w:rFonts w:hint="eastAsia"/>
                <w:b/>
                <w:bCs/>
                <w:highlight w:val="none"/>
              </w:rPr>
              <w:t>　</w:t>
            </w:r>
            <w:r>
              <w:rPr>
                <w:b/>
                <w:bCs/>
                <w:highlight w:val="none"/>
              </w:rPr>
              <w:t>3</w:t>
            </w:r>
            <w:r>
              <w:rPr>
                <w:rFonts w:hint="eastAsia"/>
                <w:b/>
                <w:bCs/>
                <w:highlight w:val="none"/>
              </w:rPr>
              <w:t>、项目周边规划情况</w:t>
            </w:r>
          </w:p>
          <w:p>
            <w:pPr>
              <w:bidi w:val="0"/>
              <w:ind w:firstLine="480" w:firstLineChars="200"/>
              <w:rPr>
                <w:rFonts w:hint="eastAsia"/>
              </w:rPr>
            </w:pPr>
            <w:r>
              <w:rPr>
                <w:rFonts w:hint="eastAsia"/>
              </w:rPr>
              <w:t>本项目选址于株洲市</w:t>
            </w:r>
            <w:r>
              <w:rPr>
                <w:rFonts w:hint="eastAsia"/>
                <w:lang w:eastAsia="zh-CN"/>
              </w:rPr>
              <w:t>云龙示范区</w:t>
            </w:r>
            <w:r>
              <w:rPr>
                <w:rFonts w:hint="eastAsia"/>
              </w:rPr>
              <w:t>。本项目规划区域范围内以自然缓丘绿化为主，地面植被覆盖丰富，整个区域具有良好的自然环境条件，除部分建设用地外，基本为农田、水塘、沟渠</w:t>
            </w:r>
            <w:r>
              <w:rPr>
                <w:rFonts w:hint="eastAsia"/>
                <w:lang w:eastAsia="zh-CN"/>
              </w:rPr>
              <w:t>、</w:t>
            </w:r>
            <w:r>
              <w:rPr>
                <w:rFonts w:hint="eastAsia"/>
              </w:rPr>
              <w:t>丘陵、菜地、荒地</w:t>
            </w:r>
            <w:r>
              <w:rPr>
                <w:rFonts w:hint="eastAsia"/>
                <w:lang w:eastAsia="zh-CN"/>
              </w:rPr>
              <w:t>、</w:t>
            </w:r>
            <w:r>
              <w:rPr>
                <w:rFonts w:hint="eastAsia"/>
              </w:rPr>
              <w:t>林地</w:t>
            </w:r>
            <w:r>
              <w:rPr>
                <w:rFonts w:hint="eastAsia"/>
                <w:lang w:eastAsia="zh-CN"/>
              </w:rPr>
              <w:t>等</w:t>
            </w:r>
            <w:r>
              <w:rPr>
                <w:rFonts w:hint="eastAsia"/>
              </w:rPr>
              <w:t>。项目区域保持较为完整的水系和林系，具有较强的自然调控能力。该项目用地范围内的地上附着物有建筑物、植被、青苗等，建筑物大部分为民用自建房；植被主要是灌木及部分乔木。</w:t>
            </w:r>
          </w:p>
          <w:p>
            <w:pPr>
              <w:bidi w:val="0"/>
              <w:ind w:firstLine="480" w:firstLineChars="200"/>
              <w:rPr>
                <w:rFonts w:hint="eastAsia"/>
              </w:rPr>
            </w:pPr>
            <w:r>
              <w:rPr>
                <w:rFonts w:hint="eastAsia"/>
              </w:rPr>
              <w:t>本项目北侧最近距离30m为K0+900~K1+340高福社区、项目西南侧最近距离10mK0+800~K2+120为马鞍社区、项目东北侧最近距离约70m为K1+500~K2+120云田社区居民、项目南侧最近距离约100m处为K0+854.456~K2+077.485二类规划居住用地。本项目征地范围内现状道路北侧和南侧分别为高福社区和马鞍社区居民。</w:t>
            </w:r>
          </w:p>
          <w:p>
            <w:pPr>
              <w:bidi w:val="0"/>
              <w:ind w:firstLine="480" w:firstLineChars="200"/>
              <w:rPr>
                <w:rFonts w:hint="eastAsia"/>
              </w:rPr>
            </w:pPr>
            <w:r>
              <w:rPr>
                <w:rFonts w:hint="eastAsia"/>
              </w:rPr>
              <w:t>根据《</w:t>
            </w:r>
            <w:r>
              <w:rPr>
                <w:rFonts w:hint="default"/>
              </w:rPr>
              <w:t>株洲云龙示范区</w:t>
            </w:r>
            <w:r>
              <w:rPr>
                <w:rFonts w:hint="eastAsia"/>
                <w:lang w:eastAsia="zh-CN"/>
              </w:rPr>
              <w:t>马鞍</w:t>
            </w:r>
            <w:r>
              <w:rPr>
                <w:rFonts w:hint="default"/>
              </w:rPr>
              <w:t>片区控制性详细规划</w:t>
            </w:r>
            <w:r>
              <w:rPr>
                <w:rFonts w:hint="eastAsia"/>
              </w:rPr>
              <w:t>》，本项目所在地规划为道路用地，道路两侧主要为</w:t>
            </w:r>
            <w:r>
              <w:rPr>
                <w:rFonts w:hint="eastAsia"/>
                <w:lang w:eastAsia="zh-CN"/>
              </w:rPr>
              <w:t>二类工业用地、物流仓储</w:t>
            </w:r>
            <w:r>
              <w:rPr>
                <w:rFonts w:hint="eastAsia"/>
              </w:rPr>
              <w:t>用地、居住用地等，综合服务功能突出。</w:t>
            </w:r>
          </w:p>
          <w:p>
            <w:pPr>
              <w:bidi w:val="0"/>
              <w:ind w:firstLine="480" w:firstLineChars="200"/>
            </w:pPr>
            <w:r>
              <w:t>本项目场地边界半径2000m范围内不存在饮用水源地、集中地下水开采区，工程场地及附近无风景名胜、历史文物遗址等特殊环保目标。用地范围内没有名木古树、珍稀濒危动物等需要保护的动植物。</w:t>
            </w:r>
          </w:p>
          <w:p>
            <w:pPr>
              <w:bidi w:val="0"/>
            </w:pPr>
          </w:p>
          <w:p>
            <w:pPr>
              <w:bidi w:val="0"/>
            </w:pPr>
          </w:p>
          <w:p/>
        </w:tc>
      </w:tr>
    </w:tbl>
    <w:p>
      <w:pPr>
        <w:jc w:val="left"/>
        <w:outlineLvl w:val="0"/>
        <w:rPr>
          <w:rFonts w:cs="宋体"/>
          <w:b/>
          <w:bCs/>
          <w:sz w:val="28"/>
          <w:highlight w:val="none"/>
        </w:rPr>
      </w:pPr>
      <w:r>
        <w:rPr>
          <w:rFonts w:hint="eastAsia" w:cs="宋体"/>
          <w:b/>
          <w:bCs/>
          <w:sz w:val="28"/>
          <w:highlight w:val="none"/>
        </w:rPr>
        <w:t>环境质量状况</w:t>
      </w:r>
    </w:p>
    <w:tbl>
      <w:tblPr>
        <w:tblStyle w:val="34"/>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2" w:hRule="atLeast"/>
          <w:jc w:val="center"/>
        </w:trPr>
        <w:tc>
          <w:tcPr>
            <w:tcW w:w="9063" w:type="dxa"/>
          </w:tcPr>
          <w:p>
            <w:pPr>
              <w:pStyle w:val="20"/>
              <w:spacing w:line="240" w:lineRule="auto"/>
              <w:rPr>
                <w:rFonts w:cs="宋体"/>
                <w:sz w:val="28"/>
                <w:szCs w:val="21"/>
              </w:rPr>
            </w:pPr>
            <w:r>
              <w:rPr>
                <w:rFonts w:hint="eastAsia" w:cs="宋体"/>
                <w:sz w:val="28"/>
                <w:szCs w:val="21"/>
              </w:rPr>
              <w:t>建设项目所在地区环境质量现状及主要环境问题（环境空气、地面水、地下水、声环境、生态环境等）</w:t>
            </w:r>
          </w:p>
          <w:p>
            <w:pPr>
              <w:ind w:firstLine="482" w:firstLineChars="200"/>
              <w:rPr>
                <w:sz w:val="24"/>
                <w:highlight w:val="none"/>
              </w:rPr>
            </w:pPr>
            <w:r>
              <w:rPr>
                <w:rFonts w:hint="eastAsia"/>
                <w:b/>
                <w:sz w:val="24"/>
                <w:highlight w:val="none"/>
                <w:lang w:val="en-US" w:eastAsia="zh-CN"/>
              </w:rPr>
              <w:t>1</w:t>
            </w:r>
            <w:r>
              <w:rPr>
                <w:b/>
                <w:sz w:val="24"/>
                <w:highlight w:val="none"/>
              </w:rPr>
              <w:t>、大气环境质量现状</w:t>
            </w:r>
          </w:p>
          <w:p>
            <w:pPr>
              <w:bidi w:val="0"/>
              <w:ind w:firstLine="480" w:firstLineChars="200"/>
              <w:rPr>
                <w:color w:val="000000"/>
                <w:sz w:val="24"/>
              </w:rPr>
            </w:pPr>
            <w:r>
              <w:rPr>
                <w:color w:val="000000"/>
                <w:sz w:val="24"/>
              </w:rPr>
              <w:t>根据株洲市环境监测中心站《株洲市区环境空气监测年报》（株环监技字（201</w:t>
            </w:r>
            <w:r>
              <w:rPr>
                <w:rFonts w:hint="eastAsia"/>
                <w:color w:val="000000"/>
                <w:sz w:val="24"/>
                <w:lang w:val="en-US" w:eastAsia="zh-CN"/>
              </w:rPr>
              <w:t>9</w:t>
            </w:r>
            <w:r>
              <w:rPr>
                <w:color w:val="000000"/>
                <w:sz w:val="24"/>
              </w:rPr>
              <w:t>）第</w:t>
            </w:r>
            <w:r>
              <w:rPr>
                <w:rFonts w:hint="eastAsia"/>
                <w:color w:val="000000"/>
                <w:sz w:val="24"/>
                <w:lang w:val="en-US" w:eastAsia="zh-CN"/>
              </w:rPr>
              <w:t>245</w:t>
            </w:r>
            <w:r>
              <w:rPr>
                <w:color w:val="000000"/>
                <w:sz w:val="24"/>
              </w:rPr>
              <w:t>号），项目所在区域设有1个常规环境空气监测点—</w:t>
            </w:r>
            <w:r>
              <w:rPr>
                <w:rFonts w:hint="eastAsia"/>
                <w:color w:val="000000"/>
                <w:sz w:val="24"/>
                <w:lang w:eastAsia="zh-CN"/>
              </w:rPr>
              <w:t>云田中学</w:t>
            </w:r>
            <w:r>
              <w:rPr>
                <w:color w:val="000000"/>
                <w:sz w:val="24"/>
              </w:rPr>
              <w:t>测点，监测项目包括6项污染物（SO</w:t>
            </w:r>
            <w:r>
              <w:rPr>
                <w:color w:val="000000"/>
                <w:sz w:val="24"/>
                <w:vertAlign w:val="subscript"/>
              </w:rPr>
              <w:t>2</w:t>
            </w:r>
            <w:r>
              <w:rPr>
                <w:color w:val="000000"/>
                <w:sz w:val="24"/>
              </w:rPr>
              <w:t>、NO</w:t>
            </w:r>
            <w:r>
              <w:rPr>
                <w:color w:val="000000"/>
                <w:sz w:val="24"/>
                <w:vertAlign w:val="subscript"/>
              </w:rPr>
              <w:t>2</w:t>
            </w:r>
            <w:r>
              <w:rPr>
                <w:color w:val="000000"/>
                <w:sz w:val="24"/>
              </w:rPr>
              <w:t>、PM</w:t>
            </w:r>
            <w:r>
              <w:rPr>
                <w:color w:val="000000"/>
                <w:sz w:val="24"/>
                <w:vertAlign w:val="subscript"/>
              </w:rPr>
              <w:t>10</w:t>
            </w:r>
            <w:r>
              <w:rPr>
                <w:color w:val="000000"/>
                <w:sz w:val="24"/>
              </w:rPr>
              <w:t>、PM</w:t>
            </w:r>
            <w:r>
              <w:rPr>
                <w:color w:val="000000"/>
                <w:sz w:val="24"/>
                <w:vertAlign w:val="subscript"/>
              </w:rPr>
              <w:t>2.5</w:t>
            </w:r>
            <w:r>
              <w:rPr>
                <w:color w:val="000000"/>
                <w:sz w:val="24"/>
              </w:rPr>
              <w:t>、CO、O</w:t>
            </w:r>
            <w:r>
              <w:rPr>
                <w:color w:val="000000"/>
                <w:sz w:val="24"/>
                <w:vertAlign w:val="subscript"/>
              </w:rPr>
              <w:t>3</w:t>
            </w:r>
            <w:r>
              <w:rPr>
                <w:color w:val="000000"/>
                <w:sz w:val="24"/>
              </w:rPr>
              <w:t>）。监测统计结果见表1</w:t>
            </w:r>
            <w:r>
              <w:rPr>
                <w:rFonts w:hint="eastAsia"/>
                <w:color w:val="000000"/>
                <w:sz w:val="24"/>
                <w:lang w:val="en-US" w:eastAsia="zh-CN"/>
              </w:rPr>
              <w:t>7</w:t>
            </w:r>
            <w:r>
              <w:rPr>
                <w:color w:val="000000"/>
                <w:sz w:val="24"/>
              </w:rPr>
              <w:t>。</w:t>
            </w:r>
          </w:p>
          <w:p>
            <w:pPr>
              <w:bidi w:val="0"/>
              <w:jc w:val="center"/>
              <w:rPr>
                <w:b/>
                <w:sz w:val="24"/>
                <w:szCs w:val="32"/>
                <w:lang w:bidi="ar"/>
              </w:rPr>
            </w:pPr>
            <w:bookmarkStart w:id="16" w:name="_Toc174856368"/>
            <w:bookmarkStart w:id="17" w:name="_Toc144138000"/>
            <w:bookmarkStart w:id="18" w:name="_Toc175558565"/>
            <w:r>
              <w:rPr>
                <w:b/>
                <w:sz w:val="24"/>
                <w:szCs w:val="32"/>
                <w:lang w:bidi="ar"/>
              </w:rPr>
              <w:t>表1</w:t>
            </w:r>
            <w:r>
              <w:rPr>
                <w:rFonts w:hint="eastAsia"/>
                <w:b/>
                <w:sz w:val="24"/>
                <w:szCs w:val="32"/>
                <w:lang w:val="en-US" w:eastAsia="zh-CN" w:bidi="ar"/>
              </w:rPr>
              <w:t>7</w:t>
            </w:r>
            <w:r>
              <w:rPr>
                <w:b/>
                <w:sz w:val="24"/>
                <w:szCs w:val="32"/>
                <w:lang w:bidi="ar"/>
              </w:rPr>
              <w:t xml:space="preserve">  201</w:t>
            </w:r>
            <w:r>
              <w:rPr>
                <w:rFonts w:hint="eastAsia"/>
                <w:b/>
                <w:sz w:val="24"/>
                <w:szCs w:val="32"/>
                <w:lang w:val="en-US" w:eastAsia="zh-CN" w:bidi="ar"/>
              </w:rPr>
              <w:t>9</w:t>
            </w:r>
            <w:r>
              <w:rPr>
                <w:b/>
                <w:sz w:val="24"/>
                <w:szCs w:val="32"/>
                <w:lang w:bidi="ar"/>
              </w:rPr>
              <w:t>年环境空气监测结果一览表    单位：μg/m</w:t>
            </w:r>
            <w:r>
              <w:rPr>
                <w:b/>
                <w:sz w:val="24"/>
                <w:szCs w:val="32"/>
                <w:vertAlign w:val="superscript"/>
                <w:lang w:bidi="ar"/>
              </w:rPr>
              <w:t>3</w:t>
            </w:r>
            <w:r>
              <w:rPr>
                <w:rFonts w:hint="eastAsia"/>
                <w:b/>
                <w:sz w:val="24"/>
                <w:szCs w:val="32"/>
                <w:lang w:bidi="ar"/>
              </w:rPr>
              <w:t>（C</w:t>
            </w:r>
            <w:r>
              <w:rPr>
                <w:b/>
                <w:sz w:val="24"/>
                <w:szCs w:val="32"/>
                <w:lang w:bidi="ar"/>
              </w:rPr>
              <w:t>O</w:t>
            </w:r>
            <w:r>
              <w:rPr>
                <w:rFonts w:hint="eastAsia"/>
                <w:b/>
                <w:sz w:val="24"/>
                <w:szCs w:val="32"/>
                <w:lang w:bidi="ar"/>
              </w:rPr>
              <w:t>，</w:t>
            </w:r>
            <w:r>
              <w:rPr>
                <w:b/>
                <w:sz w:val="24"/>
                <w:szCs w:val="32"/>
                <w:lang w:bidi="ar"/>
              </w:rPr>
              <w:t>mg/m</w:t>
            </w:r>
            <w:r>
              <w:rPr>
                <w:b/>
                <w:sz w:val="24"/>
                <w:szCs w:val="32"/>
                <w:vertAlign w:val="superscript"/>
                <w:lang w:bidi="ar"/>
              </w:rPr>
              <w:t>3</w:t>
            </w:r>
            <w:r>
              <w:rPr>
                <w:rFonts w:hint="eastAsia"/>
                <w:b/>
                <w:sz w:val="24"/>
                <w:szCs w:val="32"/>
                <w:lang w:bidi="ar"/>
              </w:rPr>
              <w:t>）</w:t>
            </w:r>
          </w:p>
          <w:tbl>
            <w:tblPr>
              <w:tblStyle w:val="34"/>
              <w:tblW w:w="8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929"/>
              <w:gridCol w:w="1223"/>
              <w:gridCol w:w="1221"/>
              <w:gridCol w:w="1224"/>
              <w:gridCol w:w="1224"/>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6" w:type="dxa"/>
                  <w:shd w:val="clear" w:color="auto" w:fill="auto"/>
                  <w:vAlign w:val="center"/>
                </w:tcPr>
                <w:p>
                  <w:pPr>
                    <w:bidi w:val="0"/>
                    <w:spacing w:line="240" w:lineRule="auto"/>
                    <w:jc w:val="center"/>
                    <w:rPr>
                      <w:sz w:val="21"/>
                      <w:szCs w:val="21"/>
                    </w:rPr>
                  </w:pPr>
                  <w:r>
                    <w:rPr>
                      <w:sz w:val="21"/>
                      <w:szCs w:val="21"/>
                    </w:rPr>
                    <w:t>项目</w:t>
                  </w:r>
                </w:p>
              </w:tc>
              <w:tc>
                <w:tcPr>
                  <w:tcW w:w="929" w:type="dxa"/>
                  <w:shd w:val="clear" w:color="auto" w:fill="auto"/>
                  <w:vAlign w:val="center"/>
                </w:tcPr>
                <w:p>
                  <w:pPr>
                    <w:bidi w:val="0"/>
                    <w:spacing w:line="240" w:lineRule="auto"/>
                    <w:jc w:val="center"/>
                    <w:rPr>
                      <w:sz w:val="21"/>
                      <w:szCs w:val="21"/>
                    </w:rPr>
                  </w:pPr>
                  <w:r>
                    <w:rPr>
                      <w:sz w:val="21"/>
                      <w:szCs w:val="21"/>
                    </w:rPr>
                    <w:t>SO2</w:t>
                  </w:r>
                </w:p>
              </w:tc>
              <w:tc>
                <w:tcPr>
                  <w:tcW w:w="1223" w:type="dxa"/>
                  <w:shd w:val="clear" w:color="auto" w:fill="auto"/>
                  <w:vAlign w:val="center"/>
                </w:tcPr>
                <w:p>
                  <w:pPr>
                    <w:bidi w:val="0"/>
                    <w:spacing w:line="240" w:lineRule="auto"/>
                    <w:jc w:val="center"/>
                    <w:rPr>
                      <w:sz w:val="21"/>
                      <w:szCs w:val="21"/>
                    </w:rPr>
                  </w:pPr>
                  <w:r>
                    <w:rPr>
                      <w:sz w:val="21"/>
                      <w:szCs w:val="21"/>
                    </w:rPr>
                    <w:t>NO2</w:t>
                  </w:r>
                </w:p>
              </w:tc>
              <w:tc>
                <w:tcPr>
                  <w:tcW w:w="1221" w:type="dxa"/>
                  <w:shd w:val="clear" w:color="auto" w:fill="auto"/>
                  <w:vAlign w:val="center"/>
                </w:tcPr>
                <w:p>
                  <w:pPr>
                    <w:bidi w:val="0"/>
                    <w:spacing w:line="240" w:lineRule="auto"/>
                    <w:jc w:val="center"/>
                    <w:rPr>
                      <w:sz w:val="21"/>
                      <w:szCs w:val="21"/>
                    </w:rPr>
                  </w:pPr>
                  <w:r>
                    <w:rPr>
                      <w:sz w:val="21"/>
                      <w:szCs w:val="21"/>
                    </w:rPr>
                    <w:t>PM10</w:t>
                  </w:r>
                </w:p>
              </w:tc>
              <w:tc>
                <w:tcPr>
                  <w:tcW w:w="1224" w:type="dxa"/>
                  <w:vAlign w:val="center"/>
                </w:tcPr>
                <w:p>
                  <w:pPr>
                    <w:bidi w:val="0"/>
                    <w:spacing w:line="240" w:lineRule="auto"/>
                    <w:jc w:val="center"/>
                    <w:rPr>
                      <w:sz w:val="21"/>
                      <w:szCs w:val="21"/>
                    </w:rPr>
                  </w:pPr>
                  <w:r>
                    <w:rPr>
                      <w:sz w:val="21"/>
                      <w:szCs w:val="21"/>
                    </w:rPr>
                    <w:t>PM2.5</w:t>
                  </w:r>
                </w:p>
              </w:tc>
              <w:tc>
                <w:tcPr>
                  <w:tcW w:w="1224" w:type="dxa"/>
                  <w:shd w:val="clear" w:color="auto" w:fill="auto"/>
                  <w:vAlign w:val="center"/>
                </w:tcPr>
                <w:p>
                  <w:pPr>
                    <w:bidi w:val="0"/>
                    <w:spacing w:line="240" w:lineRule="auto"/>
                    <w:jc w:val="center"/>
                    <w:rPr>
                      <w:sz w:val="21"/>
                      <w:szCs w:val="21"/>
                    </w:rPr>
                  </w:pPr>
                  <w:r>
                    <w:rPr>
                      <w:sz w:val="21"/>
                      <w:szCs w:val="21"/>
                    </w:rPr>
                    <w:t>CO</w:t>
                  </w:r>
                </w:p>
              </w:tc>
              <w:tc>
                <w:tcPr>
                  <w:tcW w:w="1224" w:type="dxa"/>
                  <w:shd w:val="clear" w:color="auto" w:fill="auto"/>
                  <w:vAlign w:val="center"/>
                </w:tcPr>
                <w:p>
                  <w:pPr>
                    <w:bidi w:val="0"/>
                    <w:spacing w:line="240" w:lineRule="auto"/>
                    <w:jc w:val="center"/>
                    <w:rPr>
                      <w:sz w:val="21"/>
                      <w:szCs w:val="21"/>
                    </w:rPr>
                  </w:pPr>
                  <w:r>
                    <w:rPr>
                      <w:sz w:val="21"/>
                      <w:szCs w:val="21"/>
                    </w:rPr>
                    <w:t>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6" w:type="dxa"/>
                  <w:shd w:val="clear" w:color="auto" w:fill="auto"/>
                  <w:vAlign w:val="center"/>
                </w:tcPr>
                <w:p>
                  <w:pPr>
                    <w:bidi w:val="0"/>
                    <w:spacing w:line="240" w:lineRule="auto"/>
                    <w:jc w:val="center"/>
                    <w:rPr>
                      <w:sz w:val="21"/>
                      <w:szCs w:val="21"/>
                    </w:rPr>
                  </w:pPr>
                  <w:r>
                    <w:rPr>
                      <w:sz w:val="21"/>
                      <w:szCs w:val="21"/>
                    </w:rPr>
                    <w:t>日均最大值</w:t>
                  </w:r>
                </w:p>
              </w:tc>
              <w:tc>
                <w:tcPr>
                  <w:tcW w:w="929"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36</w:t>
                  </w:r>
                </w:p>
              </w:tc>
              <w:tc>
                <w:tcPr>
                  <w:tcW w:w="1223"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67</w:t>
                  </w:r>
                </w:p>
              </w:tc>
              <w:tc>
                <w:tcPr>
                  <w:tcW w:w="1221"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239</w:t>
                  </w:r>
                </w:p>
              </w:tc>
              <w:tc>
                <w:tcPr>
                  <w:tcW w:w="1224" w:type="dxa"/>
                  <w:vAlign w:val="center"/>
                </w:tcPr>
                <w:p>
                  <w:pPr>
                    <w:bidi w:val="0"/>
                    <w:spacing w:line="240" w:lineRule="auto"/>
                    <w:jc w:val="center"/>
                    <w:rPr>
                      <w:rFonts w:hint="default"/>
                      <w:sz w:val="21"/>
                      <w:szCs w:val="21"/>
                      <w:lang w:val="en-US" w:eastAsia="zh-CN"/>
                    </w:rPr>
                  </w:pPr>
                  <w:r>
                    <w:rPr>
                      <w:rFonts w:hint="eastAsia"/>
                      <w:sz w:val="21"/>
                      <w:szCs w:val="21"/>
                      <w:lang w:val="en-US" w:eastAsia="zh-CN"/>
                    </w:rPr>
                    <w:t>221</w:t>
                  </w:r>
                </w:p>
              </w:tc>
              <w:tc>
                <w:tcPr>
                  <w:tcW w:w="1224"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1.2</w:t>
                  </w:r>
                </w:p>
              </w:tc>
              <w:tc>
                <w:tcPr>
                  <w:tcW w:w="1224"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6" w:type="dxa"/>
                  <w:shd w:val="clear" w:color="auto" w:fill="auto"/>
                  <w:vAlign w:val="center"/>
                </w:tcPr>
                <w:p>
                  <w:pPr>
                    <w:bidi w:val="0"/>
                    <w:spacing w:line="240" w:lineRule="auto"/>
                    <w:jc w:val="center"/>
                    <w:rPr>
                      <w:sz w:val="21"/>
                      <w:szCs w:val="21"/>
                    </w:rPr>
                  </w:pPr>
                  <w:r>
                    <w:rPr>
                      <w:sz w:val="21"/>
                      <w:szCs w:val="21"/>
                    </w:rPr>
                    <w:t>日均最小值</w:t>
                  </w:r>
                </w:p>
              </w:tc>
              <w:tc>
                <w:tcPr>
                  <w:tcW w:w="929" w:type="dxa"/>
                  <w:shd w:val="clear" w:color="auto" w:fill="auto"/>
                  <w:vAlign w:val="center"/>
                </w:tcPr>
                <w:p>
                  <w:pPr>
                    <w:bidi w:val="0"/>
                    <w:spacing w:line="240" w:lineRule="auto"/>
                    <w:jc w:val="center"/>
                    <w:rPr>
                      <w:rFonts w:hint="eastAsia"/>
                      <w:sz w:val="21"/>
                      <w:szCs w:val="21"/>
                      <w:lang w:val="en-US" w:eastAsia="zh-CN"/>
                    </w:rPr>
                  </w:pPr>
                  <w:r>
                    <w:rPr>
                      <w:rFonts w:hint="eastAsia"/>
                      <w:sz w:val="21"/>
                      <w:szCs w:val="21"/>
                      <w:lang w:val="en-US" w:eastAsia="zh-CN"/>
                    </w:rPr>
                    <w:t>5</w:t>
                  </w:r>
                </w:p>
              </w:tc>
              <w:tc>
                <w:tcPr>
                  <w:tcW w:w="1223" w:type="dxa"/>
                  <w:shd w:val="clear" w:color="auto" w:fill="auto"/>
                  <w:vAlign w:val="center"/>
                </w:tcPr>
                <w:p>
                  <w:pPr>
                    <w:bidi w:val="0"/>
                    <w:spacing w:line="240" w:lineRule="auto"/>
                    <w:jc w:val="center"/>
                    <w:rPr>
                      <w:rFonts w:hint="eastAsia"/>
                      <w:sz w:val="21"/>
                      <w:szCs w:val="21"/>
                      <w:lang w:val="en-US" w:eastAsia="zh-CN"/>
                    </w:rPr>
                  </w:pPr>
                  <w:r>
                    <w:rPr>
                      <w:rFonts w:hint="eastAsia"/>
                      <w:sz w:val="21"/>
                      <w:szCs w:val="21"/>
                      <w:lang w:val="en-US" w:eastAsia="zh-CN"/>
                    </w:rPr>
                    <w:t>9</w:t>
                  </w:r>
                </w:p>
              </w:tc>
              <w:tc>
                <w:tcPr>
                  <w:tcW w:w="1221"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8</w:t>
                  </w:r>
                </w:p>
              </w:tc>
              <w:tc>
                <w:tcPr>
                  <w:tcW w:w="1224" w:type="dxa"/>
                  <w:vAlign w:val="center"/>
                </w:tcPr>
                <w:p>
                  <w:pPr>
                    <w:bidi w:val="0"/>
                    <w:spacing w:line="240" w:lineRule="auto"/>
                    <w:jc w:val="center"/>
                    <w:rPr>
                      <w:rFonts w:hint="default"/>
                      <w:sz w:val="21"/>
                      <w:szCs w:val="21"/>
                      <w:lang w:val="en-US" w:eastAsia="zh-CN"/>
                    </w:rPr>
                  </w:pPr>
                  <w:r>
                    <w:rPr>
                      <w:rFonts w:hint="eastAsia"/>
                      <w:sz w:val="21"/>
                      <w:szCs w:val="21"/>
                      <w:lang w:val="en-US" w:eastAsia="zh-CN"/>
                    </w:rPr>
                    <w:t>6</w:t>
                  </w:r>
                </w:p>
              </w:tc>
              <w:tc>
                <w:tcPr>
                  <w:tcW w:w="1224"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0.4</w:t>
                  </w:r>
                </w:p>
              </w:tc>
              <w:tc>
                <w:tcPr>
                  <w:tcW w:w="1224" w:type="dxa"/>
                  <w:shd w:val="clear" w:color="auto" w:fill="auto"/>
                  <w:vAlign w:val="center"/>
                </w:tcPr>
                <w:p>
                  <w:pPr>
                    <w:bidi w:val="0"/>
                    <w:spacing w:line="240" w:lineRule="auto"/>
                    <w:jc w:val="center"/>
                    <w:rPr>
                      <w:rFonts w:hint="eastAsia"/>
                      <w:sz w:val="21"/>
                      <w:szCs w:val="21"/>
                      <w:lang w:val="en-US" w:eastAsia="zh-CN"/>
                    </w:rPr>
                  </w:pPr>
                  <w:r>
                    <w:rPr>
                      <w:rFonts w:hint="eastAsia"/>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6" w:type="dxa"/>
                  <w:shd w:val="clear" w:color="auto" w:fill="auto"/>
                  <w:vAlign w:val="center"/>
                </w:tcPr>
                <w:p>
                  <w:pPr>
                    <w:bidi w:val="0"/>
                    <w:spacing w:line="240" w:lineRule="auto"/>
                    <w:jc w:val="center"/>
                    <w:rPr>
                      <w:sz w:val="21"/>
                      <w:szCs w:val="21"/>
                    </w:rPr>
                  </w:pPr>
                  <w:r>
                    <w:rPr>
                      <w:sz w:val="21"/>
                      <w:szCs w:val="21"/>
                    </w:rPr>
                    <w:t>超标率（%）</w:t>
                  </w:r>
                </w:p>
              </w:tc>
              <w:tc>
                <w:tcPr>
                  <w:tcW w:w="929"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0</w:t>
                  </w:r>
                </w:p>
              </w:tc>
              <w:tc>
                <w:tcPr>
                  <w:tcW w:w="1223" w:type="dxa"/>
                  <w:shd w:val="clear" w:color="auto" w:fill="auto"/>
                  <w:vAlign w:val="center"/>
                </w:tcPr>
                <w:p>
                  <w:pPr>
                    <w:bidi w:val="0"/>
                    <w:spacing w:line="240" w:lineRule="auto"/>
                    <w:jc w:val="center"/>
                    <w:rPr>
                      <w:rFonts w:hint="eastAsia"/>
                      <w:sz w:val="21"/>
                      <w:szCs w:val="21"/>
                      <w:lang w:val="en-US" w:eastAsia="zh-CN"/>
                    </w:rPr>
                  </w:pPr>
                  <w:r>
                    <w:rPr>
                      <w:rFonts w:hint="eastAsia"/>
                      <w:sz w:val="21"/>
                      <w:szCs w:val="21"/>
                      <w:lang w:val="en-US" w:eastAsia="zh-CN"/>
                    </w:rPr>
                    <w:t>0</w:t>
                  </w:r>
                </w:p>
              </w:tc>
              <w:tc>
                <w:tcPr>
                  <w:tcW w:w="1221"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3.5</w:t>
                  </w:r>
                </w:p>
              </w:tc>
              <w:tc>
                <w:tcPr>
                  <w:tcW w:w="1224" w:type="dxa"/>
                  <w:vAlign w:val="center"/>
                </w:tcPr>
                <w:p>
                  <w:pPr>
                    <w:bidi w:val="0"/>
                    <w:spacing w:line="240" w:lineRule="auto"/>
                    <w:jc w:val="center"/>
                    <w:rPr>
                      <w:rFonts w:hint="default"/>
                      <w:sz w:val="21"/>
                      <w:szCs w:val="21"/>
                      <w:lang w:val="en-US" w:eastAsia="zh-CN"/>
                    </w:rPr>
                  </w:pPr>
                  <w:r>
                    <w:rPr>
                      <w:rFonts w:hint="eastAsia"/>
                      <w:sz w:val="21"/>
                      <w:szCs w:val="21"/>
                      <w:lang w:val="en-US" w:eastAsia="zh-CN"/>
                    </w:rPr>
                    <w:t>10.7</w:t>
                  </w:r>
                </w:p>
              </w:tc>
              <w:tc>
                <w:tcPr>
                  <w:tcW w:w="1224" w:type="dxa"/>
                  <w:shd w:val="clear" w:color="auto" w:fill="auto"/>
                  <w:vAlign w:val="center"/>
                </w:tcPr>
                <w:p>
                  <w:pPr>
                    <w:bidi w:val="0"/>
                    <w:spacing w:line="240" w:lineRule="auto"/>
                    <w:jc w:val="center"/>
                    <w:rPr>
                      <w:rFonts w:hint="eastAsia"/>
                      <w:sz w:val="21"/>
                      <w:szCs w:val="21"/>
                      <w:lang w:val="en-US" w:eastAsia="zh-CN"/>
                    </w:rPr>
                  </w:pPr>
                  <w:r>
                    <w:rPr>
                      <w:rFonts w:hint="eastAsia"/>
                      <w:sz w:val="21"/>
                      <w:szCs w:val="21"/>
                      <w:lang w:val="en-US" w:eastAsia="zh-CN"/>
                    </w:rPr>
                    <w:t>0</w:t>
                  </w:r>
                </w:p>
              </w:tc>
              <w:tc>
                <w:tcPr>
                  <w:tcW w:w="1224"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6" w:type="dxa"/>
                  <w:shd w:val="clear" w:color="auto" w:fill="auto"/>
                  <w:vAlign w:val="center"/>
                </w:tcPr>
                <w:p>
                  <w:pPr>
                    <w:bidi w:val="0"/>
                    <w:spacing w:line="240" w:lineRule="auto"/>
                    <w:jc w:val="center"/>
                    <w:rPr>
                      <w:sz w:val="21"/>
                      <w:szCs w:val="21"/>
                    </w:rPr>
                  </w:pPr>
                  <w:r>
                    <w:rPr>
                      <w:sz w:val="21"/>
                      <w:szCs w:val="21"/>
                    </w:rPr>
                    <w:t>超标倍数（倍）</w:t>
                  </w:r>
                </w:p>
              </w:tc>
              <w:tc>
                <w:tcPr>
                  <w:tcW w:w="929" w:type="dxa"/>
                  <w:shd w:val="clear" w:color="auto" w:fill="auto"/>
                  <w:vAlign w:val="center"/>
                </w:tcPr>
                <w:p>
                  <w:pPr>
                    <w:bidi w:val="0"/>
                    <w:spacing w:line="240" w:lineRule="auto"/>
                    <w:jc w:val="center"/>
                    <w:rPr>
                      <w:rFonts w:hint="eastAsia"/>
                      <w:sz w:val="21"/>
                      <w:szCs w:val="21"/>
                      <w:lang w:val="en-US" w:eastAsia="zh-CN"/>
                    </w:rPr>
                  </w:pPr>
                  <w:r>
                    <w:rPr>
                      <w:rFonts w:hint="eastAsia"/>
                      <w:sz w:val="21"/>
                      <w:szCs w:val="21"/>
                      <w:lang w:val="en-US" w:eastAsia="zh-CN"/>
                    </w:rPr>
                    <w:t>0</w:t>
                  </w:r>
                </w:p>
              </w:tc>
              <w:tc>
                <w:tcPr>
                  <w:tcW w:w="1223" w:type="dxa"/>
                  <w:shd w:val="clear" w:color="auto" w:fill="auto"/>
                  <w:vAlign w:val="center"/>
                </w:tcPr>
                <w:p>
                  <w:pPr>
                    <w:bidi w:val="0"/>
                    <w:spacing w:line="240" w:lineRule="auto"/>
                    <w:jc w:val="center"/>
                    <w:rPr>
                      <w:rFonts w:hint="eastAsia"/>
                      <w:sz w:val="21"/>
                      <w:szCs w:val="21"/>
                      <w:lang w:val="en-US" w:eastAsia="zh-CN"/>
                    </w:rPr>
                  </w:pPr>
                  <w:r>
                    <w:rPr>
                      <w:rFonts w:hint="eastAsia"/>
                      <w:sz w:val="21"/>
                      <w:szCs w:val="21"/>
                      <w:lang w:val="en-US" w:eastAsia="zh-CN"/>
                    </w:rPr>
                    <w:t>0</w:t>
                  </w:r>
                </w:p>
              </w:tc>
              <w:tc>
                <w:tcPr>
                  <w:tcW w:w="1221"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0.59</w:t>
                  </w:r>
                </w:p>
              </w:tc>
              <w:tc>
                <w:tcPr>
                  <w:tcW w:w="1224" w:type="dxa"/>
                  <w:vAlign w:val="center"/>
                </w:tcPr>
                <w:p>
                  <w:pPr>
                    <w:bidi w:val="0"/>
                    <w:spacing w:line="240" w:lineRule="auto"/>
                    <w:jc w:val="center"/>
                    <w:rPr>
                      <w:rFonts w:hint="default"/>
                      <w:sz w:val="21"/>
                      <w:szCs w:val="21"/>
                      <w:lang w:val="en-US" w:eastAsia="zh-CN"/>
                    </w:rPr>
                  </w:pPr>
                  <w:r>
                    <w:rPr>
                      <w:rFonts w:hint="eastAsia"/>
                      <w:sz w:val="21"/>
                      <w:szCs w:val="21"/>
                      <w:lang w:val="en-US" w:eastAsia="zh-CN"/>
                    </w:rPr>
                    <w:t>1.95</w:t>
                  </w:r>
                </w:p>
              </w:tc>
              <w:tc>
                <w:tcPr>
                  <w:tcW w:w="1224" w:type="dxa"/>
                  <w:shd w:val="clear" w:color="auto" w:fill="auto"/>
                  <w:vAlign w:val="center"/>
                </w:tcPr>
                <w:p>
                  <w:pPr>
                    <w:bidi w:val="0"/>
                    <w:spacing w:line="240" w:lineRule="auto"/>
                    <w:jc w:val="center"/>
                    <w:rPr>
                      <w:rFonts w:hint="eastAsia"/>
                      <w:sz w:val="21"/>
                      <w:szCs w:val="21"/>
                      <w:lang w:val="en-US" w:eastAsia="zh-CN"/>
                    </w:rPr>
                  </w:pPr>
                  <w:r>
                    <w:rPr>
                      <w:rFonts w:hint="eastAsia"/>
                      <w:sz w:val="21"/>
                      <w:szCs w:val="21"/>
                      <w:lang w:val="en-US" w:eastAsia="zh-CN"/>
                    </w:rPr>
                    <w:t>0</w:t>
                  </w:r>
                </w:p>
              </w:tc>
              <w:tc>
                <w:tcPr>
                  <w:tcW w:w="1224"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6" w:type="dxa"/>
                  <w:shd w:val="clear" w:color="auto" w:fill="auto"/>
                  <w:vAlign w:val="center"/>
                </w:tcPr>
                <w:p>
                  <w:pPr>
                    <w:bidi w:val="0"/>
                    <w:spacing w:line="240" w:lineRule="auto"/>
                    <w:jc w:val="center"/>
                    <w:rPr>
                      <w:sz w:val="21"/>
                      <w:szCs w:val="21"/>
                    </w:rPr>
                  </w:pPr>
                  <w:r>
                    <w:rPr>
                      <w:sz w:val="21"/>
                      <w:szCs w:val="21"/>
                    </w:rPr>
                    <w:t>年均值</w:t>
                  </w:r>
                </w:p>
              </w:tc>
              <w:tc>
                <w:tcPr>
                  <w:tcW w:w="929" w:type="dxa"/>
                  <w:shd w:val="clear" w:color="auto" w:fill="auto"/>
                  <w:vAlign w:val="center"/>
                </w:tcPr>
                <w:p>
                  <w:pPr>
                    <w:bidi w:val="0"/>
                    <w:spacing w:line="240" w:lineRule="auto"/>
                    <w:jc w:val="center"/>
                    <w:rPr>
                      <w:rFonts w:hint="eastAsia"/>
                      <w:sz w:val="21"/>
                      <w:szCs w:val="21"/>
                      <w:lang w:val="en-US" w:eastAsia="zh-CN"/>
                    </w:rPr>
                  </w:pPr>
                  <w:r>
                    <w:rPr>
                      <w:rFonts w:hint="eastAsia"/>
                      <w:sz w:val="21"/>
                      <w:szCs w:val="21"/>
                      <w:lang w:val="en-US" w:eastAsia="zh-CN"/>
                    </w:rPr>
                    <w:t>9</w:t>
                  </w:r>
                </w:p>
              </w:tc>
              <w:tc>
                <w:tcPr>
                  <w:tcW w:w="1223"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30</w:t>
                  </w:r>
                </w:p>
              </w:tc>
              <w:tc>
                <w:tcPr>
                  <w:tcW w:w="1221"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61</w:t>
                  </w:r>
                </w:p>
              </w:tc>
              <w:tc>
                <w:tcPr>
                  <w:tcW w:w="1224" w:type="dxa"/>
                  <w:vAlign w:val="center"/>
                </w:tcPr>
                <w:p>
                  <w:pPr>
                    <w:bidi w:val="0"/>
                    <w:spacing w:line="240" w:lineRule="auto"/>
                    <w:jc w:val="center"/>
                    <w:rPr>
                      <w:rFonts w:hint="default"/>
                      <w:sz w:val="21"/>
                      <w:szCs w:val="21"/>
                      <w:lang w:val="en-US" w:eastAsia="zh-CN"/>
                    </w:rPr>
                  </w:pPr>
                  <w:r>
                    <w:rPr>
                      <w:rFonts w:hint="eastAsia"/>
                      <w:sz w:val="21"/>
                      <w:szCs w:val="21"/>
                      <w:lang w:val="en-US" w:eastAsia="zh-CN"/>
                    </w:rPr>
                    <w:t>48</w:t>
                  </w:r>
                </w:p>
              </w:tc>
              <w:tc>
                <w:tcPr>
                  <w:tcW w:w="1224"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1.2</w:t>
                  </w:r>
                </w:p>
              </w:tc>
              <w:tc>
                <w:tcPr>
                  <w:tcW w:w="1224" w:type="dxa"/>
                  <w:shd w:val="clear" w:color="auto" w:fill="auto"/>
                  <w:vAlign w:val="center"/>
                </w:tcPr>
                <w:p>
                  <w:pPr>
                    <w:bidi w:val="0"/>
                    <w:spacing w:line="240" w:lineRule="auto"/>
                    <w:jc w:val="center"/>
                    <w:rPr>
                      <w:rFonts w:hint="default"/>
                      <w:sz w:val="21"/>
                      <w:szCs w:val="21"/>
                      <w:lang w:val="en-US" w:eastAsia="zh-CN"/>
                    </w:rPr>
                  </w:pPr>
                  <w:r>
                    <w:rPr>
                      <w:rFonts w:hint="eastAsia"/>
                      <w:sz w:val="21"/>
                      <w:szCs w:val="21"/>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6" w:type="dxa"/>
                  <w:shd w:val="clear" w:color="auto" w:fill="auto"/>
                  <w:vAlign w:val="center"/>
                </w:tcPr>
                <w:p>
                  <w:pPr>
                    <w:bidi w:val="0"/>
                    <w:spacing w:line="240" w:lineRule="auto"/>
                    <w:jc w:val="center"/>
                    <w:rPr>
                      <w:sz w:val="21"/>
                      <w:szCs w:val="21"/>
                    </w:rPr>
                  </w:pPr>
                  <w:r>
                    <w:rPr>
                      <w:sz w:val="21"/>
                      <w:szCs w:val="21"/>
                    </w:rPr>
                    <w:t>标准值</w:t>
                  </w:r>
                </w:p>
              </w:tc>
              <w:tc>
                <w:tcPr>
                  <w:tcW w:w="929" w:type="dxa"/>
                  <w:shd w:val="clear" w:color="auto" w:fill="auto"/>
                  <w:vAlign w:val="center"/>
                </w:tcPr>
                <w:p>
                  <w:pPr>
                    <w:bidi w:val="0"/>
                    <w:spacing w:line="240" w:lineRule="auto"/>
                    <w:jc w:val="center"/>
                    <w:rPr>
                      <w:sz w:val="21"/>
                      <w:szCs w:val="21"/>
                    </w:rPr>
                  </w:pPr>
                  <w:r>
                    <w:rPr>
                      <w:sz w:val="21"/>
                      <w:szCs w:val="21"/>
                    </w:rPr>
                    <w:t>60</w:t>
                  </w:r>
                </w:p>
              </w:tc>
              <w:tc>
                <w:tcPr>
                  <w:tcW w:w="1223" w:type="dxa"/>
                  <w:shd w:val="clear" w:color="auto" w:fill="auto"/>
                  <w:vAlign w:val="center"/>
                </w:tcPr>
                <w:p>
                  <w:pPr>
                    <w:bidi w:val="0"/>
                    <w:spacing w:line="240" w:lineRule="auto"/>
                    <w:jc w:val="center"/>
                    <w:rPr>
                      <w:sz w:val="21"/>
                      <w:szCs w:val="21"/>
                    </w:rPr>
                  </w:pPr>
                  <w:r>
                    <w:rPr>
                      <w:sz w:val="21"/>
                      <w:szCs w:val="21"/>
                    </w:rPr>
                    <w:t>40</w:t>
                  </w:r>
                </w:p>
              </w:tc>
              <w:tc>
                <w:tcPr>
                  <w:tcW w:w="1221" w:type="dxa"/>
                  <w:shd w:val="clear" w:color="auto" w:fill="auto"/>
                  <w:vAlign w:val="center"/>
                </w:tcPr>
                <w:p>
                  <w:pPr>
                    <w:bidi w:val="0"/>
                    <w:spacing w:line="240" w:lineRule="auto"/>
                    <w:jc w:val="center"/>
                    <w:rPr>
                      <w:sz w:val="21"/>
                      <w:szCs w:val="21"/>
                    </w:rPr>
                  </w:pPr>
                  <w:r>
                    <w:rPr>
                      <w:sz w:val="21"/>
                      <w:szCs w:val="21"/>
                    </w:rPr>
                    <w:t>70</w:t>
                  </w:r>
                </w:p>
              </w:tc>
              <w:tc>
                <w:tcPr>
                  <w:tcW w:w="1224" w:type="dxa"/>
                  <w:vAlign w:val="center"/>
                </w:tcPr>
                <w:p>
                  <w:pPr>
                    <w:bidi w:val="0"/>
                    <w:spacing w:line="240" w:lineRule="auto"/>
                    <w:jc w:val="center"/>
                    <w:rPr>
                      <w:sz w:val="21"/>
                      <w:szCs w:val="21"/>
                    </w:rPr>
                  </w:pPr>
                  <w:r>
                    <w:rPr>
                      <w:sz w:val="21"/>
                      <w:szCs w:val="21"/>
                    </w:rPr>
                    <w:t>35</w:t>
                  </w:r>
                </w:p>
              </w:tc>
              <w:tc>
                <w:tcPr>
                  <w:tcW w:w="1224" w:type="dxa"/>
                  <w:shd w:val="clear" w:color="auto" w:fill="auto"/>
                  <w:vAlign w:val="center"/>
                </w:tcPr>
                <w:p>
                  <w:pPr>
                    <w:bidi w:val="0"/>
                    <w:spacing w:line="240" w:lineRule="auto"/>
                    <w:jc w:val="center"/>
                    <w:rPr>
                      <w:sz w:val="21"/>
                      <w:szCs w:val="21"/>
                    </w:rPr>
                  </w:pPr>
                  <w:r>
                    <w:rPr>
                      <w:rFonts w:hint="eastAsia"/>
                      <w:sz w:val="21"/>
                      <w:szCs w:val="21"/>
                    </w:rPr>
                    <w:t>—</w:t>
                  </w:r>
                </w:p>
              </w:tc>
              <w:tc>
                <w:tcPr>
                  <w:tcW w:w="1224" w:type="dxa"/>
                  <w:shd w:val="clear" w:color="auto" w:fill="auto"/>
                  <w:vAlign w:val="center"/>
                </w:tcPr>
                <w:p>
                  <w:pPr>
                    <w:bidi w:val="0"/>
                    <w:spacing w:line="240" w:lineRule="auto"/>
                    <w:jc w:val="center"/>
                    <w:rPr>
                      <w:sz w:val="21"/>
                      <w:szCs w:val="21"/>
                    </w:rPr>
                  </w:pPr>
                  <w:r>
                    <w:rPr>
                      <w:rFonts w:hint="eastAsia"/>
                      <w:sz w:val="21"/>
                      <w:szCs w:val="21"/>
                    </w:rPr>
                    <w:t>—</w:t>
                  </w:r>
                </w:p>
              </w:tc>
            </w:tr>
            <w:bookmarkEnd w:id="16"/>
            <w:bookmarkEnd w:id="17"/>
            <w:bookmarkEnd w:id="18"/>
          </w:tbl>
          <w:p>
            <w:pPr>
              <w:autoSpaceDE w:val="0"/>
              <w:autoSpaceDN w:val="0"/>
              <w:adjustRightInd w:val="0"/>
              <w:jc w:val="left"/>
              <w:rPr>
                <w:rFonts w:eastAsia="仿宋"/>
                <w:color w:val="000000"/>
                <w:kern w:val="0"/>
                <w:sz w:val="21"/>
                <w:szCs w:val="21"/>
              </w:rPr>
            </w:pPr>
            <w:r>
              <w:rPr>
                <w:rFonts w:eastAsia="仿宋"/>
                <w:color w:val="000000"/>
                <w:kern w:val="0"/>
                <w:sz w:val="21"/>
                <w:szCs w:val="21"/>
              </w:rPr>
              <w:t>备注：CO取95百分位，O</w:t>
            </w:r>
            <w:r>
              <w:rPr>
                <w:rFonts w:eastAsia="仿宋"/>
                <w:color w:val="000000"/>
                <w:kern w:val="0"/>
                <w:sz w:val="21"/>
                <w:szCs w:val="21"/>
                <w:vertAlign w:val="subscript"/>
              </w:rPr>
              <w:t>3</w:t>
            </w:r>
            <w:r>
              <w:rPr>
                <w:rFonts w:eastAsia="仿宋"/>
                <w:color w:val="000000"/>
                <w:kern w:val="0"/>
                <w:sz w:val="21"/>
                <w:szCs w:val="21"/>
              </w:rPr>
              <w:t>取90百分位</w:t>
            </w:r>
            <w:r>
              <w:rPr>
                <w:rFonts w:hint="eastAsia" w:eastAsia="仿宋"/>
                <w:color w:val="000000"/>
                <w:kern w:val="0"/>
                <w:sz w:val="21"/>
                <w:szCs w:val="21"/>
              </w:rPr>
              <w:t>。</w:t>
            </w:r>
          </w:p>
          <w:p>
            <w:pPr>
              <w:bidi w:val="0"/>
              <w:ind w:firstLine="480" w:firstLineChars="200"/>
              <w:rPr>
                <w:color w:val="000000"/>
              </w:rPr>
            </w:pPr>
            <w:r>
              <w:rPr>
                <w:color w:val="000000"/>
              </w:rPr>
              <w:t>据统计，</w:t>
            </w:r>
            <w:r>
              <w:rPr>
                <w:rFonts w:hint="eastAsia"/>
                <w:color w:val="000000"/>
                <w:sz w:val="24"/>
                <w:lang w:eastAsia="zh-CN"/>
              </w:rPr>
              <w:t>云田中学</w:t>
            </w:r>
            <w:r>
              <w:rPr>
                <w:color w:val="000000"/>
              </w:rPr>
              <w:t>测点污染物SO</w:t>
            </w:r>
            <w:r>
              <w:rPr>
                <w:color w:val="000000"/>
                <w:vertAlign w:val="subscript"/>
              </w:rPr>
              <w:t>2</w:t>
            </w:r>
            <w:r>
              <w:rPr>
                <w:color w:val="000000"/>
              </w:rPr>
              <w:t>、NO</w:t>
            </w:r>
            <w:r>
              <w:rPr>
                <w:color w:val="000000"/>
                <w:vertAlign w:val="subscript"/>
              </w:rPr>
              <w:t>2</w:t>
            </w:r>
            <w:r>
              <w:rPr>
                <w:color w:val="000000"/>
              </w:rPr>
              <w:t>、PM</w:t>
            </w:r>
            <w:r>
              <w:rPr>
                <w:color w:val="000000"/>
                <w:vertAlign w:val="subscript"/>
              </w:rPr>
              <w:t>10</w:t>
            </w:r>
            <w:r>
              <w:rPr>
                <w:color w:val="000000"/>
              </w:rPr>
              <w:t>、PM</w:t>
            </w:r>
            <w:r>
              <w:rPr>
                <w:color w:val="000000"/>
                <w:vertAlign w:val="subscript"/>
              </w:rPr>
              <w:t>2.5</w:t>
            </w:r>
            <w:r>
              <w:rPr>
                <w:color w:val="000000"/>
              </w:rPr>
              <w:t>、CO、O</w:t>
            </w:r>
            <w:r>
              <w:rPr>
                <w:color w:val="000000"/>
                <w:vertAlign w:val="subscript"/>
              </w:rPr>
              <w:t>3</w:t>
            </w:r>
            <w:r>
              <w:rPr>
                <w:color w:val="000000"/>
              </w:rPr>
              <w:t>年均浓度分别为</w:t>
            </w:r>
            <w:r>
              <w:rPr>
                <w:rFonts w:hint="eastAsia"/>
                <w:color w:val="000000"/>
                <w:lang w:val="en-US" w:eastAsia="zh-CN"/>
              </w:rPr>
              <w:t>9</w:t>
            </w:r>
            <w:r>
              <w:rPr>
                <w:color w:val="000000"/>
              </w:rPr>
              <w:t>ug/m</w:t>
            </w:r>
            <w:r>
              <w:rPr>
                <w:color w:val="000000"/>
                <w:vertAlign w:val="superscript"/>
              </w:rPr>
              <w:t>3</w:t>
            </w:r>
            <w:r>
              <w:rPr>
                <w:color w:val="000000"/>
              </w:rPr>
              <w:t>、</w:t>
            </w:r>
            <w:r>
              <w:rPr>
                <w:rFonts w:hint="eastAsia"/>
                <w:color w:val="000000"/>
              </w:rPr>
              <w:t>3</w:t>
            </w:r>
            <w:r>
              <w:rPr>
                <w:rFonts w:hint="eastAsia"/>
                <w:color w:val="000000"/>
                <w:lang w:val="en-US" w:eastAsia="zh-CN"/>
              </w:rPr>
              <w:t>0</w:t>
            </w:r>
            <w:r>
              <w:rPr>
                <w:color w:val="000000"/>
              </w:rPr>
              <w:t xml:space="preserve"> ug/m</w:t>
            </w:r>
            <w:r>
              <w:rPr>
                <w:color w:val="000000"/>
                <w:vertAlign w:val="superscript"/>
              </w:rPr>
              <w:t>3</w:t>
            </w:r>
            <w:r>
              <w:rPr>
                <w:color w:val="000000"/>
              </w:rPr>
              <w:t>、</w:t>
            </w:r>
            <w:r>
              <w:rPr>
                <w:rFonts w:hint="eastAsia"/>
                <w:color w:val="000000"/>
                <w:lang w:val="en-US" w:eastAsia="zh-CN"/>
              </w:rPr>
              <w:t>61</w:t>
            </w:r>
            <w:r>
              <w:rPr>
                <w:color w:val="000000"/>
              </w:rPr>
              <w:t>ug/m</w:t>
            </w:r>
            <w:r>
              <w:rPr>
                <w:color w:val="000000"/>
                <w:vertAlign w:val="superscript"/>
              </w:rPr>
              <w:t>3</w:t>
            </w:r>
            <w:r>
              <w:rPr>
                <w:color w:val="000000"/>
              </w:rPr>
              <w:t>、</w:t>
            </w:r>
            <w:r>
              <w:rPr>
                <w:rFonts w:hint="eastAsia"/>
                <w:color w:val="000000"/>
              </w:rPr>
              <w:t>4</w:t>
            </w:r>
            <w:r>
              <w:rPr>
                <w:rFonts w:hint="eastAsia"/>
                <w:color w:val="000000"/>
                <w:lang w:val="en-US" w:eastAsia="zh-CN"/>
              </w:rPr>
              <w:t>8</w:t>
            </w:r>
            <w:r>
              <w:rPr>
                <w:color w:val="000000"/>
              </w:rPr>
              <w:t>ug/m</w:t>
            </w:r>
            <w:r>
              <w:rPr>
                <w:color w:val="000000"/>
                <w:vertAlign w:val="superscript"/>
              </w:rPr>
              <w:t>3</w:t>
            </w:r>
            <w:r>
              <w:rPr>
                <w:color w:val="000000"/>
              </w:rPr>
              <w:t>、</w:t>
            </w:r>
            <w:r>
              <w:rPr>
                <w:rFonts w:hint="eastAsia"/>
                <w:color w:val="000000"/>
              </w:rPr>
              <w:t>1.</w:t>
            </w:r>
            <w:r>
              <w:rPr>
                <w:rFonts w:hint="eastAsia"/>
                <w:color w:val="000000"/>
                <w:lang w:val="en-US" w:eastAsia="zh-CN"/>
              </w:rPr>
              <w:t>2</w:t>
            </w:r>
            <w:r>
              <w:rPr>
                <w:color w:val="000000"/>
              </w:rPr>
              <w:t>mg/m</w:t>
            </w:r>
            <w:r>
              <w:rPr>
                <w:color w:val="000000"/>
                <w:vertAlign w:val="superscript"/>
              </w:rPr>
              <w:t>3</w:t>
            </w:r>
            <w:r>
              <w:rPr>
                <w:color w:val="000000"/>
              </w:rPr>
              <w:t>和</w:t>
            </w:r>
            <w:r>
              <w:rPr>
                <w:rFonts w:hint="eastAsia"/>
                <w:color w:val="000000"/>
              </w:rPr>
              <w:t>1</w:t>
            </w:r>
            <w:r>
              <w:rPr>
                <w:rFonts w:hint="eastAsia"/>
                <w:color w:val="000000"/>
                <w:lang w:val="en-US" w:eastAsia="zh-CN"/>
              </w:rPr>
              <w:t>48</w:t>
            </w:r>
            <w:r>
              <w:rPr>
                <w:color w:val="000000"/>
              </w:rPr>
              <w:t>ug/m</w:t>
            </w:r>
            <w:r>
              <w:rPr>
                <w:color w:val="000000"/>
                <w:vertAlign w:val="superscript"/>
              </w:rPr>
              <w:t>3</w:t>
            </w:r>
            <w:r>
              <w:rPr>
                <w:color w:val="000000"/>
              </w:rPr>
              <w:t>。以污染物年均浓度值评价， SO</w:t>
            </w:r>
            <w:r>
              <w:rPr>
                <w:color w:val="000000"/>
                <w:vertAlign w:val="subscript"/>
              </w:rPr>
              <w:t>2</w:t>
            </w:r>
            <w:r>
              <w:rPr>
                <w:rFonts w:hint="eastAsia"/>
                <w:color w:val="000000"/>
                <w:lang w:eastAsia="zh-CN"/>
              </w:rPr>
              <w:t>、</w:t>
            </w:r>
            <w:r>
              <w:rPr>
                <w:color w:val="000000"/>
              </w:rPr>
              <w:t>NO</w:t>
            </w:r>
            <w:r>
              <w:rPr>
                <w:color w:val="000000"/>
                <w:vertAlign w:val="subscript"/>
              </w:rPr>
              <w:t>2</w:t>
            </w:r>
            <w:r>
              <w:rPr>
                <w:rFonts w:hint="eastAsia"/>
                <w:color w:val="000000"/>
                <w:lang w:eastAsia="zh-CN"/>
              </w:rPr>
              <w:t>和</w:t>
            </w:r>
            <w:r>
              <w:rPr>
                <w:color w:val="000000"/>
              </w:rPr>
              <w:t>PM</w:t>
            </w:r>
            <w:r>
              <w:rPr>
                <w:color w:val="000000"/>
                <w:vertAlign w:val="subscript"/>
              </w:rPr>
              <w:t>10</w:t>
            </w:r>
            <w:r>
              <w:rPr>
                <w:color w:val="000000"/>
              </w:rPr>
              <w:t>年均浓度均达到GB3095-2012《环境空气质量标准》中的二级标准；PM</w:t>
            </w:r>
            <w:r>
              <w:rPr>
                <w:color w:val="000000"/>
                <w:vertAlign w:val="subscript"/>
              </w:rPr>
              <w:t>2.5</w:t>
            </w:r>
            <w:r>
              <w:rPr>
                <w:color w:val="000000"/>
              </w:rPr>
              <w:t>年均浓度均未能达到GB3095-2012《环境空气质量标准》中的二级标准，O</w:t>
            </w:r>
            <w:r>
              <w:rPr>
                <w:color w:val="000000"/>
                <w:vertAlign w:val="subscript"/>
              </w:rPr>
              <w:t>3</w:t>
            </w:r>
            <w:r>
              <w:rPr>
                <w:color w:val="000000"/>
              </w:rPr>
              <w:t>和</w:t>
            </w:r>
            <w:r>
              <w:t>CO年均浓度没有评价标准。可见，项目所在区域为不达标区</w:t>
            </w:r>
            <w:r>
              <w:rPr>
                <w:color w:val="000000"/>
              </w:rPr>
              <w:t>。</w:t>
            </w:r>
          </w:p>
          <w:p>
            <w:pPr>
              <w:bidi w:val="0"/>
              <w:ind w:firstLine="480" w:firstLineChars="200"/>
              <w:rPr>
                <w:u w:val="single"/>
              </w:rPr>
            </w:pPr>
            <w:r>
              <w:rPr>
                <w:rFonts w:hint="eastAsia"/>
                <w:u w:val="single"/>
              </w:rPr>
              <w:t>根据调查，</w:t>
            </w:r>
            <w:r>
              <w:rPr>
                <w:rFonts w:hint="eastAsia"/>
                <w:u w:val="single"/>
                <w:lang w:eastAsia="zh-CN"/>
              </w:rPr>
              <w:t>云龙示范区</w:t>
            </w:r>
            <w:r>
              <w:rPr>
                <w:rFonts w:hint="eastAsia"/>
                <w:u w:val="single"/>
                <w:lang w:val="en-US" w:eastAsia="zh-CN"/>
              </w:rPr>
              <w:t>PM</w:t>
            </w:r>
            <w:r>
              <w:rPr>
                <w:rFonts w:hint="eastAsia"/>
                <w:u w:val="single"/>
                <w:vertAlign w:val="subscript"/>
                <w:lang w:val="en-US" w:eastAsia="zh-CN"/>
              </w:rPr>
              <w:t>2.5</w:t>
            </w:r>
            <w:r>
              <w:rPr>
                <w:rFonts w:hint="eastAsia"/>
                <w:u w:val="single"/>
              </w:rPr>
              <w:t>超标的主要原因为</w:t>
            </w:r>
            <w:r>
              <w:rPr>
                <w:rFonts w:hint="eastAsia"/>
                <w:u w:val="single"/>
                <w:lang w:eastAsia="zh-CN"/>
              </w:rPr>
              <w:t>该区域</w:t>
            </w:r>
            <w:r>
              <w:rPr>
                <w:rFonts w:hint="eastAsia"/>
                <w:u w:val="single"/>
              </w:rPr>
              <w:t>目前正在大量的进行基础建设，待大规模的基础建设结束时，</w:t>
            </w:r>
            <w:r>
              <w:rPr>
                <w:rFonts w:hint="eastAsia"/>
                <w:u w:val="single"/>
                <w:lang w:val="en-US" w:eastAsia="zh-CN"/>
              </w:rPr>
              <w:t>PM</w:t>
            </w:r>
            <w:r>
              <w:rPr>
                <w:rFonts w:hint="eastAsia"/>
                <w:u w:val="single"/>
                <w:vertAlign w:val="subscript"/>
                <w:lang w:val="en-US" w:eastAsia="zh-CN"/>
              </w:rPr>
              <w:t>2.5</w:t>
            </w:r>
            <w:r>
              <w:rPr>
                <w:rFonts w:hint="eastAsia"/>
                <w:u w:val="single"/>
              </w:rPr>
              <w:t>浓度及占标率均会降低。根据《湖南省污染防治攻坚战三年行动计划（2018-2020年）》、《湖南省“蓝天保卫战”实施方案》（2018-2020年）文件内容要求，湖南省人民政府持续深入开展大气污染治理，采取的主要措施如下：①积极推动转型升级：促进产业结构调整、推进“散乱污”企业整治、优化能源结构调整、加快清洁能源替代利用、推动交通结构调整、加快绿色交通体系建设、推进油品提质升级。②加大污染治理力度：推动工业污染源稳定达标排放、加强工业企业无组织排放管控、加强工业园区大气污染防治、推动重点地区和重点行业执行大气污染物特别排放限值、推进火电钢铁行业超低排放改造、全面推进工业VOC</w:t>
            </w:r>
            <w:r>
              <w:rPr>
                <w:rFonts w:hint="eastAsia"/>
                <w:u w:val="single"/>
                <w:vertAlign w:val="subscript"/>
                <w:lang w:val="en-US" w:eastAsia="zh-CN"/>
              </w:rPr>
              <w:t>S</w:t>
            </w:r>
            <w:r>
              <w:rPr>
                <w:rFonts w:hint="eastAsia"/>
                <w:u w:val="single"/>
              </w:rPr>
              <w:t>综合治理、打好柴油货车污染治理攻坚战、加强非道路移动机械和船舶污染管控、加强扬尘污染治理、严禁秸秆露天焚烧、加强生活面源整治。重点抓好全省特护期和长沙市、株洲市、湘潭市以及常德市、岳阳市、益阳市等传输通道城市环境空气质量改善，确保完成目标任务。采取上述措施后，株洲市环境空气质量状况可得到改善</w:t>
            </w:r>
          </w:p>
          <w:p>
            <w:pPr>
              <w:pStyle w:val="3"/>
              <w:spacing w:line="240" w:lineRule="auto"/>
              <w:ind w:firstLine="482" w:firstLineChars="200"/>
              <w:jc w:val="both"/>
              <w:rPr>
                <w:sz w:val="24"/>
                <w:highlight w:val="none"/>
              </w:rPr>
            </w:pPr>
            <w:r>
              <w:rPr>
                <w:rFonts w:hint="eastAsia"/>
                <w:b/>
                <w:sz w:val="24"/>
                <w:highlight w:val="none"/>
                <w:lang w:val="en-US" w:eastAsia="zh-CN"/>
              </w:rPr>
              <w:t>2</w:t>
            </w:r>
            <w:r>
              <w:rPr>
                <w:b/>
                <w:sz w:val="24"/>
                <w:highlight w:val="none"/>
              </w:rPr>
              <w:t>、水环境质量现状</w:t>
            </w:r>
          </w:p>
          <w:p>
            <w:pPr>
              <w:bidi w:val="0"/>
              <w:ind w:firstLine="480" w:firstLineChars="200"/>
              <w:rPr>
                <w:rFonts w:hint="eastAsia"/>
              </w:rPr>
            </w:pPr>
            <w:r>
              <w:t>株洲市环境监测中心站对湘江</w:t>
            </w:r>
            <w:r>
              <w:rPr>
                <w:rFonts w:hint="eastAsia"/>
                <w:lang w:eastAsia="zh-CN"/>
              </w:rPr>
              <w:t>白石</w:t>
            </w:r>
            <w:r>
              <w:t>断面</w:t>
            </w:r>
            <w:r>
              <w:rPr>
                <w:rFonts w:hint="eastAsia"/>
                <w:lang w:eastAsia="zh-CN"/>
              </w:rPr>
              <w:t>和白石港</w:t>
            </w:r>
            <w:r>
              <w:t>设有常规监测断面</w:t>
            </w:r>
            <w:r>
              <w:rPr>
                <w:rFonts w:hint="eastAsia"/>
              </w:rPr>
              <w:t>。</w:t>
            </w:r>
            <w:r>
              <w:t>本评价收集</w:t>
            </w:r>
            <w:r>
              <w:rPr>
                <w:rFonts w:hint="eastAsia"/>
              </w:rPr>
              <w:t>了</w:t>
            </w:r>
            <w:r>
              <w:t>湘江</w:t>
            </w:r>
            <w:r>
              <w:rPr>
                <w:rFonts w:hint="eastAsia"/>
                <w:lang w:eastAsia="zh-CN"/>
              </w:rPr>
              <w:t>白石</w:t>
            </w:r>
            <w:r>
              <w:t>断面</w:t>
            </w:r>
            <w:r>
              <w:rPr>
                <w:rFonts w:hint="eastAsia"/>
                <w:lang w:eastAsia="zh-CN"/>
              </w:rPr>
              <w:t>和白石港</w:t>
            </w:r>
            <w:r>
              <w:rPr>
                <w:rFonts w:hint="eastAsia"/>
              </w:rPr>
              <w:t>201</w:t>
            </w:r>
            <w:r>
              <w:rPr>
                <w:rFonts w:hint="eastAsia"/>
                <w:lang w:val="en-US" w:eastAsia="zh-CN"/>
              </w:rPr>
              <w:t>9</w:t>
            </w:r>
            <w:r>
              <w:rPr>
                <w:rFonts w:hint="eastAsia"/>
              </w:rPr>
              <w:t>年</w:t>
            </w:r>
            <w:r>
              <w:t>监测数据</w:t>
            </w:r>
            <w:r>
              <w:rPr>
                <w:rFonts w:hint="eastAsia"/>
                <w:lang w:eastAsia="zh-CN"/>
              </w:rPr>
              <w:t>。</w:t>
            </w:r>
            <w:r>
              <w:t>湘江</w:t>
            </w:r>
            <w:r>
              <w:rPr>
                <w:rFonts w:hint="eastAsia"/>
                <w:lang w:eastAsia="zh-CN"/>
              </w:rPr>
              <w:t>白石断面</w:t>
            </w:r>
            <w:r>
              <w:t>执行GB3838-2002《地表水环境质量标准》</w:t>
            </w:r>
            <w:r>
              <w:rPr>
                <w:rFonts w:hint="eastAsia"/>
              </w:rPr>
              <w:t>Ⅱ</w:t>
            </w:r>
            <w:r>
              <w:t>类水质标准</w:t>
            </w:r>
            <w:r>
              <w:rPr>
                <w:rFonts w:hint="eastAsia"/>
                <w:lang w:eastAsia="zh-CN"/>
              </w:rPr>
              <w:t>，</w:t>
            </w:r>
            <w:r>
              <w:rPr>
                <w:rFonts w:hint="eastAsia"/>
              </w:rPr>
              <w:t>白石港云龙示范区段</w:t>
            </w:r>
            <w:r>
              <w:rPr>
                <w:rFonts w:hint="eastAsia"/>
                <w:lang w:eastAsia="zh-CN"/>
              </w:rPr>
              <w:t>（龙母河）</w:t>
            </w:r>
            <w:r>
              <w:rPr>
                <w:rFonts w:hint="eastAsia"/>
              </w:rPr>
              <w:t>为景观水体，执行GB3838-2002《地表水环境质量标准》IV类水质标准。</w:t>
            </w:r>
          </w:p>
          <w:p>
            <w:pPr>
              <w:bidi w:val="0"/>
              <w:jc w:val="center"/>
              <w:rPr>
                <w:b/>
                <w:bCs/>
              </w:rPr>
            </w:pPr>
            <w:r>
              <w:rPr>
                <w:rFonts w:hint="eastAsia"/>
                <w:b/>
                <w:bCs/>
              </w:rPr>
              <w:t>表</w:t>
            </w:r>
            <w:r>
              <w:rPr>
                <w:b/>
                <w:bCs/>
              </w:rPr>
              <w:t>1</w:t>
            </w:r>
            <w:r>
              <w:rPr>
                <w:rFonts w:hint="eastAsia"/>
                <w:b/>
                <w:bCs/>
                <w:lang w:val="en-US" w:eastAsia="zh-CN"/>
              </w:rPr>
              <w:t>8</w:t>
            </w:r>
            <w:r>
              <w:rPr>
                <w:rFonts w:hint="eastAsia"/>
                <w:b/>
                <w:bCs/>
              </w:rPr>
              <w:t xml:space="preserve">  湘江</w:t>
            </w:r>
            <w:r>
              <w:rPr>
                <w:rFonts w:hint="eastAsia"/>
                <w:b/>
                <w:bCs/>
                <w:lang w:eastAsia="zh-CN"/>
              </w:rPr>
              <w:t>白石</w:t>
            </w:r>
            <w:r>
              <w:rPr>
                <w:rFonts w:hint="eastAsia"/>
                <w:b/>
                <w:bCs/>
              </w:rPr>
              <w:t>断面201</w:t>
            </w:r>
            <w:r>
              <w:rPr>
                <w:rFonts w:hint="eastAsia"/>
                <w:b/>
                <w:bCs/>
                <w:lang w:val="en-US" w:eastAsia="zh-CN"/>
              </w:rPr>
              <w:t>9</w:t>
            </w:r>
            <w:r>
              <w:rPr>
                <w:rFonts w:hint="eastAsia"/>
                <w:b/>
                <w:bCs/>
              </w:rPr>
              <w:t xml:space="preserve">年常规监测数据 </w:t>
            </w:r>
            <w:r>
              <w:rPr>
                <w:b/>
                <w:bCs/>
              </w:rPr>
              <w:t xml:space="preserve">   </w:t>
            </w:r>
            <w:r>
              <w:rPr>
                <w:rFonts w:hint="eastAsia"/>
                <w:b/>
                <w:bCs/>
              </w:rPr>
              <w:t>单位：m</w:t>
            </w:r>
            <w:r>
              <w:rPr>
                <w:b/>
                <w:bCs/>
              </w:rPr>
              <w:t>g/L</w:t>
            </w:r>
            <w:r>
              <w:rPr>
                <w:rFonts w:hint="eastAsia"/>
                <w:b/>
                <w:bCs/>
              </w:rPr>
              <w:t>（p</w:t>
            </w:r>
            <w:r>
              <w:rPr>
                <w:b/>
                <w:bCs/>
              </w:rPr>
              <w:t>H</w:t>
            </w:r>
            <w:r>
              <w:rPr>
                <w:rFonts w:hint="eastAsia"/>
                <w:b/>
                <w:bCs/>
              </w:rPr>
              <w:t>除外）</w:t>
            </w:r>
          </w:p>
          <w:tbl>
            <w:tblPr>
              <w:tblStyle w:val="34"/>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04"/>
              <w:gridCol w:w="851"/>
              <w:gridCol w:w="708"/>
              <w:gridCol w:w="709"/>
              <w:gridCol w:w="851"/>
              <w:gridCol w:w="737"/>
              <w:gridCol w:w="851"/>
              <w:gridCol w:w="947"/>
              <w:gridCol w:w="850"/>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因子</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PH</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COD</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生化需氧量</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氨氮</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石油类</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总磷</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阴离子</w:t>
                  </w:r>
                  <w:r>
                    <w:rPr>
                      <w:rFonts w:hint="eastAsia"/>
                      <w:sz w:val="18"/>
                      <w:szCs w:val="18"/>
                      <w:lang w:eastAsia="zh-CN"/>
                    </w:rPr>
                    <w:t>表面活性</w:t>
                  </w:r>
                  <w:r>
                    <w:rPr>
                      <w:rFonts w:hint="eastAsia"/>
                      <w:sz w:val="18"/>
                      <w:szCs w:val="18"/>
                    </w:rPr>
                    <w:t>剂</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挥发酚</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硫化物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年均值</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default" w:ascii="Times New Roman" w:hAnsi="Times New Roman" w:eastAsia="宋体" w:cs="Times New Roman"/>
                      <w:i w:val="0"/>
                      <w:color w:val="000000"/>
                      <w:kern w:val="0"/>
                      <w:sz w:val="18"/>
                      <w:szCs w:val="18"/>
                      <w:u w:val="none"/>
                      <w:lang w:val="en-US" w:eastAsia="zh-CN" w:bidi="ar"/>
                    </w:rPr>
                    <w:t>7.3</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18"/>
                      <w:szCs w:val="18"/>
                      <w:lang w:val="en-US" w:eastAsia="zh-CN"/>
                    </w:rPr>
                  </w:pPr>
                  <w:r>
                    <w:rPr>
                      <w:rFonts w:hint="eastAsia"/>
                      <w:sz w:val="18"/>
                      <w:szCs w:val="18"/>
                      <w:lang w:val="en-US" w:eastAsia="zh-CN"/>
                    </w:rPr>
                    <w:t>9</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1.1</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0.15</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0.010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0.04</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0.05</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0.0005</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最大值</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default" w:ascii="Times New Roman" w:hAnsi="Times New Roman" w:eastAsia="宋体" w:cs="Times New Roman"/>
                      <w:i w:val="0"/>
                      <w:color w:val="000000"/>
                      <w:kern w:val="0"/>
                      <w:sz w:val="18"/>
                      <w:szCs w:val="18"/>
                      <w:u w:val="none"/>
                      <w:lang w:val="en-US" w:eastAsia="zh-CN" w:bidi="ar"/>
                    </w:rPr>
                    <w:t>7.76</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13</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2.6</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0.46</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0.030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0.08</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0.07</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0.0006</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最小值</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default" w:ascii="Times New Roman" w:hAnsi="Times New Roman" w:eastAsia="宋体" w:cs="Times New Roman"/>
                      <w:i w:val="0"/>
                      <w:color w:val="000000"/>
                      <w:kern w:val="0"/>
                      <w:sz w:val="18"/>
                      <w:szCs w:val="18"/>
                      <w:u w:val="none"/>
                      <w:lang w:val="en-US" w:eastAsia="zh-CN" w:bidi="ar"/>
                    </w:rPr>
                    <w:t>6.64</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18"/>
                      <w:szCs w:val="18"/>
                      <w:lang w:val="en-US" w:eastAsia="zh-CN"/>
                    </w:rPr>
                  </w:pPr>
                  <w:r>
                    <w:rPr>
                      <w:rFonts w:hint="eastAsia"/>
                      <w:sz w:val="18"/>
                      <w:szCs w:val="18"/>
                      <w:lang w:val="en-US" w:eastAsia="zh-CN"/>
                    </w:rPr>
                    <w:t>4</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0.3</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0.03</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0.005</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0.02</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0.02</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0.0005</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超标率%</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最大超标倍数</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GB3838-2002</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Ⅱ类标准</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6-7</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15</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3</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0.50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0.05</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0.1</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0.2</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0.002</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因子</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铜</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锌</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氟化物</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砷</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汞</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镉</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铅</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六价铬</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总氰化物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年均值</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0.00100</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0.0040</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0.210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0.0050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0.000005</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0.00010</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0.00020</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0.002</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最大值</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0.00699</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0.0145</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0.400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0.0113</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0.000005</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0.00048</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0.00121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0.002</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最小值</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0.00004</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0.0003</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0.128</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0.0013</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0.000005</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0.00003</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0.00005</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0.002</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18"/>
                      <w:szCs w:val="18"/>
                      <w:lang w:val="en-US" w:eastAsia="zh-CN"/>
                    </w:rPr>
                  </w:pPr>
                  <w:r>
                    <w:rPr>
                      <w:rFonts w:hint="eastAsia"/>
                      <w:sz w:val="18"/>
                      <w:szCs w:val="18"/>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超标率%</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最大超标倍数</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04"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GB3838-2002</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18"/>
                      <w:szCs w:val="18"/>
                    </w:rPr>
                  </w:pPr>
                  <w:r>
                    <w:rPr>
                      <w:rFonts w:hint="eastAsia"/>
                      <w:sz w:val="18"/>
                      <w:szCs w:val="18"/>
                    </w:rPr>
                    <w:t>Ⅱ类标准</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1</w:t>
                  </w:r>
                </w:p>
              </w:tc>
              <w:tc>
                <w:tcPr>
                  <w:tcW w:w="70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1</w:t>
                  </w:r>
                </w:p>
              </w:tc>
              <w:tc>
                <w:tcPr>
                  <w:tcW w:w="7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1</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0.05</w:t>
                  </w:r>
                </w:p>
              </w:tc>
              <w:tc>
                <w:tcPr>
                  <w:tcW w:w="73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0.00005</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0.01</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0.01</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0.05</w:t>
                  </w:r>
                </w:p>
              </w:tc>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18"/>
                      <w:szCs w:val="18"/>
                    </w:rPr>
                  </w:pPr>
                  <w:r>
                    <w:rPr>
                      <w:rFonts w:hint="eastAsia"/>
                      <w:sz w:val="18"/>
                      <w:szCs w:val="18"/>
                      <w:lang w:val="en-US" w:eastAsia="zh-CN"/>
                    </w:rPr>
                    <w:t>0.1</w:t>
                  </w:r>
                </w:p>
              </w:tc>
            </w:tr>
          </w:tbl>
          <w:p>
            <w:pPr>
              <w:bidi w:val="0"/>
              <w:jc w:val="center"/>
              <w:rPr>
                <w:b/>
                <w:bCs/>
                <w:u w:val="single"/>
              </w:rPr>
            </w:pPr>
            <w:r>
              <w:rPr>
                <w:rFonts w:hint="eastAsia"/>
                <w:b/>
                <w:bCs/>
                <w:u w:val="single"/>
                <w:lang w:eastAsia="zh-CN"/>
              </w:rPr>
              <w:t>表</w:t>
            </w:r>
            <w:r>
              <w:rPr>
                <w:rFonts w:hint="eastAsia"/>
                <w:b/>
                <w:bCs/>
                <w:u w:val="single"/>
                <w:lang w:val="en-US" w:eastAsia="zh-CN"/>
              </w:rPr>
              <w:t xml:space="preserve">19  </w:t>
            </w:r>
            <w:r>
              <w:rPr>
                <w:rFonts w:hint="eastAsia"/>
                <w:b/>
                <w:bCs/>
                <w:u w:val="single"/>
                <w:lang w:eastAsia="zh-CN"/>
              </w:rPr>
              <w:t>白石</w:t>
            </w:r>
            <w:r>
              <w:rPr>
                <w:b/>
                <w:bCs/>
                <w:u w:val="single"/>
              </w:rPr>
              <w:t>港</w:t>
            </w:r>
            <w:r>
              <w:rPr>
                <w:rFonts w:hint="eastAsia"/>
                <w:b/>
                <w:bCs/>
                <w:u w:val="single"/>
                <w:lang w:val="en-US" w:eastAsia="zh-CN"/>
              </w:rPr>
              <w:t>2019年</w:t>
            </w:r>
            <w:r>
              <w:rPr>
                <w:b/>
                <w:bCs/>
                <w:u w:val="single"/>
              </w:rPr>
              <w:t>港</w:t>
            </w:r>
            <w:r>
              <w:rPr>
                <w:rFonts w:hint="eastAsia"/>
                <w:b/>
                <w:bCs/>
                <w:u w:val="single"/>
                <w:lang w:eastAsia="zh-CN"/>
              </w:rPr>
              <w:t>水</w:t>
            </w:r>
            <w:r>
              <w:rPr>
                <w:b/>
                <w:bCs/>
                <w:u w:val="single"/>
              </w:rPr>
              <w:t>水质监测结果   单位:mg/L(pH无量纲)</w:t>
            </w:r>
          </w:p>
          <w:tbl>
            <w:tblPr>
              <w:tblStyle w:val="35"/>
              <w:tblW w:w="8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157"/>
              <w:gridCol w:w="907"/>
              <w:gridCol w:w="850"/>
              <w:gridCol w:w="964"/>
              <w:gridCol w:w="1928"/>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Align w:val="center"/>
                </w:tcPr>
                <w:p>
                  <w:pPr>
                    <w:bidi w:val="0"/>
                    <w:spacing w:line="240" w:lineRule="auto"/>
                    <w:jc w:val="center"/>
                    <w:rPr>
                      <w:rFonts w:hint="eastAsia"/>
                      <w:sz w:val="21"/>
                      <w:szCs w:val="21"/>
                      <w:u w:val="single"/>
                    </w:rPr>
                  </w:pPr>
                  <w:r>
                    <w:rPr>
                      <w:rFonts w:hint="eastAsia"/>
                      <w:sz w:val="21"/>
                      <w:szCs w:val="21"/>
                      <w:u w:val="single"/>
                    </w:rPr>
                    <w:t>时间</w:t>
                  </w:r>
                </w:p>
              </w:tc>
              <w:tc>
                <w:tcPr>
                  <w:tcW w:w="1157" w:type="dxa"/>
                  <w:vAlign w:val="center"/>
                </w:tcPr>
                <w:p>
                  <w:pPr>
                    <w:bidi w:val="0"/>
                    <w:spacing w:line="240" w:lineRule="auto"/>
                    <w:jc w:val="center"/>
                    <w:rPr>
                      <w:rFonts w:hint="eastAsia"/>
                      <w:sz w:val="21"/>
                      <w:szCs w:val="21"/>
                      <w:u w:val="single"/>
                      <w:lang w:val="en-US" w:eastAsia="zh-CN"/>
                    </w:rPr>
                  </w:pPr>
                  <w:r>
                    <w:rPr>
                      <w:rFonts w:hint="eastAsia"/>
                      <w:sz w:val="21"/>
                      <w:szCs w:val="21"/>
                      <w:u w:val="single"/>
                    </w:rPr>
                    <w:t>项目</w:t>
                  </w:r>
                </w:p>
              </w:tc>
              <w:tc>
                <w:tcPr>
                  <w:tcW w:w="907" w:type="dxa"/>
                  <w:vAlign w:val="center"/>
                </w:tcPr>
                <w:p>
                  <w:pPr>
                    <w:bidi w:val="0"/>
                    <w:spacing w:line="240" w:lineRule="auto"/>
                    <w:jc w:val="center"/>
                    <w:rPr>
                      <w:rFonts w:hint="eastAsia"/>
                      <w:sz w:val="21"/>
                      <w:szCs w:val="21"/>
                      <w:u w:val="single"/>
                      <w:lang w:val="en-US" w:eastAsia="zh-CN"/>
                    </w:rPr>
                  </w:pPr>
                  <w:r>
                    <w:rPr>
                      <w:rFonts w:hint="eastAsia"/>
                      <w:sz w:val="21"/>
                      <w:szCs w:val="21"/>
                      <w:u w:val="single"/>
                    </w:rPr>
                    <w:t>年均值</w:t>
                  </w:r>
                </w:p>
              </w:tc>
              <w:tc>
                <w:tcPr>
                  <w:tcW w:w="850" w:type="dxa"/>
                  <w:vAlign w:val="center"/>
                </w:tcPr>
                <w:p>
                  <w:pPr>
                    <w:bidi w:val="0"/>
                    <w:spacing w:line="240" w:lineRule="auto"/>
                    <w:jc w:val="center"/>
                    <w:rPr>
                      <w:rFonts w:hint="eastAsia"/>
                      <w:sz w:val="21"/>
                      <w:szCs w:val="21"/>
                      <w:u w:val="single"/>
                      <w:lang w:val="en-US" w:eastAsia="zh-CN"/>
                    </w:rPr>
                  </w:pPr>
                  <w:r>
                    <w:rPr>
                      <w:rFonts w:hint="eastAsia"/>
                      <w:sz w:val="21"/>
                      <w:szCs w:val="21"/>
                      <w:u w:val="single"/>
                    </w:rPr>
                    <w:t>最大值</w:t>
                  </w:r>
                </w:p>
              </w:tc>
              <w:tc>
                <w:tcPr>
                  <w:tcW w:w="964" w:type="dxa"/>
                  <w:vAlign w:val="center"/>
                </w:tcPr>
                <w:p>
                  <w:pPr>
                    <w:bidi w:val="0"/>
                    <w:spacing w:line="240" w:lineRule="auto"/>
                    <w:jc w:val="center"/>
                    <w:rPr>
                      <w:rFonts w:hint="eastAsia"/>
                      <w:sz w:val="21"/>
                      <w:szCs w:val="21"/>
                      <w:u w:val="single"/>
                      <w:lang w:val="en-US" w:eastAsia="zh-CN"/>
                    </w:rPr>
                  </w:pPr>
                  <w:r>
                    <w:rPr>
                      <w:rFonts w:hint="eastAsia"/>
                      <w:sz w:val="21"/>
                      <w:szCs w:val="21"/>
                      <w:u w:val="single"/>
                    </w:rPr>
                    <w:t>最小值</w:t>
                  </w:r>
                </w:p>
              </w:tc>
              <w:tc>
                <w:tcPr>
                  <w:tcW w:w="1928" w:type="dxa"/>
                  <w:vAlign w:val="center"/>
                </w:tcPr>
                <w:p>
                  <w:pPr>
                    <w:bidi w:val="0"/>
                    <w:spacing w:line="240" w:lineRule="auto"/>
                    <w:jc w:val="center"/>
                    <w:rPr>
                      <w:rFonts w:hint="eastAsia"/>
                      <w:sz w:val="21"/>
                      <w:szCs w:val="21"/>
                      <w:u w:val="single"/>
                      <w:lang w:val="en-US" w:eastAsia="zh-CN"/>
                    </w:rPr>
                  </w:pPr>
                  <w:r>
                    <w:rPr>
                      <w:rFonts w:hint="eastAsia"/>
                      <w:sz w:val="21"/>
                      <w:szCs w:val="21"/>
                      <w:u w:val="single"/>
                    </w:rPr>
                    <w:t>最大超标倍数</w:t>
                  </w:r>
                  <w:r>
                    <w:rPr>
                      <w:sz w:val="21"/>
                      <w:szCs w:val="21"/>
                      <w:u w:val="single"/>
                    </w:rPr>
                    <w:t>(</w:t>
                  </w:r>
                  <w:r>
                    <w:rPr>
                      <w:rFonts w:hint="eastAsia"/>
                      <w:sz w:val="21"/>
                      <w:szCs w:val="21"/>
                      <w:u w:val="single"/>
                    </w:rPr>
                    <w:t>倍</w:t>
                  </w:r>
                  <w:r>
                    <w:rPr>
                      <w:sz w:val="21"/>
                      <w:szCs w:val="21"/>
                      <w:u w:val="single"/>
                    </w:rPr>
                    <w:t>)</w:t>
                  </w:r>
                </w:p>
              </w:tc>
              <w:tc>
                <w:tcPr>
                  <w:tcW w:w="1490" w:type="dxa"/>
                  <w:vAlign w:val="center"/>
                </w:tcPr>
                <w:p>
                  <w:pPr>
                    <w:bidi w:val="0"/>
                    <w:spacing w:line="240" w:lineRule="auto"/>
                    <w:jc w:val="center"/>
                    <w:rPr>
                      <w:rFonts w:hint="default"/>
                      <w:sz w:val="21"/>
                      <w:szCs w:val="21"/>
                      <w:u w:val="single"/>
                      <w:lang w:val="en-US" w:eastAsia="zh-CN"/>
                    </w:rPr>
                  </w:pPr>
                  <w:r>
                    <w:rPr>
                      <w:rFonts w:hint="eastAsia"/>
                      <w:sz w:val="21"/>
                      <w:szCs w:val="21"/>
                      <w:u w:val="single"/>
                    </w:rPr>
                    <w:t>标准（IV类）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restart"/>
                  <w:vAlign w:val="center"/>
                </w:tcPr>
                <w:p>
                  <w:pPr>
                    <w:bidi w:val="0"/>
                    <w:spacing w:line="240" w:lineRule="auto"/>
                    <w:jc w:val="center"/>
                    <w:rPr>
                      <w:rFonts w:hint="eastAsia"/>
                      <w:sz w:val="21"/>
                      <w:szCs w:val="21"/>
                      <w:u w:val="single"/>
                    </w:rPr>
                  </w:pPr>
                  <w:r>
                    <w:rPr>
                      <w:sz w:val="21"/>
                      <w:szCs w:val="21"/>
                      <w:u w:val="single"/>
                    </w:rPr>
                    <w:t>201</w:t>
                  </w:r>
                  <w:r>
                    <w:rPr>
                      <w:rFonts w:hint="eastAsia"/>
                      <w:sz w:val="21"/>
                      <w:szCs w:val="21"/>
                      <w:u w:val="single"/>
                      <w:lang w:val="en-US" w:eastAsia="zh-CN"/>
                    </w:rPr>
                    <w:t>9</w:t>
                  </w:r>
                  <w:r>
                    <w:rPr>
                      <w:rFonts w:hint="eastAsia"/>
                      <w:sz w:val="21"/>
                      <w:szCs w:val="21"/>
                      <w:u w:val="single"/>
                    </w:rPr>
                    <w:t>年</w:t>
                  </w:r>
                </w:p>
              </w:tc>
              <w:tc>
                <w:tcPr>
                  <w:tcW w:w="1157" w:type="dxa"/>
                  <w:vAlign w:val="center"/>
                </w:tcPr>
                <w:p>
                  <w:pPr>
                    <w:bidi w:val="0"/>
                    <w:spacing w:line="240" w:lineRule="auto"/>
                    <w:jc w:val="center"/>
                    <w:rPr>
                      <w:rFonts w:hint="default"/>
                      <w:sz w:val="21"/>
                      <w:szCs w:val="21"/>
                      <w:u w:val="single"/>
                      <w:lang w:val="en-US" w:eastAsia="zh-CN"/>
                    </w:rPr>
                  </w:pPr>
                  <w:r>
                    <w:rPr>
                      <w:sz w:val="21"/>
                      <w:szCs w:val="21"/>
                      <w:u w:val="single"/>
                    </w:rPr>
                    <w:t>pH</w:t>
                  </w:r>
                </w:p>
              </w:tc>
              <w:tc>
                <w:tcPr>
                  <w:tcW w:w="907" w:type="dxa"/>
                  <w:vAlign w:val="center"/>
                </w:tcPr>
                <w:p>
                  <w:pPr>
                    <w:bidi w:val="0"/>
                    <w:spacing w:line="240" w:lineRule="auto"/>
                    <w:jc w:val="center"/>
                    <w:rPr>
                      <w:rFonts w:hint="default" w:eastAsia="宋体"/>
                      <w:sz w:val="21"/>
                      <w:szCs w:val="21"/>
                      <w:u w:val="single"/>
                      <w:lang w:val="en-US" w:eastAsia="zh-CN"/>
                    </w:rPr>
                  </w:pPr>
                  <w:r>
                    <w:rPr>
                      <w:rFonts w:hint="eastAsia"/>
                      <w:sz w:val="21"/>
                      <w:szCs w:val="21"/>
                      <w:u w:val="single"/>
                      <w:lang w:val="en-US" w:eastAsia="zh-CN"/>
                    </w:rPr>
                    <w:t>7.60</w:t>
                  </w:r>
                </w:p>
              </w:tc>
              <w:tc>
                <w:tcPr>
                  <w:tcW w:w="850" w:type="dxa"/>
                  <w:vAlign w:val="center"/>
                </w:tcPr>
                <w:p>
                  <w:pPr>
                    <w:bidi w:val="0"/>
                    <w:spacing w:line="240" w:lineRule="auto"/>
                    <w:jc w:val="center"/>
                    <w:rPr>
                      <w:rFonts w:hint="eastAsia" w:eastAsia="宋体"/>
                      <w:sz w:val="21"/>
                      <w:szCs w:val="21"/>
                      <w:u w:val="single"/>
                      <w:lang w:val="en-US" w:eastAsia="zh-CN"/>
                    </w:rPr>
                  </w:pPr>
                  <w:r>
                    <w:rPr>
                      <w:sz w:val="21"/>
                      <w:szCs w:val="21"/>
                      <w:u w:val="single"/>
                    </w:rPr>
                    <w:t>7.6</w:t>
                  </w:r>
                  <w:r>
                    <w:rPr>
                      <w:rFonts w:hint="eastAsia"/>
                      <w:sz w:val="21"/>
                      <w:szCs w:val="21"/>
                      <w:u w:val="single"/>
                      <w:lang w:val="en-US" w:eastAsia="zh-CN"/>
                    </w:rPr>
                    <w:t>4</w:t>
                  </w:r>
                </w:p>
              </w:tc>
              <w:tc>
                <w:tcPr>
                  <w:tcW w:w="964" w:type="dxa"/>
                  <w:vAlign w:val="center"/>
                </w:tcPr>
                <w:p>
                  <w:pPr>
                    <w:bidi w:val="0"/>
                    <w:spacing w:line="240" w:lineRule="auto"/>
                    <w:jc w:val="center"/>
                    <w:rPr>
                      <w:rFonts w:hint="default" w:eastAsia="宋体"/>
                      <w:sz w:val="21"/>
                      <w:szCs w:val="21"/>
                      <w:u w:val="single"/>
                      <w:lang w:val="en-US" w:eastAsia="zh-CN"/>
                    </w:rPr>
                  </w:pPr>
                  <w:r>
                    <w:rPr>
                      <w:sz w:val="21"/>
                      <w:szCs w:val="21"/>
                      <w:u w:val="single"/>
                    </w:rPr>
                    <w:t>7.</w:t>
                  </w:r>
                  <w:r>
                    <w:rPr>
                      <w:rFonts w:hint="eastAsia"/>
                      <w:sz w:val="21"/>
                      <w:szCs w:val="21"/>
                      <w:u w:val="single"/>
                      <w:lang w:val="en-US" w:eastAsia="zh-CN"/>
                    </w:rPr>
                    <w:t>55</w:t>
                  </w:r>
                </w:p>
              </w:tc>
              <w:tc>
                <w:tcPr>
                  <w:tcW w:w="1928" w:type="dxa"/>
                  <w:vAlign w:val="center"/>
                </w:tcPr>
                <w:p>
                  <w:pPr>
                    <w:bidi w:val="0"/>
                    <w:spacing w:line="240" w:lineRule="auto"/>
                    <w:jc w:val="center"/>
                    <w:rPr>
                      <w:rFonts w:hint="default"/>
                      <w:sz w:val="21"/>
                      <w:szCs w:val="21"/>
                      <w:u w:val="single"/>
                      <w:lang w:val="en-US" w:eastAsia="zh-CN"/>
                    </w:rPr>
                  </w:pPr>
                  <w:r>
                    <w:rPr>
                      <w:sz w:val="21"/>
                      <w:szCs w:val="21"/>
                      <w:u w:val="single"/>
                    </w:rPr>
                    <w:t>0</w:t>
                  </w:r>
                </w:p>
              </w:tc>
              <w:tc>
                <w:tcPr>
                  <w:tcW w:w="1490" w:type="dxa"/>
                  <w:vAlign w:val="center"/>
                </w:tcPr>
                <w:p>
                  <w:pPr>
                    <w:bidi w:val="0"/>
                    <w:spacing w:line="240" w:lineRule="auto"/>
                    <w:jc w:val="center"/>
                    <w:rPr>
                      <w:rFonts w:hint="default"/>
                      <w:sz w:val="21"/>
                      <w:szCs w:val="21"/>
                      <w:u w:val="single"/>
                      <w:lang w:val="en-US" w:eastAsia="zh-CN"/>
                    </w:rPr>
                  </w:pPr>
                  <w:r>
                    <w:rPr>
                      <w:sz w:val="21"/>
                      <w:szCs w:val="21"/>
                      <w:u w:val="singl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Merge w:val="continue"/>
                  <w:vAlign w:val="center"/>
                </w:tcPr>
                <w:p>
                  <w:pPr>
                    <w:bidi w:val="0"/>
                    <w:spacing w:line="240" w:lineRule="auto"/>
                    <w:jc w:val="center"/>
                    <w:rPr>
                      <w:rFonts w:hint="eastAsia"/>
                      <w:sz w:val="21"/>
                      <w:szCs w:val="21"/>
                      <w:u w:val="single"/>
                    </w:rPr>
                  </w:pPr>
                </w:p>
              </w:tc>
              <w:tc>
                <w:tcPr>
                  <w:tcW w:w="1157" w:type="dxa"/>
                  <w:vAlign w:val="center"/>
                </w:tcPr>
                <w:p>
                  <w:pPr>
                    <w:bidi w:val="0"/>
                    <w:spacing w:line="240" w:lineRule="auto"/>
                    <w:jc w:val="center"/>
                    <w:rPr>
                      <w:rFonts w:hint="eastAsia"/>
                      <w:sz w:val="21"/>
                      <w:szCs w:val="21"/>
                      <w:u w:val="single"/>
                      <w:lang w:val="en-US" w:eastAsia="zh-CN"/>
                    </w:rPr>
                  </w:pPr>
                  <w:r>
                    <w:rPr>
                      <w:sz w:val="21"/>
                      <w:szCs w:val="21"/>
                      <w:u w:val="single"/>
                    </w:rPr>
                    <w:t>COD</w:t>
                  </w:r>
                </w:p>
              </w:tc>
              <w:tc>
                <w:tcPr>
                  <w:tcW w:w="907" w:type="dxa"/>
                  <w:vAlign w:val="center"/>
                </w:tcPr>
                <w:p>
                  <w:pPr>
                    <w:bidi w:val="0"/>
                    <w:spacing w:line="240" w:lineRule="auto"/>
                    <w:jc w:val="center"/>
                    <w:rPr>
                      <w:rFonts w:hint="default" w:eastAsia="宋体"/>
                      <w:sz w:val="21"/>
                      <w:szCs w:val="21"/>
                      <w:u w:val="single"/>
                      <w:lang w:val="en-US" w:eastAsia="zh-CN"/>
                    </w:rPr>
                  </w:pPr>
                  <w:r>
                    <w:rPr>
                      <w:rFonts w:hint="eastAsia"/>
                      <w:sz w:val="21"/>
                      <w:szCs w:val="21"/>
                      <w:u w:val="single"/>
                      <w:lang w:val="en-US" w:eastAsia="zh-CN"/>
                    </w:rPr>
                    <w:t>20</w:t>
                  </w:r>
                </w:p>
              </w:tc>
              <w:tc>
                <w:tcPr>
                  <w:tcW w:w="850" w:type="dxa"/>
                  <w:vAlign w:val="center"/>
                </w:tcPr>
                <w:p>
                  <w:pPr>
                    <w:bidi w:val="0"/>
                    <w:spacing w:line="240" w:lineRule="auto"/>
                    <w:jc w:val="center"/>
                    <w:rPr>
                      <w:rFonts w:hint="default" w:eastAsia="宋体"/>
                      <w:sz w:val="21"/>
                      <w:szCs w:val="21"/>
                      <w:u w:val="single"/>
                      <w:lang w:val="en-US" w:eastAsia="zh-CN"/>
                    </w:rPr>
                  </w:pPr>
                  <w:r>
                    <w:rPr>
                      <w:rFonts w:hint="eastAsia"/>
                      <w:sz w:val="21"/>
                      <w:szCs w:val="21"/>
                      <w:u w:val="single"/>
                      <w:lang w:val="en-US" w:eastAsia="zh-CN"/>
                    </w:rPr>
                    <w:t>26</w:t>
                  </w:r>
                </w:p>
              </w:tc>
              <w:tc>
                <w:tcPr>
                  <w:tcW w:w="964" w:type="dxa"/>
                  <w:vAlign w:val="center"/>
                </w:tcPr>
                <w:p>
                  <w:pPr>
                    <w:bidi w:val="0"/>
                    <w:spacing w:line="240" w:lineRule="auto"/>
                    <w:jc w:val="center"/>
                    <w:rPr>
                      <w:rFonts w:hint="default" w:eastAsia="宋体"/>
                      <w:sz w:val="21"/>
                      <w:szCs w:val="21"/>
                      <w:u w:val="single"/>
                      <w:lang w:val="en-US" w:eastAsia="zh-CN"/>
                    </w:rPr>
                  </w:pPr>
                  <w:r>
                    <w:rPr>
                      <w:rFonts w:hint="eastAsia"/>
                      <w:sz w:val="21"/>
                      <w:szCs w:val="21"/>
                      <w:u w:val="single"/>
                      <w:lang w:val="en-US" w:eastAsia="zh-CN"/>
                    </w:rPr>
                    <w:t>15</w:t>
                  </w:r>
                </w:p>
              </w:tc>
              <w:tc>
                <w:tcPr>
                  <w:tcW w:w="1928" w:type="dxa"/>
                  <w:vAlign w:val="center"/>
                </w:tcPr>
                <w:p>
                  <w:pPr>
                    <w:bidi w:val="0"/>
                    <w:spacing w:line="240" w:lineRule="auto"/>
                    <w:jc w:val="center"/>
                    <w:rPr>
                      <w:rFonts w:hint="eastAsia" w:eastAsia="宋体"/>
                      <w:sz w:val="21"/>
                      <w:szCs w:val="21"/>
                      <w:u w:val="single"/>
                      <w:lang w:val="en-US" w:eastAsia="zh-CN"/>
                    </w:rPr>
                  </w:pPr>
                  <w:r>
                    <w:rPr>
                      <w:rFonts w:hint="eastAsia"/>
                      <w:sz w:val="21"/>
                      <w:szCs w:val="21"/>
                      <w:u w:val="single"/>
                      <w:lang w:val="en-US" w:eastAsia="zh-CN"/>
                    </w:rPr>
                    <w:t>0</w:t>
                  </w:r>
                </w:p>
              </w:tc>
              <w:tc>
                <w:tcPr>
                  <w:tcW w:w="1490" w:type="dxa"/>
                  <w:vAlign w:val="center"/>
                </w:tcPr>
                <w:p>
                  <w:pPr>
                    <w:bidi w:val="0"/>
                    <w:spacing w:line="240" w:lineRule="auto"/>
                    <w:jc w:val="center"/>
                    <w:rPr>
                      <w:rFonts w:hint="eastAsia"/>
                      <w:sz w:val="21"/>
                      <w:szCs w:val="21"/>
                      <w:u w:val="single"/>
                      <w:lang w:val="en-US" w:eastAsia="zh-CN"/>
                    </w:rPr>
                  </w:pPr>
                  <w:r>
                    <w:rPr>
                      <w:sz w:val="21"/>
                      <w:szCs w:val="21"/>
                      <w:u w:val="singl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Merge w:val="continue"/>
                  <w:vAlign w:val="center"/>
                </w:tcPr>
                <w:p>
                  <w:pPr>
                    <w:bidi w:val="0"/>
                    <w:spacing w:line="240" w:lineRule="auto"/>
                    <w:jc w:val="center"/>
                    <w:rPr>
                      <w:rFonts w:hint="default"/>
                      <w:sz w:val="21"/>
                      <w:szCs w:val="21"/>
                      <w:u w:val="single"/>
                      <w:lang w:val="en-US" w:eastAsia="zh-CN"/>
                    </w:rPr>
                  </w:pPr>
                </w:p>
              </w:tc>
              <w:tc>
                <w:tcPr>
                  <w:tcW w:w="1157" w:type="dxa"/>
                  <w:vAlign w:val="center"/>
                </w:tcPr>
                <w:p>
                  <w:pPr>
                    <w:bidi w:val="0"/>
                    <w:spacing w:line="240" w:lineRule="auto"/>
                    <w:jc w:val="center"/>
                    <w:rPr>
                      <w:rFonts w:hint="default"/>
                      <w:sz w:val="21"/>
                      <w:szCs w:val="21"/>
                      <w:u w:val="single"/>
                      <w:lang w:val="en-US" w:eastAsia="zh-CN"/>
                    </w:rPr>
                  </w:pPr>
                  <w:r>
                    <w:rPr>
                      <w:sz w:val="21"/>
                      <w:szCs w:val="21"/>
                      <w:u w:val="single"/>
                    </w:rPr>
                    <w:t>BOD</w:t>
                  </w:r>
                  <w:r>
                    <w:rPr>
                      <w:sz w:val="21"/>
                      <w:szCs w:val="21"/>
                      <w:u w:val="single"/>
                      <w:vertAlign w:val="subscript"/>
                    </w:rPr>
                    <w:t>5</w:t>
                  </w:r>
                </w:p>
              </w:tc>
              <w:tc>
                <w:tcPr>
                  <w:tcW w:w="907" w:type="dxa"/>
                  <w:vAlign w:val="center"/>
                </w:tcPr>
                <w:p>
                  <w:pPr>
                    <w:bidi w:val="0"/>
                    <w:spacing w:line="240" w:lineRule="auto"/>
                    <w:jc w:val="center"/>
                    <w:rPr>
                      <w:rFonts w:hint="default" w:eastAsia="宋体"/>
                      <w:sz w:val="21"/>
                      <w:szCs w:val="21"/>
                      <w:u w:val="single"/>
                      <w:lang w:val="en-US" w:eastAsia="zh-CN"/>
                    </w:rPr>
                  </w:pPr>
                  <w:r>
                    <w:rPr>
                      <w:rFonts w:hint="eastAsia"/>
                      <w:sz w:val="21"/>
                      <w:szCs w:val="21"/>
                      <w:u w:val="single"/>
                      <w:lang w:val="en-US" w:eastAsia="zh-CN"/>
                    </w:rPr>
                    <w:t>4.88</w:t>
                  </w:r>
                </w:p>
              </w:tc>
              <w:tc>
                <w:tcPr>
                  <w:tcW w:w="850" w:type="dxa"/>
                  <w:vAlign w:val="center"/>
                </w:tcPr>
                <w:p>
                  <w:pPr>
                    <w:bidi w:val="0"/>
                    <w:spacing w:line="240" w:lineRule="auto"/>
                    <w:jc w:val="center"/>
                    <w:rPr>
                      <w:rFonts w:hint="eastAsia" w:eastAsia="宋体"/>
                      <w:sz w:val="21"/>
                      <w:szCs w:val="21"/>
                      <w:u w:val="single"/>
                      <w:lang w:val="en-US" w:eastAsia="zh-CN"/>
                    </w:rPr>
                  </w:pPr>
                  <w:r>
                    <w:rPr>
                      <w:sz w:val="21"/>
                      <w:szCs w:val="21"/>
                      <w:u w:val="single"/>
                    </w:rPr>
                    <w:t>6.</w:t>
                  </w:r>
                  <w:r>
                    <w:rPr>
                      <w:rFonts w:hint="eastAsia"/>
                      <w:sz w:val="21"/>
                      <w:szCs w:val="21"/>
                      <w:u w:val="single"/>
                      <w:lang w:val="en-US" w:eastAsia="zh-CN"/>
                    </w:rPr>
                    <w:t>8</w:t>
                  </w:r>
                </w:p>
              </w:tc>
              <w:tc>
                <w:tcPr>
                  <w:tcW w:w="964" w:type="dxa"/>
                  <w:vAlign w:val="center"/>
                </w:tcPr>
                <w:p>
                  <w:pPr>
                    <w:bidi w:val="0"/>
                    <w:spacing w:line="240" w:lineRule="auto"/>
                    <w:jc w:val="center"/>
                    <w:rPr>
                      <w:rFonts w:hint="eastAsia" w:eastAsia="宋体"/>
                      <w:sz w:val="21"/>
                      <w:szCs w:val="21"/>
                      <w:u w:val="single"/>
                      <w:lang w:val="en-US" w:eastAsia="zh-CN"/>
                    </w:rPr>
                  </w:pPr>
                  <w:r>
                    <w:rPr>
                      <w:sz w:val="21"/>
                      <w:szCs w:val="21"/>
                      <w:u w:val="single"/>
                    </w:rPr>
                    <w:t>3.</w:t>
                  </w:r>
                  <w:r>
                    <w:rPr>
                      <w:rFonts w:hint="eastAsia"/>
                      <w:sz w:val="21"/>
                      <w:szCs w:val="21"/>
                      <w:u w:val="single"/>
                      <w:lang w:val="en-US" w:eastAsia="zh-CN"/>
                    </w:rPr>
                    <w:t>8</w:t>
                  </w:r>
                </w:p>
              </w:tc>
              <w:tc>
                <w:tcPr>
                  <w:tcW w:w="1928" w:type="dxa"/>
                  <w:vAlign w:val="center"/>
                </w:tcPr>
                <w:p>
                  <w:pPr>
                    <w:bidi w:val="0"/>
                    <w:spacing w:line="240" w:lineRule="auto"/>
                    <w:jc w:val="center"/>
                    <w:rPr>
                      <w:rFonts w:hint="default"/>
                      <w:sz w:val="21"/>
                      <w:szCs w:val="21"/>
                      <w:u w:val="single"/>
                      <w:lang w:val="en-US" w:eastAsia="zh-CN"/>
                    </w:rPr>
                  </w:pPr>
                  <w:r>
                    <w:rPr>
                      <w:sz w:val="21"/>
                      <w:szCs w:val="21"/>
                      <w:u w:val="single"/>
                    </w:rPr>
                    <w:t>0</w:t>
                  </w:r>
                </w:p>
              </w:tc>
              <w:tc>
                <w:tcPr>
                  <w:tcW w:w="1490" w:type="dxa"/>
                  <w:vAlign w:val="center"/>
                </w:tcPr>
                <w:p>
                  <w:pPr>
                    <w:bidi w:val="0"/>
                    <w:spacing w:line="240" w:lineRule="auto"/>
                    <w:jc w:val="center"/>
                    <w:rPr>
                      <w:rFonts w:hint="default"/>
                      <w:sz w:val="21"/>
                      <w:szCs w:val="21"/>
                      <w:u w:val="single"/>
                      <w:lang w:val="en-US" w:eastAsia="zh-CN"/>
                    </w:rPr>
                  </w:pPr>
                  <w:r>
                    <w:rPr>
                      <w:sz w:val="21"/>
                      <w:szCs w:val="21"/>
                      <w:u w:val="singl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Merge w:val="continue"/>
                  <w:vAlign w:val="center"/>
                </w:tcPr>
                <w:p>
                  <w:pPr>
                    <w:bidi w:val="0"/>
                    <w:spacing w:line="240" w:lineRule="auto"/>
                    <w:jc w:val="center"/>
                    <w:rPr>
                      <w:rFonts w:hint="eastAsia"/>
                      <w:sz w:val="21"/>
                      <w:szCs w:val="21"/>
                      <w:u w:val="single"/>
                      <w:lang w:val="en-US" w:eastAsia="zh-CN"/>
                    </w:rPr>
                  </w:pPr>
                </w:p>
              </w:tc>
              <w:tc>
                <w:tcPr>
                  <w:tcW w:w="1157" w:type="dxa"/>
                  <w:vAlign w:val="center"/>
                </w:tcPr>
                <w:p>
                  <w:pPr>
                    <w:bidi w:val="0"/>
                    <w:spacing w:line="240" w:lineRule="auto"/>
                    <w:jc w:val="center"/>
                    <w:rPr>
                      <w:rFonts w:hint="eastAsia"/>
                      <w:sz w:val="21"/>
                      <w:szCs w:val="21"/>
                      <w:u w:val="single"/>
                      <w:lang w:val="en-US" w:eastAsia="zh-CN"/>
                    </w:rPr>
                  </w:pPr>
                  <w:r>
                    <w:rPr>
                      <w:sz w:val="21"/>
                      <w:szCs w:val="21"/>
                      <w:u w:val="single"/>
                    </w:rPr>
                    <w:t>NH</w:t>
                  </w:r>
                  <w:r>
                    <w:rPr>
                      <w:sz w:val="21"/>
                      <w:szCs w:val="21"/>
                      <w:u w:val="single"/>
                      <w:vertAlign w:val="subscript"/>
                    </w:rPr>
                    <w:t>3</w:t>
                  </w:r>
                  <w:r>
                    <w:rPr>
                      <w:sz w:val="21"/>
                      <w:szCs w:val="21"/>
                      <w:u w:val="single"/>
                    </w:rPr>
                    <w:t>-N</w:t>
                  </w:r>
                </w:p>
              </w:tc>
              <w:tc>
                <w:tcPr>
                  <w:tcW w:w="907" w:type="dxa"/>
                  <w:vAlign w:val="center"/>
                </w:tcPr>
                <w:p>
                  <w:pPr>
                    <w:bidi w:val="0"/>
                    <w:spacing w:line="240" w:lineRule="auto"/>
                    <w:jc w:val="center"/>
                    <w:rPr>
                      <w:rFonts w:hint="default" w:eastAsia="宋体"/>
                      <w:sz w:val="21"/>
                      <w:szCs w:val="21"/>
                      <w:u w:val="single"/>
                      <w:lang w:val="en-US" w:eastAsia="zh-CN"/>
                    </w:rPr>
                  </w:pPr>
                  <w:r>
                    <w:rPr>
                      <w:rFonts w:hint="eastAsia"/>
                      <w:sz w:val="21"/>
                      <w:szCs w:val="21"/>
                      <w:u w:val="single"/>
                      <w:lang w:val="en-US" w:eastAsia="zh-CN"/>
                    </w:rPr>
                    <w:t>1.85</w:t>
                  </w:r>
                </w:p>
              </w:tc>
              <w:tc>
                <w:tcPr>
                  <w:tcW w:w="850" w:type="dxa"/>
                  <w:vAlign w:val="center"/>
                </w:tcPr>
                <w:p>
                  <w:pPr>
                    <w:bidi w:val="0"/>
                    <w:spacing w:line="240" w:lineRule="auto"/>
                    <w:jc w:val="center"/>
                    <w:rPr>
                      <w:rFonts w:hint="default" w:eastAsia="宋体"/>
                      <w:sz w:val="21"/>
                      <w:szCs w:val="21"/>
                      <w:u w:val="single"/>
                      <w:lang w:val="en-US" w:eastAsia="zh-CN"/>
                    </w:rPr>
                  </w:pPr>
                  <w:r>
                    <w:rPr>
                      <w:rFonts w:hint="eastAsia"/>
                      <w:sz w:val="21"/>
                      <w:szCs w:val="21"/>
                      <w:u w:val="single"/>
                      <w:lang w:val="en-US" w:eastAsia="zh-CN"/>
                    </w:rPr>
                    <w:t>3.93</w:t>
                  </w:r>
                </w:p>
              </w:tc>
              <w:tc>
                <w:tcPr>
                  <w:tcW w:w="964" w:type="dxa"/>
                  <w:vAlign w:val="center"/>
                </w:tcPr>
                <w:p>
                  <w:pPr>
                    <w:bidi w:val="0"/>
                    <w:spacing w:line="240" w:lineRule="auto"/>
                    <w:jc w:val="center"/>
                    <w:rPr>
                      <w:rFonts w:hint="eastAsia" w:eastAsia="宋体"/>
                      <w:sz w:val="21"/>
                      <w:szCs w:val="21"/>
                      <w:u w:val="single"/>
                      <w:lang w:val="en-US" w:eastAsia="zh-CN"/>
                    </w:rPr>
                  </w:pPr>
                  <w:r>
                    <w:rPr>
                      <w:sz w:val="21"/>
                      <w:szCs w:val="21"/>
                      <w:u w:val="single"/>
                    </w:rPr>
                    <w:t>0.9</w:t>
                  </w:r>
                  <w:r>
                    <w:rPr>
                      <w:rFonts w:hint="eastAsia"/>
                      <w:sz w:val="21"/>
                      <w:szCs w:val="21"/>
                      <w:u w:val="single"/>
                      <w:lang w:val="en-US" w:eastAsia="zh-CN"/>
                    </w:rPr>
                    <w:t>3</w:t>
                  </w:r>
                </w:p>
              </w:tc>
              <w:tc>
                <w:tcPr>
                  <w:tcW w:w="1928" w:type="dxa"/>
                  <w:vAlign w:val="center"/>
                </w:tcPr>
                <w:p>
                  <w:pPr>
                    <w:bidi w:val="0"/>
                    <w:spacing w:line="240" w:lineRule="auto"/>
                    <w:jc w:val="center"/>
                    <w:rPr>
                      <w:rFonts w:hint="default" w:eastAsia="宋体"/>
                      <w:sz w:val="21"/>
                      <w:szCs w:val="21"/>
                      <w:u w:val="single"/>
                      <w:lang w:val="en-US" w:eastAsia="zh-CN"/>
                    </w:rPr>
                  </w:pPr>
                  <w:r>
                    <w:rPr>
                      <w:rFonts w:hint="eastAsia"/>
                      <w:sz w:val="21"/>
                      <w:szCs w:val="21"/>
                      <w:u w:val="single"/>
                      <w:lang w:val="en-US" w:eastAsia="zh-CN"/>
                    </w:rPr>
                    <w:t>0.4</w:t>
                  </w:r>
                </w:p>
              </w:tc>
              <w:tc>
                <w:tcPr>
                  <w:tcW w:w="1490" w:type="dxa"/>
                  <w:vAlign w:val="center"/>
                </w:tcPr>
                <w:p>
                  <w:pPr>
                    <w:bidi w:val="0"/>
                    <w:spacing w:line="240" w:lineRule="auto"/>
                    <w:jc w:val="center"/>
                    <w:rPr>
                      <w:rFonts w:hint="eastAsia"/>
                      <w:sz w:val="21"/>
                      <w:szCs w:val="21"/>
                      <w:u w:val="single"/>
                      <w:lang w:val="en-US" w:eastAsia="zh-CN"/>
                    </w:rPr>
                  </w:pPr>
                  <w:r>
                    <w:rPr>
                      <w:sz w:val="21"/>
                      <w:szCs w:val="21"/>
                      <w:u w:val="singl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Merge w:val="continue"/>
                  <w:vAlign w:val="center"/>
                </w:tcPr>
                <w:p>
                  <w:pPr>
                    <w:bidi w:val="0"/>
                    <w:spacing w:line="240" w:lineRule="auto"/>
                    <w:jc w:val="center"/>
                    <w:rPr>
                      <w:rFonts w:hint="eastAsia"/>
                      <w:sz w:val="21"/>
                      <w:szCs w:val="21"/>
                      <w:u w:val="single"/>
                      <w:lang w:val="en-US" w:eastAsia="zh-CN"/>
                    </w:rPr>
                  </w:pPr>
                </w:p>
              </w:tc>
              <w:tc>
                <w:tcPr>
                  <w:tcW w:w="1157" w:type="dxa"/>
                  <w:vAlign w:val="center"/>
                </w:tcPr>
                <w:p>
                  <w:pPr>
                    <w:bidi w:val="0"/>
                    <w:spacing w:line="240" w:lineRule="auto"/>
                    <w:jc w:val="center"/>
                    <w:rPr>
                      <w:rFonts w:hint="default"/>
                      <w:sz w:val="21"/>
                      <w:szCs w:val="21"/>
                      <w:u w:val="single"/>
                      <w:lang w:val="en-US" w:eastAsia="zh-CN"/>
                    </w:rPr>
                  </w:pPr>
                  <w:r>
                    <w:rPr>
                      <w:rFonts w:hint="eastAsia"/>
                      <w:sz w:val="21"/>
                      <w:szCs w:val="21"/>
                      <w:u w:val="single"/>
                    </w:rPr>
                    <w:t>石油类</w:t>
                  </w:r>
                </w:p>
              </w:tc>
              <w:tc>
                <w:tcPr>
                  <w:tcW w:w="907" w:type="dxa"/>
                  <w:vAlign w:val="center"/>
                </w:tcPr>
                <w:p>
                  <w:pPr>
                    <w:bidi w:val="0"/>
                    <w:spacing w:line="240" w:lineRule="auto"/>
                    <w:jc w:val="center"/>
                    <w:rPr>
                      <w:rFonts w:hint="eastAsia" w:eastAsia="宋体"/>
                      <w:sz w:val="21"/>
                      <w:szCs w:val="21"/>
                      <w:u w:val="single"/>
                      <w:lang w:val="en-US" w:eastAsia="zh-CN"/>
                    </w:rPr>
                  </w:pPr>
                  <w:r>
                    <w:rPr>
                      <w:sz w:val="21"/>
                      <w:szCs w:val="21"/>
                      <w:u w:val="single"/>
                    </w:rPr>
                    <w:t>0.0</w:t>
                  </w:r>
                  <w:r>
                    <w:rPr>
                      <w:rFonts w:hint="eastAsia"/>
                      <w:sz w:val="21"/>
                      <w:szCs w:val="21"/>
                      <w:u w:val="single"/>
                      <w:lang w:val="en-US" w:eastAsia="zh-CN"/>
                    </w:rPr>
                    <w:t>1</w:t>
                  </w:r>
                </w:p>
              </w:tc>
              <w:tc>
                <w:tcPr>
                  <w:tcW w:w="850" w:type="dxa"/>
                  <w:vAlign w:val="center"/>
                </w:tcPr>
                <w:p>
                  <w:pPr>
                    <w:bidi w:val="0"/>
                    <w:spacing w:line="240" w:lineRule="auto"/>
                    <w:jc w:val="center"/>
                    <w:rPr>
                      <w:rFonts w:hint="default"/>
                      <w:sz w:val="21"/>
                      <w:szCs w:val="21"/>
                      <w:u w:val="single"/>
                      <w:lang w:val="en-US" w:eastAsia="zh-CN"/>
                    </w:rPr>
                  </w:pPr>
                  <w:r>
                    <w:rPr>
                      <w:sz w:val="21"/>
                      <w:szCs w:val="21"/>
                      <w:u w:val="single"/>
                    </w:rPr>
                    <w:t>0.09</w:t>
                  </w:r>
                </w:p>
              </w:tc>
              <w:tc>
                <w:tcPr>
                  <w:tcW w:w="964" w:type="dxa"/>
                  <w:vAlign w:val="center"/>
                </w:tcPr>
                <w:p>
                  <w:pPr>
                    <w:bidi w:val="0"/>
                    <w:spacing w:line="240" w:lineRule="auto"/>
                    <w:jc w:val="center"/>
                    <w:rPr>
                      <w:rFonts w:hint="default"/>
                      <w:sz w:val="21"/>
                      <w:szCs w:val="21"/>
                      <w:u w:val="single"/>
                      <w:lang w:val="en-US" w:eastAsia="zh-CN"/>
                    </w:rPr>
                  </w:pPr>
                  <w:r>
                    <w:rPr>
                      <w:sz w:val="21"/>
                      <w:szCs w:val="21"/>
                      <w:u w:val="single"/>
                    </w:rPr>
                    <w:t>0.01</w:t>
                  </w:r>
                </w:p>
              </w:tc>
              <w:tc>
                <w:tcPr>
                  <w:tcW w:w="1928" w:type="dxa"/>
                  <w:vAlign w:val="center"/>
                </w:tcPr>
                <w:p>
                  <w:pPr>
                    <w:bidi w:val="0"/>
                    <w:spacing w:line="240" w:lineRule="auto"/>
                    <w:jc w:val="center"/>
                    <w:rPr>
                      <w:rFonts w:hint="default"/>
                      <w:sz w:val="21"/>
                      <w:szCs w:val="21"/>
                      <w:u w:val="single"/>
                      <w:lang w:val="en-US" w:eastAsia="zh-CN"/>
                    </w:rPr>
                  </w:pPr>
                  <w:r>
                    <w:rPr>
                      <w:sz w:val="21"/>
                      <w:szCs w:val="21"/>
                      <w:u w:val="single"/>
                    </w:rPr>
                    <w:t>0</w:t>
                  </w:r>
                </w:p>
              </w:tc>
              <w:tc>
                <w:tcPr>
                  <w:tcW w:w="1490" w:type="dxa"/>
                  <w:vAlign w:val="center"/>
                </w:tcPr>
                <w:p>
                  <w:pPr>
                    <w:bidi w:val="0"/>
                    <w:spacing w:line="240" w:lineRule="auto"/>
                    <w:jc w:val="center"/>
                    <w:rPr>
                      <w:rFonts w:hint="default"/>
                      <w:sz w:val="21"/>
                      <w:szCs w:val="21"/>
                      <w:u w:val="single"/>
                      <w:lang w:val="en-US" w:eastAsia="zh-CN"/>
                    </w:rPr>
                  </w:pPr>
                  <w:r>
                    <w:rPr>
                      <w:sz w:val="21"/>
                      <w:szCs w:val="21"/>
                      <w:u w:val="singl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Merge w:val="continue"/>
                  <w:vAlign w:val="center"/>
                </w:tcPr>
                <w:p>
                  <w:pPr>
                    <w:bidi w:val="0"/>
                    <w:spacing w:line="240" w:lineRule="auto"/>
                    <w:jc w:val="center"/>
                    <w:rPr>
                      <w:rFonts w:hint="eastAsia"/>
                      <w:sz w:val="21"/>
                      <w:szCs w:val="21"/>
                      <w:u w:val="single"/>
                      <w:lang w:val="en-US" w:eastAsia="zh-CN"/>
                    </w:rPr>
                  </w:pPr>
                </w:p>
              </w:tc>
              <w:tc>
                <w:tcPr>
                  <w:tcW w:w="1157" w:type="dxa"/>
                  <w:vAlign w:val="center"/>
                </w:tcPr>
                <w:p>
                  <w:pPr>
                    <w:bidi w:val="0"/>
                    <w:spacing w:line="240" w:lineRule="auto"/>
                    <w:jc w:val="center"/>
                    <w:rPr>
                      <w:rFonts w:hint="eastAsia"/>
                      <w:sz w:val="21"/>
                      <w:szCs w:val="21"/>
                      <w:u w:val="single"/>
                      <w:lang w:val="en-US" w:eastAsia="zh-CN"/>
                    </w:rPr>
                  </w:pPr>
                  <w:r>
                    <w:rPr>
                      <w:rFonts w:hint="eastAsia"/>
                      <w:sz w:val="21"/>
                      <w:szCs w:val="21"/>
                      <w:u w:val="single"/>
                    </w:rPr>
                    <w:t>总磷</w:t>
                  </w:r>
                </w:p>
              </w:tc>
              <w:tc>
                <w:tcPr>
                  <w:tcW w:w="907" w:type="dxa"/>
                  <w:vAlign w:val="center"/>
                </w:tcPr>
                <w:p>
                  <w:pPr>
                    <w:bidi w:val="0"/>
                    <w:spacing w:line="240" w:lineRule="auto"/>
                    <w:jc w:val="center"/>
                    <w:rPr>
                      <w:rFonts w:hint="default" w:eastAsia="宋体"/>
                      <w:sz w:val="21"/>
                      <w:szCs w:val="21"/>
                      <w:u w:val="single"/>
                      <w:lang w:val="en-US" w:eastAsia="zh-CN"/>
                    </w:rPr>
                  </w:pPr>
                  <w:r>
                    <w:rPr>
                      <w:sz w:val="21"/>
                      <w:szCs w:val="21"/>
                      <w:u w:val="single"/>
                    </w:rPr>
                    <w:t>0.</w:t>
                  </w:r>
                  <w:r>
                    <w:rPr>
                      <w:rFonts w:hint="eastAsia"/>
                      <w:sz w:val="21"/>
                      <w:szCs w:val="21"/>
                      <w:u w:val="single"/>
                      <w:lang w:val="en-US" w:eastAsia="zh-CN"/>
                    </w:rPr>
                    <w:t>18</w:t>
                  </w:r>
                </w:p>
              </w:tc>
              <w:tc>
                <w:tcPr>
                  <w:tcW w:w="850" w:type="dxa"/>
                  <w:vAlign w:val="center"/>
                </w:tcPr>
                <w:p>
                  <w:pPr>
                    <w:bidi w:val="0"/>
                    <w:spacing w:line="240" w:lineRule="auto"/>
                    <w:jc w:val="center"/>
                    <w:rPr>
                      <w:rFonts w:hint="default" w:eastAsia="宋体"/>
                      <w:sz w:val="21"/>
                      <w:szCs w:val="21"/>
                      <w:u w:val="single"/>
                      <w:lang w:val="en-US" w:eastAsia="zh-CN"/>
                    </w:rPr>
                  </w:pPr>
                  <w:r>
                    <w:rPr>
                      <w:sz w:val="21"/>
                      <w:szCs w:val="21"/>
                      <w:u w:val="single"/>
                    </w:rPr>
                    <w:t>0.</w:t>
                  </w:r>
                  <w:r>
                    <w:rPr>
                      <w:rFonts w:hint="eastAsia"/>
                      <w:sz w:val="21"/>
                      <w:szCs w:val="21"/>
                      <w:u w:val="single"/>
                      <w:lang w:val="en-US" w:eastAsia="zh-CN"/>
                    </w:rPr>
                    <w:t>27</w:t>
                  </w:r>
                </w:p>
              </w:tc>
              <w:tc>
                <w:tcPr>
                  <w:tcW w:w="964" w:type="dxa"/>
                  <w:vAlign w:val="center"/>
                </w:tcPr>
                <w:p>
                  <w:pPr>
                    <w:bidi w:val="0"/>
                    <w:spacing w:line="240" w:lineRule="auto"/>
                    <w:jc w:val="center"/>
                    <w:rPr>
                      <w:rFonts w:hint="eastAsia" w:eastAsia="宋体"/>
                      <w:sz w:val="21"/>
                      <w:szCs w:val="21"/>
                      <w:u w:val="single"/>
                      <w:lang w:val="en-US" w:eastAsia="zh-CN"/>
                    </w:rPr>
                  </w:pPr>
                  <w:r>
                    <w:rPr>
                      <w:sz w:val="21"/>
                      <w:szCs w:val="21"/>
                      <w:u w:val="single"/>
                    </w:rPr>
                    <w:t>0.1</w:t>
                  </w:r>
                  <w:r>
                    <w:rPr>
                      <w:rFonts w:hint="eastAsia"/>
                      <w:sz w:val="21"/>
                      <w:szCs w:val="21"/>
                      <w:u w:val="single"/>
                      <w:lang w:val="en-US" w:eastAsia="zh-CN"/>
                    </w:rPr>
                    <w:t>0</w:t>
                  </w:r>
                </w:p>
              </w:tc>
              <w:tc>
                <w:tcPr>
                  <w:tcW w:w="1928" w:type="dxa"/>
                  <w:vAlign w:val="center"/>
                </w:tcPr>
                <w:p>
                  <w:pPr>
                    <w:bidi w:val="0"/>
                    <w:spacing w:line="240" w:lineRule="auto"/>
                    <w:jc w:val="center"/>
                    <w:rPr>
                      <w:rFonts w:hint="eastAsia" w:eastAsia="宋体"/>
                      <w:sz w:val="21"/>
                      <w:szCs w:val="21"/>
                      <w:u w:val="single"/>
                      <w:lang w:val="en-US" w:eastAsia="zh-CN"/>
                    </w:rPr>
                  </w:pPr>
                  <w:r>
                    <w:rPr>
                      <w:rFonts w:hint="eastAsia"/>
                      <w:sz w:val="21"/>
                      <w:szCs w:val="21"/>
                      <w:u w:val="single"/>
                      <w:lang w:val="en-US" w:eastAsia="zh-CN"/>
                    </w:rPr>
                    <w:t>0</w:t>
                  </w:r>
                </w:p>
              </w:tc>
              <w:tc>
                <w:tcPr>
                  <w:tcW w:w="1490" w:type="dxa"/>
                  <w:vAlign w:val="center"/>
                </w:tcPr>
                <w:p>
                  <w:pPr>
                    <w:bidi w:val="0"/>
                    <w:spacing w:line="240" w:lineRule="auto"/>
                    <w:jc w:val="center"/>
                    <w:rPr>
                      <w:rFonts w:hint="eastAsia"/>
                      <w:sz w:val="21"/>
                      <w:szCs w:val="21"/>
                      <w:u w:val="single"/>
                      <w:lang w:val="en-US" w:eastAsia="zh-CN"/>
                    </w:rPr>
                  </w:pPr>
                  <w:r>
                    <w:rPr>
                      <w:sz w:val="21"/>
                      <w:szCs w:val="21"/>
                      <w:u w:val="singl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Merge w:val="continue"/>
                  <w:vAlign w:val="center"/>
                </w:tcPr>
                <w:p>
                  <w:pPr>
                    <w:bidi w:val="0"/>
                    <w:spacing w:line="240" w:lineRule="auto"/>
                    <w:jc w:val="center"/>
                    <w:rPr>
                      <w:rFonts w:hint="eastAsia"/>
                      <w:sz w:val="21"/>
                      <w:szCs w:val="21"/>
                      <w:u w:val="single"/>
                      <w:lang w:val="en-US" w:eastAsia="zh-CN"/>
                    </w:rPr>
                  </w:pPr>
                </w:p>
              </w:tc>
              <w:tc>
                <w:tcPr>
                  <w:tcW w:w="1157" w:type="dxa"/>
                  <w:vAlign w:val="center"/>
                </w:tcPr>
                <w:p>
                  <w:pPr>
                    <w:bidi w:val="0"/>
                    <w:spacing w:line="240" w:lineRule="auto"/>
                    <w:jc w:val="center"/>
                    <w:rPr>
                      <w:rFonts w:hint="default"/>
                      <w:sz w:val="21"/>
                      <w:szCs w:val="21"/>
                      <w:u w:val="single"/>
                      <w:lang w:val="en-US" w:eastAsia="zh-CN"/>
                    </w:rPr>
                  </w:pPr>
                  <w:r>
                    <w:rPr>
                      <w:rFonts w:hint="eastAsia"/>
                      <w:sz w:val="21"/>
                      <w:szCs w:val="21"/>
                      <w:u w:val="single"/>
                    </w:rPr>
                    <w:t>铜</w:t>
                  </w:r>
                </w:p>
              </w:tc>
              <w:tc>
                <w:tcPr>
                  <w:tcW w:w="907" w:type="dxa"/>
                  <w:vAlign w:val="center"/>
                </w:tcPr>
                <w:p>
                  <w:pPr>
                    <w:bidi w:val="0"/>
                    <w:spacing w:line="240" w:lineRule="auto"/>
                    <w:jc w:val="center"/>
                    <w:rPr>
                      <w:rFonts w:hint="default" w:eastAsia="宋体"/>
                      <w:sz w:val="21"/>
                      <w:szCs w:val="21"/>
                      <w:u w:val="single"/>
                      <w:lang w:val="en-US" w:eastAsia="zh-CN"/>
                    </w:rPr>
                  </w:pPr>
                  <w:r>
                    <w:rPr>
                      <w:sz w:val="21"/>
                      <w:szCs w:val="21"/>
                      <w:u w:val="single"/>
                    </w:rPr>
                    <w:t>0.0</w:t>
                  </w:r>
                  <w:r>
                    <w:rPr>
                      <w:rFonts w:hint="eastAsia"/>
                      <w:sz w:val="21"/>
                      <w:szCs w:val="21"/>
                      <w:u w:val="single"/>
                      <w:lang w:val="en-US" w:eastAsia="zh-CN"/>
                    </w:rPr>
                    <w:t>12</w:t>
                  </w:r>
                </w:p>
              </w:tc>
              <w:tc>
                <w:tcPr>
                  <w:tcW w:w="850" w:type="dxa"/>
                  <w:vAlign w:val="center"/>
                </w:tcPr>
                <w:p>
                  <w:pPr>
                    <w:bidi w:val="0"/>
                    <w:spacing w:line="240" w:lineRule="auto"/>
                    <w:jc w:val="center"/>
                    <w:rPr>
                      <w:rFonts w:hint="default"/>
                      <w:sz w:val="21"/>
                      <w:szCs w:val="21"/>
                      <w:u w:val="single"/>
                      <w:lang w:val="en-US" w:eastAsia="zh-CN"/>
                    </w:rPr>
                  </w:pPr>
                  <w:r>
                    <w:rPr>
                      <w:sz w:val="21"/>
                      <w:szCs w:val="21"/>
                      <w:u w:val="single"/>
                    </w:rPr>
                    <w:t>0.012</w:t>
                  </w:r>
                </w:p>
              </w:tc>
              <w:tc>
                <w:tcPr>
                  <w:tcW w:w="964" w:type="dxa"/>
                  <w:vAlign w:val="center"/>
                </w:tcPr>
                <w:p>
                  <w:pPr>
                    <w:bidi w:val="0"/>
                    <w:spacing w:line="240" w:lineRule="auto"/>
                    <w:jc w:val="center"/>
                    <w:rPr>
                      <w:rFonts w:hint="default"/>
                      <w:sz w:val="21"/>
                      <w:szCs w:val="21"/>
                      <w:u w:val="single"/>
                      <w:lang w:val="en-US" w:eastAsia="zh-CN"/>
                    </w:rPr>
                  </w:pPr>
                  <w:r>
                    <w:rPr>
                      <w:sz w:val="21"/>
                      <w:szCs w:val="21"/>
                      <w:u w:val="single"/>
                    </w:rPr>
                    <w:t>0.012</w:t>
                  </w:r>
                </w:p>
              </w:tc>
              <w:tc>
                <w:tcPr>
                  <w:tcW w:w="1928" w:type="dxa"/>
                  <w:vAlign w:val="center"/>
                </w:tcPr>
                <w:p>
                  <w:pPr>
                    <w:bidi w:val="0"/>
                    <w:spacing w:line="240" w:lineRule="auto"/>
                    <w:jc w:val="center"/>
                    <w:rPr>
                      <w:rFonts w:hint="default"/>
                      <w:sz w:val="21"/>
                      <w:szCs w:val="21"/>
                      <w:u w:val="single"/>
                      <w:lang w:val="en-US" w:eastAsia="zh-CN"/>
                    </w:rPr>
                  </w:pPr>
                  <w:r>
                    <w:rPr>
                      <w:sz w:val="21"/>
                      <w:szCs w:val="21"/>
                      <w:u w:val="single"/>
                    </w:rPr>
                    <w:t>0</w:t>
                  </w:r>
                </w:p>
              </w:tc>
              <w:tc>
                <w:tcPr>
                  <w:tcW w:w="1490" w:type="dxa"/>
                  <w:vAlign w:val="center"/>
                </w:tcPr>
                <w:p>
                  <w:pPr>
                    <w:bidi w:val="0"/>
                    <w:spacing w:line="240" w:lineRule="auto"/>
                    <w:jc w:val="center"/>
                    <w:rPr>
                      <w:rFonts w:hint="default"/>
                      <w:sz w:val="21"/>
                      <w:szCs w:val="21"/>
                      <w:u w:val="single"/>
                      <w:lang w:val="en-US" w:eastAsia="zh-CN"/>
                    </w:rPr>
                  </w:pPr>
                  <w:r>
                    <w:rPr>
                      <w:sz w:val="21"/>
                      <w:szCs w:val="21"/>
                      <w:u w:val="single"/>
                    </w:rPr>
                    <w:t>1.0</w:t>
                  </w:r>
                </w:p>
              </w:tc>
            </w:tr>
          </w:tbl>
          <w:p>
            <w:pPr>
              <w:bidi w:val="0"/>
              <w:ind w:firstLine="480" w:firstLineChars="200"/>
              <w:rPr>
                <w:rFonts w:hint="eastAsia"/>
                <w:lang w:eastAsia="zh-CN"/>
              </w:rPr>
            </w:pPr>
            <w:r>
              <w:rPr>
                <w:rFonts w:hint="eastAsia"/>
              </w:rPr>
              <w:t>监测统计结果表明，</w:t>
            </w:r>
            <w:r>
              <w:t>201</w:t>
            </w:r>
            <w:r>
              <w:rPr>
                <w:rFonts w:hint="eastAsia"/>
                <w:lang w:val="en-US" w:eastAsia="zh-CN"/>
              </w:rPr>
              <w:t>9</w:t>
            </w:r>
            <w:r>
              <w:t>年</w:t>
            </w:r>
            <w:r>
              <w:rPr>
                <w:rFonts w:hint="eastAsia"/>
              </w:rPr>
              <w:t>湘江</w:t>
            </w:r>
            <w:r>
              <w:rPr>
                <w:rFonts w:hint="eastAsia"/>
                <w:lang w:eastAsia="zh-CN"/>
              </w:rPr>
              <w:t>白石</w:t>
            </w:r>
            <w:r>
              <w:rPr>
                <w:rFonts w:hint="eastAsia"/>
              </w:rPr>
              <w:t>断面</w:t>
            </w:r>
            <w:r>
              <w:t>水质能完全</w:t>
            </w:r>
            <w:r>
              <w:rPr>
                <w:rFonts w:hint="eastAsia"/>
              </w:rPr>
              <w:t>满足</w:t>
            </w:r>
            <w:r>
              <w:t>GB3838-2002《地表水环境质量标准》中</w:t>
            </w:r>
            <w:r>
              <w:rPr>
                <w:rFonts w:hint="eastAsia"/>
              </w:rPr>
              <w:t>Ⅱ类标准要求</w:t>
            </w:r>
            <w:r>
              <w:rPr>
                <w:rFonts w:hint="eastAsia"/>
                <w:lang w:eastAsia="zh-CN"/>
              </w:rPr>
              <w:t>；白石</w:t>
            </w:r>
            <w:r>
              <w:t>港水质监测因子均满足GB3838-2002《地表水环境质量标准》中</w:t>
            </w:r>
            <w:r>
              <w:rPr>
                <w:rFonts w:hint="eastAsia"/>
              </w:rPr>
              <w:t>IV类标准要求，水环境质量较好。</w:t>
            </w:r>
          </w:p>
          <w:p>
            <w:pPr>
              <w:pStyle w:val="3"/>
              <w:spacing w:line="240" w:lineRule="auto"/>
              <w:ind w:firstLine="482" w:firstLineChars="200"/>
              <w:rPr>
                <w:b/>
                <w:sz w:val="24"/>
              </w:rPr>
            </w:pPr>
            <w:r>
              <w:rPr>
                <w:rFonts w:hint="eastAsia"/>
                <w:b/>
                <w:sz w:val="24"/>
                <w:lang w:val="en-US" w:eastAsia="zh-CN"/>
              </w:rPr>
              <w:t>3</w:t>
            </w:r>
            <w:r>
              <w:rPr>
                <w:b/>
                <w:sz w:val="24"/>
              </w:rPr>
              <w:t>、声环境现状</w:t>
            </w:r>
          </w:p>
          <w:p>
            <w:pPr>
              <w:spacing w:line="480" w:lineRule="exact"/>
              <w:ind w:firstLine="482" w:firstLineChars="200"/>
              <w:rPr>
                <w:b/>
                <w:bCs/>
                <w:kern w:val="0"/>
                <w:sz w:val="24"/>
                <w:szCs w:val="20"/>
              </w:rPr>
            </w:pPr>
            <w:r>
              <w:rPr>
                <w:rFonts w:hint="eastAsia"/>
                <w:b/>
                <w:bCs/>
                <w:kern w:val="0"/>
                <w:sz w:val="24"/>
                <w:szCs w:val="20"/>
                <w:lang w:val="en-US" w:eastAsia="zh-CN"/>
              </w:rPr>
              <w:t>3.1</w:t>
            </w:r>
            <w:r>
              <w:rPr>
                <w:b/>
                <w:bCs/>
                <w:kern w:val="0"/>
                <w:sz w:val="24"/>
                <w:szCs w:val="20"/>
              </w:rPr>
              <w:t>现有声环境污染源调查</w:t>
            </w:r>
          </w:p>
          <w:p>
            <w:pPr>
              <w:bidi w:val="0"/>
              <w:ind w:firstLine="480" w:firstLineChars="200"/>
            </w:pPr>
            <w:r>
              <w:t>据现场调查，评价区域内现有噪声源主要现状</w:t>
            </w:r>
            <w:r>
              <w:rPr>
                <w:rFonts w:hint="eastAsia"/>
                <w:lang w:eastAsia="zh-CN"/>
              </w:rPr>
              <w:t>云龙大道和云峰大道</w:t>
            </w:r>
            <w:r>
              <w:t>交通噪声、居民生活噪声及周边施工场地施工噪声。</w:t>
            </w:r>
          </w:p>
          <w:p>
            <w:pPr>
              <w:spacing w:line="480" w:lineRule="exact"/>
              <w:ind w:firstLine="482" w:firstLineChars="200"/>
              <w:rPr>
                <w:b/>
                <w:bCs/>
                <w:kern w:val="0"/>
                <w:sz w:val="24"/>
                <w:szCs w:val="20"/>
              </w:rPr>
            </w:pPr>
            <w:r>
              <w:rPr>
                <w:rFonts w:hint="eastAsia"/>
                <w:b/>
                <w:bCs/>
                <w:kern w:val="0"/>
                <w:sz w:val="24"/>
                <w:szCs w:val="20"/>
                <w:lang w:val="en-US" w:eastAsia="zh-CN"/>
              </w:rPr>
              <w:t>3.2</w:t>
            </w:r>
            <w:r>
              <w:rPr>
                <w:b/>
                <w:bCs/>
                <w:kern w:val="0"/>
                <w:sz w:val="24"/>
                <w:szCs w:val="20"/>
              </w:rPr>
              <w:t>监测结果</w:t>
            </w:r>
          </w:p>
          <w:p>
            <w:pPr>
              <w:bidi w:val="0"/>
              <w:ind w:firstLine="480" w:firstLineChars="200"/>
            </w:pPr>
            <w:r>
              <w:t>根据本项目环境敏感保护目标的分布情况，本次环评委托</w:t>
            </w:r>
            <w:r>
              <w:rPr>
                <w:rFonts w:hint="eastAsia"/>
              </w:rPr>
              <w:t>湖南云天检测技术有限公</w:t>
            </w:r>
            <w:r>
              <w:rPr>
                <w:rFonts w:hint="eastAsia"/>
                <w:highlight w:val="none"/>
              </w:rPr>
              <w:t>司</w:t>
            </w:r>
            <w:r>
              <w:rPr>
                <w:highlight w:val="none"/>
              </w:rPr>
              <w:t>20</w:t>
            </w:r>
            <w:r>
              <w:rPr>
                <w:rFonts w:hint="eastAsia"/>
                <w:highlight w:val="none"/>
                <w:lang w:val="en-US" w:eastAsia="zh-CN"/>
              </w:rPr>
              <w:t>20</w:t>
            </w:r>
            <w:r>
              <w:rPr>
                <w:highlight w:val="none"/>
              </w:rPr>
              <w:t>年</w:t>
            </w:r>
            <w:r>
              <w:rPr>
                <w:rFonts w:hint="eastAsia"/>
                <w:highlight w:val="none"/>
                <w:lang w:val="en-US" w:eastAsia="zh-CN"/>
              </w:rPr>
              <w:t>9</w:t>
            </w:r>
            <w:r>
              <w:rPr>
                <w:highlight w:val="none"/>
              </w:rPr>
              <w:t>月1</w:t>
            </w:r>
            <w:r>
              <w:rPr>
                <w:rFonts w:hint="eastAsia"/>
                <w:highlight w:val="none"/>
                <w:lang w:val="en-US" w:eastAsia="zh-CN"/>
              </w:rPr>
              <w:t>8</w:t>
            </w:r>
            <w:r>
              <w:rPr>
                <w:highlight w:val="none"/>
              </w:rPr>
              <w:t>日~</w:t>
            </w:r>
            <w:r>
              <w:rPr>
                <w:rFonts w:hint="eastAsia"/>
                <w:highlight w:val="none"/>
                <w:lang w:val="en-US" w:eastAsia="zh-CN"/>
              </w:rPr>
              <w:t>9</w:t>
            </w:r>
            <w:r>
              <w:rPr>
                <w:highlight w:val="none"/>
              </w:rPr>
              <w:t>月1</w:t>
            </w:r>
            <w:r>
              <w:rPr>
                <w:rFonts w:hint="eastAsia"/>
                <w:highlight w:val="none"/>
                <w:lang w:val="en-US" w:eastAsia="zh-CN"/>
              </w:rPr>
              <w:t>9</w:t>
            </w:r>
            <w:r>
              <w:rPr>
                <w:highlight w:val="none"/>
              </w:rPr>
              <w:t>日</w:t>
            </w:r>
            <w:r>
              <w:t>对工程建设所在区域声学环境质量现状进行了现场监测。监测点的布置以能反映周边敏感点的声环境现状为原则。现状噪声以交通噪声、居民生活噪声及周边施工场地施工噪声为主。针对上述情况，本次监测选择了</w:t>
            </w:r>
            <w:r>
              <w:rPr>
                <w:rFonts w:hint="eastAsia"/>
                <w:highlight w:val="none"/>
                <w:lang w:val="en-US" w:eastAsia="zh-CN"/>
              </w:rPr>
              <w:t>9</w:t>
            </w:r>
            <w:r>
              <w:t>处有代表性的敏感点进行了布点监测。</w:t>
            </w:r>
            <w:r>
              <w:rPr>
                <w:rFonts w:hint="eastAsia"/>
              </w:rPr>
              <w:t>监测结果</w:t>
            </w:r>
            <w:r>
              <w:t>详见下表。</w:t>
            </w:r>
          </w:p>
          <w:p>
            <w:pPr>
              <w:bidi w:val="0"/>
              <w:jc w:val="center"/>
              <w:rPr>
                <w:b/>
                <w:bCs/>
              </w:rPr>
            </w:pPr>
            <w:r>
              <w:rPr>
                <w:b/>
                <w:bCs/>
              </w:rPr>
              <w:t>表</w:t>
            </w:r>
            <w:r>
              <w:rPr>
                <w:rFonts w:hint="eastAsia"/>
                <w:b/>
                <w:bCs/>
                <w:lang w:val="en-US" w:eastAsia="zh-CN"/>
              </w:rPr>
              <w:t>20</w:t>
            </w:r>
            <w:r>
              <w:rPr>
                <w:rFonts w:hint="eastAsia"/>
                <w:b/>
                <w:bCs/>
              </w:rPr>
              <w:t xml:space="preserve">  </w:t>
            </w:r>
            <w:r>
              <w:rPr>
                <w:b/>
                <w:bCs/>
              </w:rPr>
              <w:t>噪声监测结果</w:t>
            </w:r>
          </w:p>
          <w:tbl>
            <w:tblPr>
              <w:tblStyle w:val="34"/>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2"/>
              <w:gridCol w:w="1060"/>
              <w:gridCol w:w="1167"/>
              <w:gridCol w:w="1167"/>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b/>
                      <w:bCs/>
                      <w:sz w:val="21"/>
                      <w:szCs w:val="21"/>
                    </w:rPr>
                  </w:pPr>
                  <w:r>
                    <w:rPr>
                      <w:b/>
                      <w:bCs/>
                      <w:sz w:val="21"/>
                      <w:szCs w:val="21"/>
                    </w:rPr>
                    <w:t>采样点位</w:t>
                  </w:r>
                </w:p>
              </w:tc>
              <w:tc>
                <w:tcPr>
                  <w:tcW w:w="1060"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b/>
                      <w:bCs/>
                      <w:sz w:val="21"/>
                      <w:szCs w:val="21"/>
                    </w:rPr>
                  </w:pPr>
                  <w:r>
                    <w:rPr>
                      <w:b/>
                      <w:bCs/>
                      <w:sz w:val="21"/>
                      <w:szCs w:val="21"/>
                    </w:rPr>
                    <w:t>采样日期</w:t>
                  </w:r>
                </w:p>
              </w:tc>
              <w:tc>
                <w:tcPr>
                  <w:tcW w:w="2334" w:type="dxa"/>
                  <w:gridSpan w:val="2"/>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b/>
                      <w:bCs/>
                      <w:sz w:val="21"/>
                      <w:szCs w:val="21"/>
                    </w:rPr>
                  </w:pPr>
                  <w:r>
                    <w:rPr>
                      <w:b/>
                      <w:bCs/>
                      <w:sz w:val="21"/>
                      <w:szCs w:val="21"/>
                    </w:rPr>
                    <w:t>检测结果Leq A（dB）</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b/>
                      <w:bCs/>
                      <w:sz w:val="21"/>
                      <w:szCs w:val="21"/>
                    </w:rPr>
                  </w:pPr>
                  <w:r>
                    <w:rPr>
                      <w:b/>
                      <w:bCs/>
                      <w:sz w:val="21"/>
                      <w:szCs w:val="21"/>
                    </w:rPr>
                    <w:t>标准</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b/>
                      <w:bCs/>
                      <w:sz w:val="21"/>
                      <w:szCs w:val="21"/>
                    </w:rPr>
                  </w:pPr>
                  <w:r>
                    <w:rPr>
                      <w:b/>
                      <w:bCs/>
                      <w:sz w:val="21"/>
                      <w:szCs w:val="21"/>
                    </w:rPr>
                    <w:t>Leq A（dB）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c>
                <w:tcPr>
                  <w:tcW w:w="1060"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昼间</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夜间</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Z1 位于百合路起点中心线东侧约 20m 处</w:t>
                  </w: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18</w:t>
                  </w:r>
                </w:p>
              </w:tc>
              <w:tc>
                <w:tcPr>
                  <w:tcW w:w="116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sz w:val="21"/>
                      <w:szCs w:val="21"/>
                      <w:lang w:val="en-US" w:eastAsia="zh-CN"/>
                    </w:rPr>
                    <w:t>53.8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43.9</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60（昼）</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50（夜）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54.7</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43.6</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Z2 位于百合路中心线西侧约 22 m 处</w:t>
                  </w: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52.8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42.7</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60（昼）</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50（夜）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54.0</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42.7</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lang w:val="en-US" w:eastAsia="zh-CN"/>
                    </w:rPr>
                    <w:t>Z3</w:t>
                  </w:r>
                  <w:r>
                    <w:rPr>
                      <w:rFonts w:hint="eastAsia"/>
                      <w:color w:val="000000"/>
                      <w:sz w:val="21"/>
                      <w:szCs w:val="21"/>
                    </w:rPr>
                    <w:t>位于百合路终点中心线右侧 61m 处</w:t>
                  </w: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52.7</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42.0</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60（昼）</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50（夜）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55.0</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41.7</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Z4 位于百合路终点中心线右侧 28m 处</w:t>
                  </w: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54.2</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42.2</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60（昼）</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50（夜）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53.6</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42.0</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rFonts w:hint="eastAsia"/>
                      <w:sz w:val="21"/>
                      <w:szCs w:val="21"/>
                    </w:rPr>
                    <w:t>Z5 位于纬四路中心线北侧 13 m 处</w:t>
                  </w: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53.6</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43.3</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60（昼）</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50（夜）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53.1</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43.4</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rFonts w:hint="eastAsia"/>
                      <w:sz w:val="21"/>
                      <w:szCs w:val="21"/>
                    </w:rPr>
                    <w:t>Z6 位于桃园路终点中心线东侧 30 m 处</w:t>
                  </w: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54.5</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43.0</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60（昼）</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50（夜）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53.6</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43.9</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rFonts w:hint="eastAsia"/>
                      <w:sz w:val="21"/>
                      <w:szCs w:val="21"/>
                    </w:rPr>
                    <w:t>Z7 位于桃园路中心线西侧 48 m 处</w:t>
                  </w: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54.9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43.1</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60（昼）</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kern w:val="2"/>
                      <w:sz w:val="21"/>
                      <w:szCs w:val="21"/>
                      <w:lang w:val="en-US" w:eastAsia="zh-CN" w:bidi="ar-SA"/>
                    </w:rPr>
                  </w:pPr>
                  <w:r>
                    <w:rPr>
                      <w:sz w:val="21"/>
                      <w:szCs w:val="21"/>
                    </w:rPr>
                    <w:t>50（夜）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54.4</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43.2</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rFonts w:hint="eastAsia"/>
                      <w:sz w:val="21"/>
                      <w:szCs w:val="21"/>
                    </w:rPr>
                    <w:t>Z8 位于桃园路起点中心线西侧 26m 处</w:t>
                  </w: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53.8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43.9</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60（昼）</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50（夜）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53.8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41.6</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rFonts w:hint="eastAsia"/>
                      <w:sz w:val="21"/>
                      <w:szCs w:val="21"/>
                    </w:rPr>
                    <w:t>Z9 位于马鞍路中心线北侧 28 m 处</w:t>
                  </w: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54.8</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42.9</w:t>
                  </w:r>
                </w:p>
              </w:tc>
              <w:tc>
                <w:tcPr>
                  <w:tcW w:w="1438" w:type="dxa"/>
                  <w:vMerge w:val="restart"/>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60（昼）</w:t>
                  </w:r>
                </w:p>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r>
                    <w:rPr>
                      <w:sz w:val="21"/>
                      <w:szCs w:val="21"/>
                    </w:rPr>
                    <w:t>50（夜）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2"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c>
                <w:tcPr>
                  <w:tcW w:w="1060"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color w:val="000000"/>
                      <w:sz w:val="21"/>
                      <w:szCs w:val="21"/>
                    </w:rPr>
                  </w:pPr>
                  <w:r>
                    <w:rPr>
                      <w:rFonts w:hint="eastAsia"/>
                      <w:color w:val="000000"/>
                      <w:sz w:val="21"/>
                      <w:szCs w:val="21"/>
                    </w:rPr>
                    <w:t>2020</w:t>
                  </w:r>
                  <w:r>
                    <w:rPr>
                      <w:rFonts w:hint="eastAsia"/>
                      <w:color w:val="000000"/>
                      <w:sz w:val="21"/>
                      <w:szCs w:val="21"/>
                      <w:lang w:val="en-US" w:eastAsia="zh-CN"/>
                    </w:rPr>
                    <w:t>.</w:t>
                  </w:r>
                  <w:r>
                    <w:rPr>
                      <w:rFonts w:hint="eastAsia"/>
                      <w:color w:val="000000"/>
                      <w:sz w:val="21"/>
                      <w:szCs w:val="21"/>
                    </w:rPr>
                    <w:t>9</w:t>
                  </w:r>
                  <w:r>
                    <w:rPr>
                      <w:rFonts w:hint="eastAsia"/>
                      <w:color w:val="000000"/>
                      <w:sz w:val="21"/>
                      <w:szCs w:val="21"/>
                      <w:lang w:val="en-US" w:eastAsia="zh-CN"/>
                    </w:rPr>
                    <w:t>.</w:t>
                  </w:r>
                  <w:r>
                    <w:rPr>
                      <w:rFonts w:hint="eastAsia"/>
                      <w:color w:val="000000"/>
                      <w:sz w:val="21"/>
                      <w:szCs w:val="21"/>
                    </w:rPr>
                    <w:t>19</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54.0</w:t>
                  </w:r>
                </w:p>
              </w:tc>
              <w:tc>
                <w:tcPr>
                  <w:tcW w:w="1167" w:type="dxa"/>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42.5</w:t>
                  </w:r>
                </w:p>
              </w:tc>
              <w:tc>
                <w:tcPr>
                  <w:tcW w:w="1438" w:type="dxa"/>
                  <w:vMerge w:val="continue"/>
                  <w:vAlign w:val="center"/>
                </w:tcPr>
                <w:p>
                  <w:pPr>
                    <w:keepNext w:val="0"/>
                    <w:keepLines w:val="0"/>
                    <w:pageBreakBefore w:val="0"/>
                    <w:widowControl w:val="0"/>
                    <w:tabs>
                      <w:tab w:val="left" w:pos="7335"/>
                    </w:tabs>
                    <w:kinsoku/>
                    <w:wordWrap/>
                    <w:overflowPunct/>
                    <w:topLinePunct w:val="0"/>
                    <w:autoSpaceDE/>
                    <w:autoSpaceDN/>
                    <w:bidi w:val="0"/>
                    <w:adjustRightInd/>
                    <w:snapToGrid/>
                    <w:spacing w:line="360" w:lineRule="exact"/>
                    <w:jc w:val="center"/>
                    <w:textAlignment w:val="auto"/>
                    <w:rPr>
                      <w:sz w:val="21"/>
                      <w:szCs w:val="21"/>
                    </w:rPr>
                  </w:pPr>
                </w:p>
              </w:tc>
            </w:tr>
          </w:tbl>
          <w:p>
            <w:pPr>
              <w:ind w:firstLine="480"/>
              <w:rPr>
                <w:color w:val="000000"/>
                <w:sz w:val="24"/>
              </w:rPr>
            </w:pPr>
            <w:r>
              <w:rPr>
                <w:bCs/>
                <w:sz w:val="24"/>
              </w:rPr>
              <w:t>由监测结果可知，</w:t>
            </w:r>
            <w:r>
              <w:rPr>
                <w:color w:val="000000"/>
                <w:sz w:val="24"/>
                <w:szCs w:val="20"/>
              </w:rPr>
              <w:t>各监测点昼夜间噪声监测值均能达GB3096-2008《声环境质量标准》中</w:t>
            </w:r>
            <w:r>
              <w:rPr>
                <w:rFonts w:hint="eastAsia"/>
                <w:color w:val="000000"/>
                <w:sz w:val="24"/>
                <w:szCs w:val="20"/>
              </w:rPr>
              <w:t>2类和4a</w:t>
            </w:r>
            <w:r>
              <w:rPr>
                <w:color w:val="000000"/>
                <w:sz w:val="24"/>
                <w:szCs w:val="20"/>
              </w:rPr>
              <w:t>标准要求</w:t>
            </w:r>
            <w:r>
              <w:rPr>
                <w:rFonts w:hint="eastAsia"/>
                <w:color w:val="000000"/>
                <w:sz w:val="24"/>
                <w:szCs w:val="20"/>
              </w:rPr>
              <w:t>，区域声环境质量较好</w:t>
            </w:r>
            <w:r>
              <w:rPr>
                <w:bCs/>
                <w:color w:val="000000"/>
                <w:sz w:val="24"/>
                <w:szCs w:val="20"/>
              </w:rPr>
              <w:t>。</w:t>
            </w:r>
          </w:p>
          <w:p>
            <w:pPr>
              <w:pStyle w:val="3"/>
              <w:numPr>
                <w:ilvl w:val="0"/>
                <w:numId w:val="0"/>
              </w:numPr>
              <w:spacing w:line="240" w:lineRule="auto"/>
              <w:ind w:firstLine="482" w:firstLineChars="200"/>
              <w:rPr>
                <w:rFonts w:hint="default" w:eastAsia="宋体"/>
                <w:lang w:val="en-US" w:eastAsia="zh-CN"/>
              </w:rPr>
            </w:pPr>
            <w:r>
              <w:rPr>
                <w:rFonts w:hint="eastAsia"/>
                <w:b/>
                <w:sz w:val="24"/>
                <w:lang w:val="en-US" w:eastAsia="zh-CN"/>
              </w:rPr>
              <w:t>4</w:t>
            </w:r>
            <w:r>
              <w:rPr>
                <w:rFonts w:hint="eastAsia"/>
                <w:b/>
                <w:sz w:val="24"/>
                <w:lang w:eastAsia="zh-CN"/>
              </w:rPr>
              <w:t>、</w:t>
            </w:r>
            <w:r>
              <w:rPr>
                <w:rFonts w:hint="eastAsia"/>
                <w:b/>
                <w:sz w:val="24"/>
              </w:rPr>
              <w:t>土壤环境质量</w:t>
            </w:r>
          </w:p>
          <w:p>
            <w:pPr>
              <w:ind w:firstLine="480" w:firstLineChars="200"/>
              <w:jc w:val="left"/>
              <w:rPr>
                <w:rFonts w:hint="eastAsia"/>
                <w:b/>
                <w:sz w:val="24"/>
                <w:lang w:val="en-US" w:eastAsia="zh-CN"/>
              </w:rPr>
            </w:pPr>
            <w:r>
              <w:rPr>
                <w:rFonts w:hint="eastAsia"/>
                <w:lang w:val="en-US" w:eastAsia="zh-CN"/>
              </w:rPr>
              <w:t>该项目所在地位于株洲市云龙示范区，</w:t>
            </w:r>
            <w:r>
              <w:rPr>
                <w:rFonts w:hint="default"/>
              </w:rPr>
              <w:t>本项目规划区域范围内</w:t>
            </w:r>
            <w:r>
              <w:rPr>
                <w:rFonts w:hint="eastAsia"/>
                <w:lang w:val="en-US" w:eastAsia="zh-CN"/>
              </w:rPr>
              <w:t>除部分建设用地外，基本为农田、水塘、丘陵、菜地、荒地与部分林地，</w:t>
            </w:r>
            <w:r>
              <w:rPr>
                <w:rFonts w:hint="eastAsia"/>
                <w:sz w:val="24"/>
                <w:lang w:eastAsia="zh-CN"/>
              </w:rPr>
              <w:t>没有土壤污染</w:t>
            </w:r>
            <w:r>
              <w:rPr>
                <w:rFonts w:hint="eastAsia"/>
                <w:sz w:val="24"/>
                <w:u w:val="none"/>
                <w:lang w:eastAsia="zh-CN"/>
              </w:rPr>
              <w:t>，</w:t>
            </w:r>
            <w:r>
              <w:rPr>
                <w:rFonts w:hint="eastAsia"/>
                <w:sz w:val="24"/>
                <w:u w:val="none"/>
              </w:rPr>
              <w:t>符合建设用地土壤环境质量标准居住用地管控标准要求</w:t>
            </w:r>
            <w:r>
              <w:rPr>
                <w:rFonts w:hint="eastAsia"/>
                <w:sz w:val="24"/>
                <w:u w:val="none"/>
                <w:lang w:eastAsia="zh-CN"/>
              </w:rPr>
              <w:t>。</w:t>
            </w:r>
          </w:p>
          <w:p>
            <w:pPr>
              <w:pStyle w:val="3"/>
              <w:spacing w:line="240" w:lineRule="auto"/>
              <w:ind w:firstLine="482" w:firstLineChars="200"/>
              <w:rPr>
                <w:b/>
                <w:bCs/>
                <w:sz w:val="24"/>
              </w:rPr>
            </w:pPr>
            <w:r>
              <w:rPr>
                <w:rFonts w:hint="eastAsia"/>
                <w:b/>
                <w:sz w:val="24"/>
                <w:lang w:val="en-US" w:eastAsia="zh-CN"/>
              </w:rPr>
              <w:t>5</w:t>
            </w:r>
            <w:r>
              <w:rPr>
                <w:b/>
                <w:sz w:val="24"/>
              </w:rPr>
              <w:t>、生态环境状况</w:t>
            </w:r>
          </w:p>
          <w:p>
            <w:pPr>
              <w:adjustRightInd w:val="0"/>
              <w:snapToGrid w:val="0"/>
              <w:spacing w:line="360" w:lineRule="auto"/>
              <w:ind w:firstLine="482" w:firstLineChars="200"/>
              <w:rPr>
                <w:b/>
                <w:color w:val="000000"/>
                <w:sz w:val="24"/>
              </w:rPr>
            </w:pPr>
            <w:r>
              <w:rPr>
                <w:rFonts w:hint="eastAsia"/>
                <w:b/>
                <w:color w:val="000000"/>
                <w:sz w:val="24"/>
                <w:lang w:val="en-US" w:eastAsia="zh-CN"/>
              </w:rPr>
              <w:t>5.</w:t>
            </w:r>
            <w:r>
              <w:rPr>
                <w:b/>
                <w:color w:val="000000"/>
                <w:sz w:val="24"/>
              </w:rPr>
              <w:t>1、土壤</w:t>
            </w:r>
          </w:p>
          <w:p>
            <w:pPr>
              <w:adjustRightInd w:val="0"/>
              <w:snapToGrid w:val="0"/>
              <w:spacing w:line="360" w:lineRule="auto"/>
              <w:ind w:firstLine="480" w:firstLineChars="200"/>
              <w:rPr>
                <w:kern w:val="0"/>
                <w:sz w:val="24"/>
              </w:rPr>
            </w:pPr>
            <w:r>
              <w:rPr>
                <w:rFonts w:hint="eastAsia"/>
                <w:kern w:val="0"/>
                <w:sz w:val="24"/>
              </w:rPr>
              <w:t>区域内土壤主要是红壤，还有黄壤、砂红壤、紫色土、雉冠土等。经人为耕作影响形成熟化的农业土壤，原土壤肥沃、性能良好，适宜多种作物生长。</w:t>
            </w:r>
          </w:p>
          <w:p>
            <w:pPr>
              <w:adjustRightInd w:val="0"/>
              <w:snapToGrid w:val="0"/>
              <w:spacing w:line="360" w:lineRule="auto"/>
              <w:ind w:firstLine="482" w:firstLineChars="200"/>
              <w:rPr>
                <w:b/>
                <w:color w:val="000000"/>
                <w:sz w:val="24"/>
              </w:rPr>
            </w:pPr>
            <w:r>
              <w:rPr>
                <w:rFonts w:hint="eastAsia"/>
                <w:b/>
                <w:color w:val="000000"/>
                <w:sz w:val="24"/>
                <w:lang w:val="en-US" w:eastAsia="zh-CN"/>
              </w:rPr>
              <w:t>5.</w:t>
            </w:r>
            <w:r>
              <w:rPr>
                <w:rFonts w:hint="eastAsia"/>
                <w:b/>
                <w:color w:val="000000"/>
                <w:sz w:val="24"/>
              </w:rPr>
              <w:t>2</w:t>
            </w:r>
            <w:r>
              <w:rPr>
                <w:b/>
                <w:color w:val="000000"/>
                <w:sz w:val="24"/>
              </w:rPr>
              <w:t>、植物资源</w:t>
            </w:r>
          </w:p>
          <w:p>
            <w:pPr>
              <w:bidi w:val="0"/>
              <w:ind w:firstLine="480" w:firstLineChars="200"/>
            </w:pPr>
            <w:r>
              <w:t>项目</w:t>
            </w:r>
            <w:r>
              <w:rPr>
                <w:rFonts w:hint="eastAsia"/>
              </w:rPr>
              <w:t>所在</w:t>
            </w:r>
            <w:r>
              <w:t>区域分布有</w:t>
            </w:r>
            <w:r>
              <w:rPr>
                <w:rFonts w:hint="eastAsia"/>
              </w:rPr>
              <w:t>农田、水塘、丘陵、菜地、荒地与部分林地</w:t>
            </w:r>
            <w:r>
              <w:t>，植物以灌</w:t>
            </w:r>
            <w:r>
              <w:rPr>
                <w:rFonts w:hint="eastAsia"/>
                <w:lang w:eastAsia="zh-CN"/>
              </w:rPr>
              <w:t>木</w:t>
            </w:r>
            <w:r>
              <w:t>、</w:t>
            </w:r>
            <w:r>
              <w:rPr>
                <w:rFonts w:hint="eastAsia"/>
                <w:lang w:eastAsia="zh-CN"/>
              </w:rPr>
              <w:t>乔</w:t>
            </w:r>
            <w:r>
              <w:t>木、灌草</w:t>
            </w:r>
            <w:r>
              <w:rPr>
                <w:rFonts w:hint="eastAsia"/>
                <w:lang w:eastAsia="zh-CN"/>
              </w:rPr>
              <w:t>、</w:t>
            </w:r>
            <w:r>
              <w:t>农业植被为主。</w:t>
            </w:r>
          </w:p>
          <w:p>
            <w:pPr>
              <w:bidi w:val="0"/>
              <w:ind w:firstLine="480" w:firstLineChars="200"/>
            </w:pPr>
            <w:r>
              <w:t>灌</w:t>
            </w:r>
            <w:r>
              <w:rPr>
                <w:rFonts w:hint="eastAsia"/>
                <w:lang w:eastAsia="zh-CN"/>
              </w:rPr>
              <w:t>木乔</w:t>
            </w:r>
            <w:r>
              <w:t>木：主要分布于已有人为活动频繁区域附近的山坡地带，建群种以阔叶树种为主。</w:t>
            </w:r>
          </w:p>
          <w:p>
            <w:pPr>
              <w:bidi w:val="0"/>
              <w:ind w:firstLine="480" w:firstLineChars="200"/>
            </w:pPr>
            <w:r>
              <w:t>灌草丛：主要分布在道路两侧的荒地间和农灌水系周围及一些低丘岗地，成条状和块状分布，以茅草等禾草类为优势种，夹杂一些零星的灌木树种，高度在1米以下，为人类强烈干扰衍生的植被</w:t>
            </w:r>
          </w:p>
          <w:p>
            <w:pPr>
              <w:bidi w:val="0"/>
              <w:ind w:firstLine="480" w:firstLineChars="200"/>
            </w:pPr>
            <w:r>
              <w:t>农作物植被：以蔬菜为主，种植量较少，分布于区域内的</w:t>
            </w:r>
            <w:r>
              <w:rPr>
                <w:rFonts w:hint="eastAsia"/>
              </w:rPr>
              <w:t>平缓地带及山体周边，主要为</w:t>
            </w:r>
            <w:r>
              <w:t>旱地、菜地。</w:t>
            </w:r>
          </w:p>
          <w:p>
            <w:pPr>
              <w:adjustRightInd w:val="0"/>
              <w:snapToGrid w:val="0"/>
              <w:spacing w:line="360" w:lineRule="auto"/>
              <w:ind w:firstLine="482" w:firstLineChars="200"/>
              <w:rPr>
                <w:b/>
                <w:color w:val="000000"/>
                <w:sz w:val="24"/>
              </w:rPr>
            </w:pPr>
            <w:r>
              <w:rPr>
                <w:rFonts w:hint="eastAsia"/>
                <w:b/>
                <w:color w:val="000000"/>
                <w:sz w:val="24"/>
                <w:lang w:val="en-US" w:eastAsia="zh-CN"/>
              </w:rPr>
              <w:t>5.</w:t>
            </w:r>
            <w:r>
              <w:rPr>
                <w:rFonts w:hint="eastAsia"/>
                <w:b/>
                <w:color w:val="000000"/>
                <w:sz w:val="24"/>
              </w:rPr>
              <w:t>3</w:t>
            </w:r>
            <w:r>
              <w:rPr>
                <w:b/>
                <w:color w:val="000000"/>
                <w:sz w:val="24"/>
              </w:rPr>
              <w:t>、动物资源</w:t>
            </w:r>
          </w:p>
          <w:p>
            <w:pPr>
              <w:bidi w:val="0"/>
              <w:ind w:firstLine="480" w:firstLineChars="200"/>
            </w:pPr>
            <w:r>
              <w:t>项目</w:t>
            </w:r>
            <w:r>
              <w:rPr>
                <w:rFonts w:hint="eastAsia"/>
              </w:rPr>
              <w:t>区域</w:t>
            </w:r>
            <w:r>
              <w:t>受长期和频繁的人类活动影响，区域土地资源的利用已达到很高的程度，大型野生动物已经绝迹。受到人类长期活动影响的地方，野生动物的生存环境基本上已经遭到破坏。野生动物多为适应耕地和居民点的种类，林栖鸟类较少见，而以盗食谷物的鼠类和鸟类居多，生活于水田区捕食昆虫、鼠类的两栖类、爬行类动物较多，主要野生动物有蛙、田鼠、蛇等。当地常见家畜、家禽主要有猪、牛、羊、兔、鸡、鸭、鹅等。据项目组现场咨询、调查，本项目</w:t>
            </w:r>
            <w:r>
              <w:rPr>
                <w:rFonts w:hint="eastAsia"/>
              </w:rPr>
              <w:t>区域</w:t>
            </w:r>
            <w:r>
              <w:t>范围内未发现珍贵的野生动、植物濒危物种。</w:t>
            </w:r>
          </w:p>
        </w:tc>
      </w:tr>
    </w:tbl>
    <w:p>
      <w:pPr>
        <w:rPr>
          <w:vanish/>
        </w:rPr>
        <w:sectPr>
          <w:pgSz w:w="11907" w:h="16840"/>
          <w:pgMar w:top="1440" w:right="1417" w:bottom="1440" w:left="1417" w:header="992" w:footer="850" w:gutter="0"/>
          <w:pgNumType w:start="1"/>
          <w:cols w:space="720" w:num="1"/>
          <w:docGrid w:type="lines" w:linePitch="436" w:charSpace="0"/>
        </w:sectPr>
      </w:pPr>
    </w:p>
    <w:tbl>
      <w:tblPr>
        <w:tblStyle w:val="34"/>
        <w:tblpPr w:leftFromText="180" w:rightFromText="180" w:vertAnchor="text" w:horzAnchor="margin" w:tblpY="8"/>
        <w:tblOverlap w:val="never"/>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4" w:hRule="atLeast"/>
        </w:trPr>
        <w:tc>
          <w:tcPr>
            <w:tcW w:w="13887" w:type="dxa"/>
          </w:tcPr>
          <w:p>
            <w:pPr>
              <w:pStyle w:val="2"/>
              <w:ind w:left="0" w:leftChars="0" w:firstLine="0" w:firstLineChars="0"/>
            </w:pPr>
            <w:r>
              <w:rPr>
                <w:rFonts w:hint="eastAsia" w:cs="宋体"/>
                <w:b/>
                <w:bCs/>
                <w:szCs w:val="28"/>
                <w:highlight w:val="none"/>
              </w:rPr>
              <w:t>主要环境保护目标</w:t>
            </w:r>
            <w:r>
              <w:rPr>
                <w:rFonts w:hint="eastAsia" w:cs="宋体"/>
                <w:b/>
                <w:bCs/>
                <w:szCs w:val="28"/>
              </w:rPr>
              <w:t>：</w:t>
            </w:r>
          </w:p>
          <w:p>
            <w:pPr>
              <w:bidi w:val="0"/>
              <w:jc w:val="center"/>
              <w:rPr>
                <w:b/>
                <w:bCs/>
              </w:rPr>
            </w:pPr>
            <w:r>
              <w:rPr>
                <w:rFonts w:hint="eastAsia"/>
                <w:b/>
                <w:bCs/>
              </w:rPr>
              <w:t>表</w:t>
            </w:r>
            <w:r>
              <w:rPr>
                <w:rFonts w:hint="eastAsia"/>
                <w:b/>
                <w:bCs/>
                <w:lang w:val="en-US" w:eastAsia="zh-CN"/>
              </w:rPr>
              <w:t>21</w:t>
            </w:r>
            <w:r>
              <w:rPr>
                <w:b/>
                <w:bCs/>
              </w:rPr>
              <w:t xml:space="preserve">  </w:t>
            </w:r>
            <w:r>
              <w:rPr>
                <w:rFonts w:hint="eastAsia"/>
                <w:b/>
                <w:bCs/>
              </w:rPr>
              <w:t>项目</w:t>
            </w:r>
            <w:r>
              <w:rPr>
                <w:rFonts w:hint="eastAsia"/>
                <w:b/>
                <w:bCs/>
                <w:lang w:eastAsia="zh-CN"/>
              </w:rPr>
              <w:t>近期</w:t>
            </w:r>
            <w:r>
              <w:rPr>
                <w:rFonts w:hint="eastAsia"/>
                <w:b/>
                <w:bCs/>
              </w:rPr>
              <w:t>环境保护目标统计表</w:t>
            </w:r>
          </w:p>
          <w:tbl>
            <w:tblPr>
              <w:tblStyle w:val="34"/>
              <w:tblW w:w="1366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154"/>
              <w:gridCol w:w="2452"/>
              <w:gridCol w:w="1420"/>
              <w:gridCol w:w="1545"/>
              <w:gridCol w:w="2115"/>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环境类别</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环境保护目标</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坐标</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特征</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方位</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距路中心线距离(m)</w:t>
                  </w:r>
                </w:p>
              </w:tc>
              <w:tc>
                <w:tcPr>
                  <w:tcW w:w="29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环境空气</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高福社区居民</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lang w:eastAsia="zh-CN"/>
                    </w:rPr>
                    <w:t>东经</w:t>
                  </w:r>
                  <w:r>
                    <w:rPr>
                      <w:rFonts w:hint="eastAsia"/>
                      <w:sz w:val="21"/>
                      <w:szCs w:val="21"/>
                    </w:rPr>
                    <w:t>113°09'</w:t>
                  </w:r>
                  <w:r>
                    <w:rPr>
                      <w:rFonts w:hint="eastAsia"/>
                      <w:sz w:val="21"/>
                      <w:szCs w:val="21"/>
                      <w:lang w:val="en-US" w:eastAsia="zh-CN"/>
                    </w:rPr>
                    <w:t xml:space="preserve"> </w:t>
                  </w:r>
                  <w:r>
                    <w:rPr>
                      <w:rFonts w:hint="eastAsia"/>
                      <w:sz w:val="21"/>
                      <w:szCs w:val="21"/>
                    </w:rPr>
                    <w:t>54.85"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北纬</w:t>
                  </w:r>
                  <w:r>
                    <w:rPr>
                      <w:rFonts w:hint="eastAsia"/>
                      <w:sz w:val="21"/>
                      <w:szCs w:val="21"/>
                    </w:rPr>
                    <w:t>27°59'</w:t>
                  </w:r>
                  <w:r>
                    <w:rPr>
                      <w:rFonts w:hint="eastAsia"/>
                      <w:sz w:val="21"/>
                      <w:szCs w:val="21"/>
                      <w:lang w:val="en-US" w:eastAsia="zh-CN"/>
                    </w:rPr>
                    <w:t xml:space="preserve"> </w:t>
                  </w:r>
                  <w:r>
                    <w:rPr>
                      <w:rFonts w:hint="eastAsia"/>
                      <w:sz w:val="21"/>
                      <w:szCs w:val="21"/>
                    </w:rPr>
                    <w:t>18.12"</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约17户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百合路北侧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约20m~257m</w:t>
                  </w:r>
                </w:p>
              </w:tc>
              <w:tc>
                <w:tcPr>
                  <w:tcW w:w="2906"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《环境空气质量标准》</w:t>
                  </w:r>
                  <w:r>
                    <w:rPr>
                      <w:sz w:val="21"/>
                      <w:szCs w:val="21"/>
                    </w:rPr>
                    <w:t>(GB3095-</w:t>
                  </w:r>
                  <w:r>
                    <w:rPr>
                      <w:rFonts w:hint="eastAsia"/>
                      <w:sz w:val="21"/>
                      <w:szCs w:val="21"/>
                    </w:rPr>
                    <w:t>2012</w:t>
                  </w:r>
                  <w:r>
                    <w:rPr>
                      <w:sz w:val="21"/>
                      <w:szCs w:val="21"/>
                    </w:rPr>
                    <w:t>)</w:t>
                  </w:r>
                  <w:r>
                    <w:rPr>
                      <w:rFonts w:hint="eastAsia"/>
                      <w:sz w:val="21"/>
                      <w:szCs w:val="21"/>
                    </w:rPr>
                    <w:t>二级标准；</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eastAsia="zh-CN"/>
                    </w:rPr>
                    <w:t>马鞍社区居民</w:t>
                  </w:r>
                  <w:r>
                    <w:rPr>
                      <w:rFonts w:hint="eastAsia"/>
                      <w:sz w:val="21"/>
                      <w:szCs w:val="21"/>
                      <w:lang w:val="en-US" w:eastAsia="zh-CN"/>
                    </w:rPr>
                    <w:t>1</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lang w:eastAsia="zh-CN"/>
                    </w:rPr>
                    <w:t>东经</w:t>
                  </w:r>
                  <w:r>
                    <w:rPr>
                      <w:rFonts w:hint="eastAsia"/>
                      <w:sz w:val="21"/>
                      <w:szCs w:val="21"/>
                    </w:rPr>
                    <w:t>113°09'</w:t>
                  </w:r>
                  <w:r>
                    <w:rPr>
                      <w:rFonts w:hint="eastAsia"/>
                      <w:sz w:val="21"/>
                      <w:szCs w:val="21"/>
                      <w:lang w:val="en-US" w:eastAsia="zh-CN"/>
                    </w:rPr>
                    <w:t xml:space="preserve"> </w:t>
                  </w:r>
                  <w:r>
                    <w:rPr>
                      <w:rFonts w:hint="eastAsia"/>
                      <w:sz w:val="21"/>
                      <w:szCs w:val="21"/>
                    </w:rPr>
                    <w:t>54.91"</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北纬</w:t>
                  </w:r>
                  <w:r>
                    <w:rPr>
                      <w:rFonts w:hint="eastAsia"/>
                      <w:sz w:val="21"/>
                      <w:szCs w:val="21"/>
                    </w:rPr>
                    <w:t>27°59'</w:t>
                  </w:r>
                  <w:r>
                    <w:rPr>
                      <w:rFonts w:hint="eastAsia"/>
                      <w:sz w:val="21"/>
                      <w:szCs w:val="21"/>
                      <w:lang w:val="en-US" w:eastAsia="zh-CN"/>
                    </w:rPr>
                    <w:t xml:space="preserve"> </w:t>
                  </w:r>
                  <w:r>
                    <w:rPr>
                      <w:rFonts w:hint="eastAsia"/>
                      <w:sz w:val="21"/>
                      <w:szCs w:val="21"/>
                    </w:rPr>
                    <w:t>03.59"</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约19户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百合路西侧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约74m~232m</w:t>
                  </w:r>
                </w:p>
              </w:tc>
              <w:tc>
                <w:tcPr>
                  <w:tcW w:w="2906"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eastAsia="zh-CN"/>
                    </w:rPr>
                    <w:t>马鞍社区居民</w:t>
                  </w:r>
                  <w:r>
                    <w:rPr>
                      <w:rFonts w:hint="eastAsia"/>
                      <w:sz w:val="21"/>
                      <w:szCs w:val="21"/>
                      <w:lang w:val="en-US" w:eastAsia="zh-CN"/>
                    </w:rPr>
                    <w:t>2</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lang w:eastAsia="zh-CN"/>
                    </w:rPr>
                    <w:t>东经</w:t>
                  </w:r>
                  <w:r>
                    <w:rPr>
                      <w:rFonts w:hint="eastAsia"/>
                      <w:sz w:val="21"/>
                      <w:szCs w:val="21"/>
                    </w:rPr>
                    <w:t>113°10'</w:t>
                  </w:r>
                  <w:r>
                    <w:rPr>
                      <w:rFonts w:hint="eastAsia"/>
                      <w:sz w:val="21"/>
                      <w:szCs w:val="21"/>
                      <w:lang w:val="en-US" w:eastAsia="zh-CN"/>
                    </w:rPr>
                    <w:t xml:space="preserve"> </w:t>
                  </w:r>
                  <w:r>
                    <w:rPr>
                      <w:rFonts w:hint="eastAsia"/>
                      <w:sz w:val="21"/>
                      <w:szCs w:val="21"/>
                    </w:rPr>
                    <w:t>05.80"</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北纬</w:t>
                  </w:r>
                  <w:r>
                    <w:rPr>
                      <w:rFonts w:hint="eastAsia"/>
                      <w:sz w:val="21"/>
                      <w:szCs w:val="21"/>
                    </w:rPr>
                    <w:t>27°58'</w:t>
                  </w:r>
                  <w:r>
                    <w:rPr>
                      <w:rFonts w:hint="eastAsia"/>
                      <w:sz w:val="21"/>
                      <w:szCs w:val="21"/>
                      <w:lang w:val="en-US" w:eastAsia="zh-CN"/>
                    </w:rPr>
                    <w:t xml:space="preserve"> </w:t>
                  </w:r>
                  <w:r>
                    <w:rPr>
                      <w:rFonts w:hint="eastAsia"/>
                      <w:sz w:val="21"/>
                      <w:szCs w:val="21"/>
                    </w:rPr>
                    <w:t>57.49"</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约47户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百合路东侧，马鞍路北侧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约30m~290m</w:t>
                  </w:r>
                </w:p>
              </w:tc>
              <w:tc>
                <w:tcPr>
                  <w:tcW w:w="2906"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eastAsia="zh-CN"/>
                    </w:rPr>
                    <w:t>马鞍社区居民</w:t>
                  </w:r>
                  <w:r>
                    <w:rPr>
                      <w:rFonts w:hint="eastAsia"/>
                      <w:sz w:val="21"/>
                      <w:szCs w:val="21"/>
                      <w:lang w:val="en-US" w:eastAsia="zh-CN"/>
                    </w:rPr>
                    <w:t>3</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eastAsia="zh-CN"/>
                    </w:rPr>
                    <w:t>东经</w:t>
                  </w:r>
                  <w:r>
                    <w:rPr>
                      <w:rFonts w:hint="eastAsia"/>
                      <w:sz w:val="21"/>
                      <w:szCs w:val="21"/>
                    </w:rPr>
                    <w:t>113°10'</w:t>
                  </w:r>
                  <w:r>
                    <w:rPr>
                      <w:rFonts w:hint="eastAsia"/>
                      <w:sz w:val="21"/>
                      <w:szCs w:val="21"/>
                      <w:lang w:val="en-US" w:eastAsia="zh-CN"/>
                    </w:rPr>
                    <w:t xml:space="preserve"> </w:t>
                  </w:r>
                  <w:r>
                    <w:rPr>
                      <w:rFonts w:hint="eastAsia"/>
                      <w:sz w:val="21"/>
                      <w:szCs w:val="21"/>
                    </w:rPr>
                    <w:t>07.35"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eastAsia="zh-CN"/>
                    </w:rPr>
                    <w:t>北纬</w:t>
                  </w:r>
                  <w:r>
                    <w:rPr>
                      <w:rFonts w:hint="eastAsia"/>
                      <w:sz w:val="21"/>
                      <w:szCs w:val="21"/>
                      <w:lang w:val="en-US" w:eastAsia="zh-CN"/>
                    </w:rPr>
                    <w:t>27°58' 43.36"</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约9户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桃园路西侧，纬四路北侧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eastAsia="zh-CN"/>
                    </w:rPr>
                    <w:t>约</w:t>
                  </w:r>
                  <w:r>
                    <w:rPr>
                      <w:rFonts w:hint="eastAsia"/>
                      <w:sz w:val="21"/>
                      <w:szCs w:val="21"/>
                      <w:lang w:val="en-US" w:eastAsia="zh-CN"/>
                    </w:rPr>
                    <w:t>31m~127m</w:t>
                  </w:r>
                </w:p>
              </w:tc>
              <w:tc>
                <w:tcPr>
                  <w:tcW w:w="2906"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eastAsia="zh-CN"/>
                    </w:rPr>
                    <w:t>马鞍社区居民</w:t>
                  </w:r>
                  <w:r>
                    <w:rPr>
                      <w:rFonts w:hint="eastAsia"/>
                      <w:sz w:val="21"/>
                      <w:szCs w:val="21"/>
                      <w:lang w:val="en-US" w:eastAsia="zh-CN"/>
                    </w:rPr>
                    <w:t>4</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lang w:eastAsia="zh-CN"/>
                    </w:rPr>
                    <w:t>东经</w:t>
                  </w:r>
                  <w:r>
                    <w:rPr>
                      <w:rFonts w:hint="eastAsia"/>
                      <w:sz w:val="21"/>
                      <w:szCs w:val="21"/>
                    </w:rPr>
                    <w:t>113°10'</w:t>
                  </w:r>
                  <w:r>
                    <w:rPr>
                      <w:rFonts w:hint="eastAsia"/>
                      <w:sz w:val="21"/>
                      <w:szCs w:val="21"/>
                      <w:lang w:val="en-US" w:eastAsia="zh-CN"/>
                    </w:rPr>
                    <w:t xml:space="preserve"> </w:t>
                  </w:r>
                  <w:r>
                    <w:rPr>
                      <w:rFonts w:hint="eastAsia"/>
                      <w:sz w:val="21"/>
                      <w:szCs w:val="21"/>
                    </w:rPr>
                    <w:t>15.69"</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北纬</w:t>
                  </w:r>
                  <w:r>
                    <w:rPr>
                      <w:rFonts w:hint="eastAsia"/>
                      <w:sz w:val="21"/>
                      <w:szCs w:val="21"/>
                    </w:rPr>
                    <w:t>27°58'</w:t>
                  </w:r>
                  <w:r>
                    <w:rPr>
                      <w:rFonts w:hint="eastAsia"/>
                      <w:sz w:val="21"/>
                      <w:szCs w:val="21"/>
                      <w:lang w:val="en-US" w:eastAsia="zh-CN"/>
                    </w:rPr>
                    <w:t xml:space="preserve"> </w:t>
                  </w:r>
                  <w:r>
                    <w:rPr>
                      <w:rFonts w:hint="eastAsia"/>
                      <w:sz w:val="21"/>
                      <w:szCs w:val="21"/>
                    </w:rPr>
                    <w:t>39.54"</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约15户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桃园路东侧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约59m~195m</w:t>
                  </w:r>
                </w:p>
              </w:tc>
              <w:tc>
                <w:tcPr>
                  <w:tcW w:w="2906"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restart"/>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声环境</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高福社区居民</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lang w:eastAsia="zh-CN"/>
                    </w:rPr>
                    <w:t>东经</w:t>
                  </w:r>
                  <w:r>
                    <w:rPr>
                      <w:rFonts w:hint="eastAsia"/>
                      <w:sz w:val="21"/>
                      <w:szCs w:val="21"/>
                    </w:rPr>
                    <w:t>113°09'</w:t>
                  </w:r>
                  <w:r>
                    <w:rPr>
                      <w:rFonts w:hint="eastAsia"/>
                      <w:sz w:val="21"/>
                      <w:szCs w:val="21"/>
                      <w:lang w:val="en-US" w:eastAsia="zh-CN"/>
                    </w:rPr>
                    <w:t xml:space="preserve"> </w:t>
                  </w:r>
                  <w:r>
                    <w:rPr>
                      <w:rFonts w:hint="eastAsia"/>
                      <w:sz w:val="21"/>
                      <w:szCs w:val="21"/>
                    </w:rPr>
                    <w:t>54.85"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北纬</w:t>
                  </w:r>
                  <w:r>
                    <w:rPr>
                      <w:rFonts w:hint="eastAsia"/>
                      <w:sz w:val="21"/>
                      <w:szCs w:val="21"/>
                    </w:rPr>
                    <w:t>27°59'</w:t>
                  </w:r>
                  <w:r>
                    <w:rPr>
                      <w:rFonts w:hint="eastAsia"/>
                      <w:sz w:val="21"/>
                      <w:szCs w:val="21"/>
                      <w:lang w:val="en-US" w:eastAsia="zh-CN"/>
                    </w:rPr>
                    <w:t xml:space="preserve"> </w:t>
                  </w:r>
                  <w:r>
                    <w:rPr>
                      <w:rFonts w:hint="eastAsia"/>
                      <w:sz w:val="21"/>
                      <w:szCs w:val="21"/>
                    </w:rPr>
                    <w:t>18.12"</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约15户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百合路北侧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约20m~200m</w:t>
                  </w:r>
                </w:p>
              </w:tc>
              <w:tc>
                <w:tcPr>
                  <w:tcW w:w="2906" w:type="dxa"/>
                  <w:vMerge w:val="restart"/>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《声环境质量标准》</w:t>
                  </w:r>
                  <w:r>
                    <w:rPr>
                      <w:sz w:val="21"/>
                      <w:szCs w:val="21"/>
                    </w:rPr>
                    <w:t xml:space="preserve">(GB3096-2008) </w:t>
                  </w:r>
                  <w:r>
                    <w:rPr>
                      <w:rFonts w:hint="eastAsia"/>
                      <w:sz w:val="21"/>
                      <w:szCs w:val="21"/>
                    </w:rPr>
                    <w:t>4a类（红线外35m内）、2类（红线外35m外）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马鞍社区居民</w:t>
                  </w:r>
                  <w:r>
                    <w:rPr>
                      <w:rFonts w:hint="eastAsia"/>
                      <w:sz w:val="21"/>
                      <w:szCs w:val="21"/>
                      <w:lang w:val="en-US" w:eastAsia="zh-CN"/>
                    </w:rPr>
                    <w:t>1</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lang w:eastAsia="zh-CN"/>
                    </w:rPr>
                    <w:t>东经</w:t>
                  </w:r>
                  <w:r>
                    <w:rPr>
                      <w:rFonts w:hint="eastAsia"/>
                      <w:sz w:val="21"/>
                      <w:szCs w:val="21"/>
                    </w:rPr>
                    <w:t>113°09'</w:t>
                  </w:r>
                  <w:r>
                    <w:rPr>
                      <w:rFonts w:hint="eastAsia"/>
                      <w:sz w:val="21"/>
                      <w:szCs w:val="21"/>
                      <w:lang w:val="en-US" w:eastAsia="zh-CN"/>
                    </w:rPr>
                    <w:t xml:space="preserve"> </w:t>
                  </w:r>
                  <w:r>
                    <w:rPr>
                      <w:rFonts w:hint="eastAsia"/>
                      <w:sz w:val="21"/>
                      <w:szCs w:val="21"/>
                    </w:rPr>
                    <w:t>54.91"</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北纬</w:t>
                  </w:r>
                  <w:r>
                    <w:rPr>
                      <w:rFonts w:hint="eastAsia"/>
                      <w:sz w:val="21"/>
                      <w:szCs w:val="21"/>
                    </w:rPr>
                    <w:t>27°59'</w:t>
                  </w:r>
                  <w:r>
                    <w:rPr>
                      <w:rFonts w:hint="eastAsia"/>
                      <w:sz w:val="21"/>
                      <w:szCs w:val="21"/>
                      <w:lang w:val="en-US" w:eastAsia="zh-CN"/>
                    </w:rPr>
                    <w:t xml:space="preserve"> </w:t>
                  </w:r>
                  <w:r>
                    <w:rPr>
                      <w:rFonts w:hint="eastAsia"/>
                      <w:sz w:val="21"/>
                      <w:szCs w:val="21"/>
                    </w:rPr>
                    <w:t>03.59"</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约18户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百合路西侧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约74m~200m</w:t>
                  </w:r>
                </w:p>
              </w:tc>
              <w:tc>
                <w:tcPr>
                  <w:tcW w:w="2906"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马鞍社区居民</w:t>
                  </w:r>
                  <w:r>
                    <w:rPr>
                      <w:rFonts w:hint="eastAsia"/>
                      <w:sz w:val="21"/>
                      <w:szCs w:val="21"/>
                      <w:lang w:val="en-US" w:eastAsia="zh-CN"/>
                    </w:rPr>
                    <w:t>2</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lang w:eastAsia="zh-CN"/>
                    </w:rPr>
                    <w:t>东经</w:t>
                  </w:r>
                  <w:r>
                    <w:rPr>
                      <w:rFonts w:hint="eastAsia"/>
                      <w:sz w:val="21"/>
                      <w:szCs w:val="21"/>
                    </w:rPr>
                    <w:t>113°10'</w:t>
                  </w:r>
                  <w:r>
                    <w:rPr>
                      <w:rFonts w:hint="eastAsia"/>
                      <w:sz w:val="21"/>
                      <w:szCs w:val="21"/>
                      <w:lang w:val="en-US" w:eastAsia="zh-CN"/>
                    </w:rPr>
                    <w:t xml:space="preserve"> </w:t>
                  </w:r>
                  <w:r>
                    <w:rPr>
                      <w:rFonts w:hint="eastAsia"/>
                      <w:sz w:val="21"/>
                      <w:szCs w:val="21"/>
                    </w:rPr>
                    <w:t>05.80"</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北纬</w:t>
                  </w:r>
                  <w:r>
                    <w:rPr>
                      <w:rFonts w:hint="eastAsia"/>
                      <w:sz w:val="21"/>
                      <w:szCs w:val="21"/>
                    </w:rPr>
                    <w:t>27°58'</w:t>
                  </w:r>
                  <w:r>
                    <w:rPr>
                      <w:rFonts w:hint="eastAsia"/>
                      <w:sz w:val="21"/>
                      <w:szCs w:val="21"/>
                      <w:lang w:val="en-US" w:eastAsia="zh-CN"/>
                    </w:rPr>
                    <w:t xml:space="preserve"> </w:t>
                  </w:r>
                  <w:r>
                    <w:rPr>
                      <w:rFonts w:hint="eastAsia"/>
                      <w:sz w:val="21"/>
                      <w:szCs w:val="21"/>
                    </w:rPr>
                    <w:t>57.49"</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约39户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百合路东侧，马鞍路北侧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约30m~200m</w:t>
                  </w:r>
                </w:p>
              </w:tc>
              <w:tc>
                <w:tcPr>
                  <w:tcW w:w="2906"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马鞍社区居民</w:t>
                  </w:r>
                  <w:r>
                    <w:rPr>
                      <w:rFonts w:hint="eastAsia"/>
                      <w:sz w:val="21"/>
                      <w:szCs w:val="21"/>
                      <w:lang w:val="en-US" w:eastAsia="zh-CN"/>
                    </w:rPr>
                    <w:t>3</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eastAsia="zh-CN"/>
                    </w:rPr>
                    <w:t>东经</w:t>
                  </w:r>
                  <w:r>
                    <w:rPr>
                      <w:rFonts w:hint="eastAsia"/>
                      <w:sz w:val="21"/>
                      <w:szCs w:val="21"/>
                    </w:rPr>
                    <w:t>113°10'</w:t>
                  </w:r>
                  <w:r>
                    <w:rPr>
                      <w:rFonts w:hint="eastAsia"/>
                      <w:sz w:val="21"/>
                      <w:szCs w:val="21"/>
                      <w:lang w:val="en-US" w:eastAsia="zh-CN"/>
                    </w:rPr>
                    <w:t xml:space="preserve"> </w:t>
                  </w:r>
                  <w:r>
                    <w:rPr>
                      <w:rFonts w:hint="eastAsia"/>
                      <w:sz w:val="21"/>
                      <w:szCs w:val="21"/>
                    </w:rPr>
                    <w:t>07.35"</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北纬</w:t>
                  </w:r>
                  <w:r>
                    <w:rPr>
                      <w:rFonts w:hint="eastAsia"/>
                      <w:sz w:val="21"/>
                      <w:szCs w:val="21"/>
                      <w:lang w:val="en-US" w:eastAsia="zh-CN"/>
                    </w:rPr>
                    <w:t>27°58' 43.36"</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约9户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桃园路西侧，纬四路北侧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eastAsia="zh-CN"/>
                    </w:rPr>
                    <w:t>约</w:t>
                  </w:r>
                  <w:r>
                    <w:rPr>
                      <w:rFonts w:hint="eastAsia"/>
                      <w:sz w:val="21"/>
                      <w:szCs w:val="21"/>
                      <w:lang w:val="en-US" w:eastAsia="zh-CN"/>
                    </w:rPr>
                    <w:t>31m~127m</w:t>
                  </w:r>
                </w:p>
              </w:tc>
              <w:tc>
                <w:tcPr>
                  <w:tcW w:w="2906"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马鞍社区居民</w:t>
                  </w:r>
                  <w:r>
                    <w:rPr>
                      <w:rFonts w:hint="eastAsia"/>
                      <w:sz w:val="21"/>
                      <w:szCs w:val="21"/>
                      <w:lang w:val="en-US" w:eastAsia="zh-CN"/>
                    </w:rPr>
                    <w:t>4</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lang w:eastAsia="zh-CN"/>
                    </w:rPr>
                    <w:t>东经</w:t>
                  </w:r>
                  <w:r>
                    <w:rPr>
                      <w:rFonts w:hint="eastAsia"/>
                      <w:sz w:val="21"/>
                      <w:szCs w:val="21"/>
                    </w:rPr>
                    <w:t>113°10'</w:t>
                  </w:r>
                  <w:r>
                    <w:rPr>
                      <w:rFonts w:hint="eastAsia"/>
                      <w:sz w:val="21"/>
                      <w:szCs w:val="21"/>
                      <w:lang w:val="en-US" w:eastAsia="zh-CN"/>
                    </w:rPr>
                    <w:t xml:space="preserve"> </w:t>
                  </w:r>
                  <w:r>
                    <w:rPr>
                      <w:rFonts w:hint="eastAsia"/>
                      <w:sz w:val="21"/>
                      <w:szCs w:val="21"/>
                    </w:rPr>
                    <w:t>15.69"</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北纬</w:t>
                  </w:r>
                  <w:r>
                    <w:rPr>
                      <w:rFonts w:hint="eastAsia"/>
                      <w:sz w:val="21"/>
                      <w:szCs w:val="21"/>
                    </w:rPr>
                    <w:t>27°58'</w:t>
                  </w:r>
                  <w:r>
                    <w:rPr>
                      <w:rFonts w:hint="eastAsia"/>
                      <w:sz w:val="21"/>
                      <w:szCs w:val="21"/>
                      <w:lang w:val="en-US" w:eastAsia="zh-CN"/>
                    </w:rPr>
                    <w:t xml:space="preserve"> </w:t>
                  </w:r>
                  <w:r>
                    <w:rPr>
                      <w:rFonts w:hint="eastAsia"/>
                      <w:sz w:val="21"/>
                      <w:szCs w:val="21"/>
                    </w:rPr>
                    <w:t>39.54"</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约15户</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rFonts w:hint="eastAsia"/>
                      <w:sz w:val="21"/>
                      <w:szCs w:val="21"/>
                      <w:lang w:eastAsia="zh-CN"/>
                    </w:rPr>
                    <w:t>桃园路东侧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约59m~195m</w:t>
                  </w:r>
                </w:p>
              </w:tc>
              <w:tc>
                <w:tcPr>
                  <w:tcW w:w="2906"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地表水</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环境</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eastAsia="zh-CN"/>
                    </w:rPr>
                    <w:t>云母河</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河流</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项目东侧2.5km</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w:t>
                  </w:r>
                </w:p>
              </w:tc>
              <w:tc>
                <w:tcPr>
                  <w:tcW w:w="2906" w:type="dxa"/>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《地表水环境质量标准》（GB3838-2002）IV类标准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eastAsia="zh-CN"/>
                    </w:rPr>
                    <w:t>云龙污水处理厂</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w:t>
                  </w:r>
                </w:p>
              </w:tc>
              <w:tc>
                <w:tcPr>
                  <w:tcW w:w="14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城市二级污水处理厂</w:t>
                  </w:r>
                </w:p>
              </w:tc>
              <w:tc>
                <w:tcPr>
                  <w:tcW w:w="15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lang w:val="en-US" w:eastAsia="zh-CN"/>
                    </w:rPr>
                  </w:pPr>
                  <w:r>
                    <w:rPr>
                      <w:rFonts w:hint="eastAsia"/>
                      <w:sz w:val="21"/>
                      <w:szCs w:val="21"/>
                      <w:lang w:val="en-US" w:eastAsia="zh-CN"/>
                    </w:rPr>
                    <w:t>项目南侧</w:t>
                  </w:r>
                </w:p>
              </w:tc>
              <w:tc>
                <w:tcPr>
                  <w:tcW w:w="21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eastAsia="zh-CN"/>
                    </w:rPr>
                  </w:pPr>
                  <w:r>
                    <w:rPr>
                      <w:rFonts w:hint="eastAsia"/>
                      <w:sz w:val="21"/>
                      <w:szCs w:val="21"/>
                      <w:lang w:val="en-US" w:eastAsia="zh-CN"/>
                    </w:rPr>
                    <w:t>/</w:t>
                  </w:r>
                </w:p>
              </w:tc>
              <w:tc>
                <w:tcPr>
                  <w:tcW w:w="2906" w:type="dxa"/>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污水处理厂进水水质标准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生态环境</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植被资源</w:t>
                  </w:r>
                </w:p>
              </w:tc>
              <w:tc>
                <w:tcPr>
                  <w:tcW w:w="7532"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eastAsia="zh-CN"/>
                    </w:rPr>
                  </w:pPr>
                  <w:r>
                    <w:rPr>
                      <w:sz w:val="21"/>
                      <w:szCs w:val="21"/>
                    </w:rPr>
                    <w:t>主要植被类型为灌</w:t>
                  </w:r>
                  <w:r>
                    <w:rPr>
                      <w:rFonts w:hint="eastAsia"/>
                      <w:sz w:val="21"/>
                      <w:szCs w:val="21"/>
                      <w:lang w:eastAsia="zh-CN"/>
                    </w:rPr>
                    <w:t>木</w:t>
                  </w:r>
                  <w:r>
                    <w:rPr>
                      <w:rFonts w:hint="eastAsia"/>
                      <w:sz w:val="21"/>
                      <w:szCs w:val="21"/>
                    </w:rPr>
                    <w:t>和</w:t>
                  </w:r>
                  <w:r>
                    <w:rPr>
                      <w:rFonts w:hint="eastAsia"/>
                      <w:sz w:val="21"/>
                      <w:szCs w:val="21"/>
                      <w:lang w:eastAsia="zh-CN"/>
                    </w:rPr>
                    <w:t>乔木</w:t>
                  </w:r>
                </w:p>
              </w:tc>
              <w:tc>
                <w:tcPr>
                  <w:tcW w:w="29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不被</w:t>
                  </w:r>
                  <w:r>
                    <w:rPr>
                      <w:sz w:val="21"/>
                      <w:szCs w:val="21"/>
                    </w:rPr>
                    <w:t>占用</w:t>
                  </w:r>
                  <w:r>
                    <w:rPr>
                      <w:rFonts w:hint="eastAsia"/>
                      <w:sz w:val="21"/>
                      <w:szCs w:val="21"/>
                    </w:rPr>
                    <w:t>、</w:t>
                  </w:r>
                  <w:r>
                    <w:rPr>
                      <w:sz w:val="21"/>
                      <w:szCs w:val="21"/>
                    </w:rPr>
                    <w:t>人为践踏。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水土保持</w:t>
                  </w:r>
                </w:p>
              </w:tc>
              <w:tc>
                <w:tcPr>
                  <w:tcW w:w="7532"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重点为主体工程区和施工场</w:t>
                  </w:r>
                  <w:r>
                    <w:rPr>
                      <w:rFonts w:hint="eastAsia"/>
                      <w:sz w:val="21"/>
                      <w:szCs w:val="21"/>
                    </w:rPr>
                    <w:t>地</w:t>
                  </w:r>
                </w:p>
              </w:tc>
              <w:tc>
                <w:tcPr>
                  <w:tcW w:w="29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避免水土流失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7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社会环境</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沿线被征地拆迁居民</w:t>
                  </w:r>
                </w:p>
              </w:tc>
              <w:tc>
                <w:tcPr>
                  <w:tcW w:w="7532"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原有的居住条件受到影响，</w:t>
                  </w:r>
                  <w:r>
                    <w:rPr>
                      <w:rFonts w:hint="eastAsia"/>
                      <w:sz w:val="21"/>
                      <w:szCs w:val="21"/>
                    </w:rPr>
                    <w:t>征地拆迁时的短期影响</w:t>
                  </w:r>
                </w:p>
              </w:tc>
              <w:tc>
                <w:tcPr>
                  <w:tcW w:w="29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生活质量、基本生产条件保障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两侧</w:t>
                  </w:r>
                  <w:r>
                    <w:rPr>
                      <w:rFonts w:hint="eastAsia"/>
                      <w:sz w:val="21"/>
                      <w:szCs w:val="21"/>
                    </w:rPr>
                    <w:t>村民</w:t>
                  </w:r>
                  <w:r>
                    <w:rPr>
                      <w:sz w:val="21"/>
                      <w:szCs w:val="21"/>
                    </w:rPr>
                    <w:t>出行阻隔</w:t>
                  </w:r>
                </w:p>
              </w:tc>
              <w:tc>
                <w:tcPr>
                  <w:tcW w:w="7532"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重点保护居民日常生活及出行条件</w:t>
                  </w:r>
                </w:p>
              </w:tc>
              <w:tc>
                <w:tcPr>
                  <w:tcW w:w="29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日常交往、居住环境质量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城市基础设施（电力、电讯设施等）</w:t>
                  </w:r>
                </w:p>
              </w:tc>
              <w:tc>
                <w:tcPr>
                  <w:tcW w:w="7532"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选线避让主要电力设施和农灌设施，减少对电力设施的拆迁和农灌设施的占用；避免施工人为破坏沿线基础设施</w:t>
                  </w:r>
                </w:p>
              </w:tc>
              <w:tc>
                <w:tcPr>
                  <w:tcW w:w="29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保障区域基础设施安全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rPr>
                    <w:t>株洲</w:t>
                  </w:r>
                  <w:r>
                    <w:rPr>
                      <w:rFonts w:hint="eastAsia"/>
                      <w:sz w:val="21"/>
                      <w:szCs w:val="21"/>
                      <w:lang w:eastAsia="zh-CN"/>
                    </w:rPr>
                    <w:t>云龙示范区</w:t>
                  </w:r>
                </w:p>
              </w:tc>
              <w:tc>
                <w:tcPr>
                  <w:tcW w:w="7532"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确保道路建设与城市规划相符</w:t>
                  </w:r>
                </w:p>
              </w:tc>
              <w:tc>
                <w:tcPr>
                  <w:tcW w:w="29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区域规划的符合性和土地利用影响</w:t>
                  </w:r>
                </w:p>
              </w:tc>
            </w:tr>
          </w:tbl>
          <w:p>
            <w:pPr>
              <w:bidi w:val="0"/>
              <w:jc w:val="center"/>
              <w:rPr>
                <w:b/>
                <w:bCs/>
              </w:rPr>
            </w:pPr>
            <w:r>
              <w:rPr>
                <w:rFonts w:hint="eastAsia"/>
                <w:b/>
                <w:bCs/>
              </w:rPr>
              <w:t>表</w:t>
            </w:r>
            <w:r>
              <w:rPr>
                <w:rFonts w:hint="eastAsia"/>
                <w:b/>
                <w:bCs/>
                <w:lang w:val="en-US" w:eastAsia="zh-CN"/>
              </w:rPr>
              <w:t>22</w:t>
            </w:r>
            <w:r>
              <w:rPr>
                <w:b/>
                <w:bCs/>
              </w:rPr>
              <w:t xml:space="preserve">  </w:t>
            </w:r>
            <w:r>
              <w:rPr>
                <w:rFonts w:hint="eastAsia"/>
                <w:b/>
                <w:bCs/>
              </w:rPr>
              <w:t>项目</w:t>
            </w:r>
            <w:r>
              <w:rPr>
                <w:rFonts w:hint="eastAsia"/>
                <w:b/>
                <w:bCs/>
                <w:lang w:eastAsia="zh-CN"/>
              </w:rPr>
              <w:t>远期</w:t>
            </w:r>
            <w:r>
              <w:rPr>
                <w:rFonts w:hint="eastAsia"/>
                <w:b/>
                <w:bCs/>
              </w:rPr>
              <w:t>环境保护目标统计表</w:t>
            </w:r>
          </w:p>
          <w:tbl>
            <w:tblPr>
              <w:tblStyle w:val="34"/>
              <w:tblW w:w="1366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154"/>
              <w:gridCol w:w="2452"/>
              <w:gridCol w:w="1555"/>
              <w:gridCol w:w="1350"/>
              <w:gridCol w:w="2020"/>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环境类别</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环境保护目标</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坐标</w:t>
                  </w:r>
                </w:p>
              </w:tc>
              <w:tc>
                <w:tcPr>
                  <w:tcW w:w="15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特征</w:t>
                  </w:r>
                </w:p>
              </w:tc>
              <w:tc>
                <w:tcPr>
                  <w:tcW w:w="13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方位</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距路中心线距离(m)</w:t>
                  </w:r>
                </w:p>
              </w:tc>
              <w:tc>
                <w:tcPr>
                  <w:tcW w:w="30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restart"/>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sz w:val="21"/>
                      <w:szCs w:val="21"/>
                    </w:rPr>
                  </w:pPr>
                  <w:r>
                    <w:rPr>
                      <w:rFonts w:hint="eastAsia"/>
                      <w:sz w:val="21"/>
                      <w:szCs w:val="21"/>
                    </w:rPr>
                    <w:t>环境空气</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eastAsia="zh-CN"/>
                    </w:rPr>
                    <w:t>规划用地</w:t>
                  </w:r>
                  <w:r>
                    <w:rPr>
                      <w:rFonts w:hint="eastAsia"/>
                      <w:sz w:val="21"/>
                      <w:szCs w:val="21"/>
                      <w:lang w:val="en-US" w:eastAsia="zh-CN"/>
                    </w:rPr>
                    <w:t>1</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东经113°10'</w:t>
                  </w:r>
                  <w:r>
                    <w:rPr>
                      <w:rFonts w:hint="eastAsia"/>
                      <w:sz w:val="21"/>
                      <w:szCs w:val="21"/>
                      <w:lang w:val="en-US" w:eastAsia="zh-CN"/>
                    </w:rPr>
                    <w:t xml:space="preserve"> </w:t>
                  </w:r>
                  <w:r>
                    <w:rPr>
                      <w:rFonts w:hint="eastAsia"/>
                      <w:sz w:val="21"/>
                      <w:szCs w:val="21"/>
                      <w:lang w:eastAsia="zh-CN"/>
                    </w:rPr>
                    <w:t>02.17"</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北纬27°59'</w:t>
                  </w:r>
                  <w:r>
                    <w:rPr>
                      <w:rFonts w:hint="eastAsia"/>
                      <w:sz w:val="21"/>
                      <w:szCs w:val="21"/>
                      <w:lang w:val="en-US" w:eastAsia="zh-CN"/>
                    </w:rPr>
                    <w:t xml:space="preserve"> </w:t>
                  </w:r>
                  <w:r>
                    <w:rPr>
                      <w:rFonts w:hint="eastAsia"/>
                      <w:sz w:val="21"/>
                      <w:szCs w:val="21"/>
                      <w:lang w:eastAsia="zh-CN"/>
                    </w:rPr>
                    <w:t>02.67"</w:t>
                  </w:r>
                </w:p>
              </w:tc>
              <w:tc>
                <w:tcPr>
                  <w:tcW w:w="15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二类居民用地</w:t>
                  </w:r>
                </w:p>
              </w:tc>
              <w:tc>
                <w:tcPr>
                  <w:tcW w:w="13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百合路东侧</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约40m~450m</w:t>
                  </w:r>
                </w:p>
              </w:tc>
              <w:tc>
                <w:tcPr>
                  <w:tcW w:w="3061" w:type="dxa"/>
                  <w:vMerge w:val="restart"/>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《环境空气质量标准》</w:t>
                  </w:r>
                  <w:r>
                    <w:rPr>
                      <w:sz w:val="21"/>
                      <w:szCs w:val="21"/>
                    </w:rPr>
                    <w:t>(GB3095-</w:t>
                  </w:r>
                  <w:r>
                    <w:rPr>
                      <w:rFonts w:hint="eastAsia"/>
                      <w:sz w:val="21"/>
                      <w:szCs w:val="21"/>
                    </w:rPr>
                    <w:t>2012</w:t>
                  </w:r>
                  <w:r>
                    <w:rPr>
                      <w:sz w:val="21"/>
                      <w:szCs w:val="21"/>
                    </w:rPr>
                    <w:t>)</w:t>
                  </w:r>
                  <w:r>
                    <w:rPr>
                      <w:rFonts w:hint="eastAsia"/>
                      <w:sz w:val="21"/>
                      <w:szCs w:val="21"/>
                    </w:rPr>
                    <w:t>二级标准；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《声环境质量标准》</w:t>
                  </w:r>
                  <w:r>
                    <w:rPr>
                      <w:sz w:val="21"/>
                      <w:szCs w:val="21"/>
                    </w:rPr>
                    <w:t xml:space="preserve">(GB3096-2008) </w:t>
                  </w:r>
                  <w:r>
                    <w:rPr>
                      <w:rFonts w:hint="eastAsia"/>
                      <w:sz w:val="21"/>
                      <w:szCs w:val="21"/>
                    </w:rPr>
                    <w:t>4a类（红线外35m内）、2类（红线外35m外）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eastAsia="zh-CN"/>
                    </w:rPr>
                    <w:t>规划用地</w:t>
                  </w:r>
                  <w:r>
                    <w:rPr>
                      <w:rFonts w:hint="eastAsia"/>
                      <w:sz w:val="21"/>
                      <w:szCs w:val="21"/>
                      <w:lang w:val="en-US" w:eastAsia="zh-CN"/>
                    </w:rPr>
                    <w:t>2</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东经113°10'</w:t>
                  </w:r>
                  <w:r>
                    <w:rPr>
                      <w:rFonts w:hint="eastAsia"/>
                      <w:sz w:val="21"/>
                      <w:szCs w:val="21"/>
                      <w:lang w:val="en-US" w:eastAsia="zh-CN"/>
                    </w:rPr>
                    <w:t xml:space="preserve"> </w:t>
                  </w:r>
                  <w:r>
                    <w:rPr>
                      <w:rFonts w:hint="eastAsia"/>
                      <w:sz w:val="21"/>
                      <w:szCs w:val="21"/>
                      <w:lang w:eastAsia="zh-CN"/>
                    </w:rPr>
                    <w:t>09.89"</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北纬27°58'</w:t>
                  </w:r>
                  <w:r>
                    <w:rPr>
                      <w:rFonts w:hint="eastAsia"/>
                      <w:sz w:val="21"/>
                      <w:szCs w:val="21"/>
                      <w:lang w:val="en-US" w:eastAsia="zh-CN"/>
                    </w:rPr>
                    <w:t xml:space="preserve"> </w:t>
                  </w:r>
                  <w:r>
                    <w:rPr>
                      <w:rFonts w:hint="eastAsia"/>
                      <w:sz w:val="21"/>
                      <w:szCs w:val="21"/>
                      <w:lang w:eastAsia="zh-CN"/>
                    </w:rPr>
                    <w:t>56.73"</w:t>
                  </w:r>
                </w:p>
              </w:tc>
              <w:tc>
                <w:tcPr>
                  <w:tcW w:w="15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中小学用地</w:t>
                  </w:r>
                </w:p>
              </w:tc>
              <w:tc>
                <w:tcPr>
                  <w:tcW w:w="13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马鞍路北侧</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约60m~420m</w:t>
                  </w:r>
                </w:p>
              </w:tc>
              <w:tc>
                <w:tcPr>
                  <w:tcW w:w="306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eastAsia="zh-CN"/>
                    </w:rPr>
                    <w:t>规划用地</w:t>
                  </w:r>
                  <w:r>
                    <w:rPr>
                      <w:rFonts w:hint="eastAsia"/>
                      <w:sz w:val="21"/>
                      <w:szCs w:val="21"/>
                      <w:lang w:val="en-US" w:eastAsia="zh-CN"/>
                    </w:rPr>
                    <w:t>3</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东经113°10'</w:t>
                  </w:r>
                  <w:r>
                    <w:rPr>
                      <w:rFonts w:hint="eastAsia"/>
                      <w:sz w:val="21"/>
                      <w:szCs w:val="21"/>
                      <w:lang w:val="en-US" w:eastAsia="zh-CN"/>
                    </w:rPr>
                    <w:t xml:space="preserve"> </w:t>
                  </w:r>
                  <w:r>
                    <w:rPr>
                      <w:rFonts w:hint="eastAsia"/>
                      <w:sz w:val="21"/>
                      <w:szCs w:val="21"/>
                      <w:lang w:eastAsia="zh-CN"/>
                    </w:rPr>
                    <w:t>09.12"</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北纬27°58'</w:t>
                  </w:r>
                  <w:r>
                    <w:rPr>
                      <w:rFonts w:hint="eastAsia"/>
                      <w:sz w:val="21"/>
                      <w:szCs w:val="21"/>
                      <w:lang w:val="en-US" w:eastAsia="zh-CN"/>
                    </w:rPr>
                    <w:t xml:space="preserve"> </w:t>
                  </w:r>
                  <w:r>
                    <w:rPr>
                      <w:rFonts w:hint="eastAsia"/>
                      <w:sz w:val="21"/>
                      <w:szCs w:val="21"/>
                      <w:lang w:eastAsia="zh-CN"/>
                    </w:rPr>
                    <w:t>53.07"</w:t>
                  </w:r>
                </w:p>
              </w:tc>
              <w:tc>
                <w:tcPr>
                  <w:tcW w:w="15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服务设施用地</w:t>
                  </w:r>
                </w:p>
              </w:tc>
              <w:tc>
                <w:tcPr>
                  <w:tcW w:w="13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马鞍路北侧</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约30m~60m</w:t>
                  </w:r>
                </w:p>
              </w:tc>
              <w:tc>
                <w:tcPr>
                  <w:tcW w:w="3061"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restart"/>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声环境</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规划用地</w:t>
                  </w:r>
                  <w:r>
                    <w:rPr>
                      <w:rFonts w:hint="eastAsia"/>
                      <w:sz w:val="21"/>
                      <w:szCs w:val="21"/>
                      <w:lang w:val="en-US" w:eastAsia="zh-CN"/>
                    </w:rPr>
                    <w:t>1</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东经113°10'</w:t>
                  </w:r>
                  <w:r>
                    <w:rPr>
                      <w:rFonts w:hint="eastAsia"/>
                      <w:sz w:val="21"/>
                      <w:szCs w:val="21"/>
                      <w:lang w:val="en-US" w:eastAsia="zh-CN"/>
                    </w:rPr>
                    <w:t xml:space="preserve"> </w:t>
                  </w:r>
                  <w:r>
                    <w:rPr>
                      <w:rFonts w:hint="eastAsia"/>
                      <w:sz w:val="21"/>
                      <w:szCs w:val="21"/>
                      <w:lang w:eastAsia="zh-CN"/>
                    </w:rPr>
                    <w:t>02.17"</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北纬27°59'</w:t>
                  </w:r>
                  <w:r>
                    <w:rPr>
                      <w:rFonts w:hint="eastAsia"/>
                      <w:sz w:val="21"/>
                      <w:szCs w:val="21"/>
                      <w:lang w:val="en-US" w:eastAsia="zh-CN"/>
                    </w:rPr>
                    <w:t xml:space="preserve"> </w:t>
                  </w:r>
                  <w:r>
                    <w:rPr>
                      <w:rFonts w:hint="eastAsia"/>
                      <w:sz w:val="21"/>
                      <w:szCs w:val="21"/>
                      <w:lang w:eastAsia="zh-CN"/>
                    </w:rPr>
                    <w:t>02.67"</w:t>
                  </w:r>
                </w:p>
              </w:tc>
              <w:tc>
                <w:tcPr>
                  <w:tcW w:w="15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二类居民用地</w:t>
                  </w:r>
                </w:p>
              </w:tc>
              <w:tc>
                <w:tcPr>
                  <w:tcW w:w="13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百合路东侧</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约40m~200m</w:t>
                  </w:r>
                </w:p>
              </w:tc>
              <w:tc>
                <w:tcPr>
                  <w:tcW w:w="3061" w:type="dxa"/>
                  <w:vMerge w:val="restart"/>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《声环境质量标准》</w:t>
                  </w:r>
                  <w:r>
                    <w:rPr>
                      <w:sz w:val="21"/>
                      <w:szCs w:val="21"/>
                    </w:rPr>
                    <w:t xml:space="preserve">(GB3096-2008) </w:t>
                  </w:r>
                  <w:r>
                    <w:rPr>
                      <w:rFonts w:hint="eastAsia"/>
                      <w:sz w:val="21"/>
                      <w:szCs w:val="21"/>
                    </w:rPr>
                    <w:t>4a类（红线外35m内）、2类（红线外35m外）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规划用地</w:t>
                  </w:r>
                  <w:r>
                    <w:rPr>
                      <w:rFonts w:hint="eastAsia"/>
                      <w:sz w:val="21"/>
                      <w:szCs w:val="21"/>
                      <w:lang w:val="en-US" w:eastAsia="zh-CN"/>
                    </w:rPr>
                    <w:t>2</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东经113°10'</w:t>
                  </w:r>
                  <w:r>
                    <w:rPr>
                      <w:rFonts w:hint="eastAsia"/>
                      <w:sz w:val="21"/>
                      <w:szCs w:val="21"/>
                      <w:lang w:val="en-US" w:eastAsia="zh-CN"/>
                    </w:rPr>
                    <w:t xml:space="preserve"> </w:t>
                  </w:r>
                  <w:r>
                    <w:rPr>
                      <w:rFonts w:hint="eastAsia"/>
                      <w:sz w:val="21"/>
                      <w:szCs w:val="21"/>
                      <w:lang w:eastAsia="zh-CN"/>
                    </w:rPr>
                    <w:t>09.89"</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北纬27°58'</w:t>
                  </w:r>
                  <w:r>
                    <w:rPr>
                      <w:rFonts w:hint="eastAsia"/>
                      <w:sz w:val="21"/>
                      <w:szCs w:val="21"/>
                      <w:lang w:val="en-US" w:eastAsia="zh-CN"/>
                    </w:rPr>
                    <w:t xml:space="preserve"> </w:t>
                  </w:r>
                  <w:r>
                    <w:rPr>
                      <w:rFonts w:hint="eastAsia"/>
                      <w:sz w:val="21"/>
                      <w:szCs w:val="21"/>
                      <w:lang w:eastAsia="zh-CN"/>
                    </w:rPr>
                    <w:t>56.73"</w:t>
                  </w:r>
                </w:p>
              </w:tc>
              <w:tc>
                <w:tcPr>
                  <w:tcW w:w="15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中小学用地</w:t>
                  </w:r>
                </w:p>
              </w:tc>
              <w:tc>
                <w:tcPr>
                  <w:tcW w:w="13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马鞍路北侧</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约60m~200m</w:t>
                  </w:r>
                </w:p>
              </w:tc>
              <w:tc>
                <w:tcPr>
                  <w:tcW w:w="306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077"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规划用地</w:t>
                  </w:r>
                  <w:r>
                    <w:rPr>
                      <w:rFonts w:hint="eastAsia"/>
                      <w:sz w:val="21"/>
                      <w:szCs w:val="21"/>
                      <w:lang w:val="en-US" w:eastAsia="zh-CN"/>
                    </w:rPr>
                    <w:t>3</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东经113°10'</w:t>
                  </w:r>
                  <w:r>
                    <w:rPr>
                      <w:rFonts w:hint="eastAsia"/>
                      <w:sz w:val="21"/>
                      <w:szCs w:val="21"/>
                      <w:lang w:val="en-US" w:eastAsia="zh-CN"/>
                    </w:rPr>
                    <w:t xml:space="preserve"> </w:t>
                  </w:r>
                  <w:r>
                    <w:rPr>
                      <w:rFonts w:hint="eastAsia"/>
                      <w:sz w:val="21"/>
                      <w:szCs w:val="21"/>
                      <w:lang w:eastAsia="zh-CN"/>
                    </w:rPr>
                    <w:t>09.12"</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北纬27°58'</w:t>
                  </w:r>
                  <w:r>
                    <w:rPr>
                      <w:rFonts w:hint="eastAsia"/>
                      <w:sz w:val="21"/>
                      <w:szCs w:val="21"/>
                      <w:lang w:val="en-US" w:eastAsia="zh-CN"/>
                    </w:rPr>
                    <w:t xml:space="preserve"> </w:t>
                  </w:r>
                  <w:r>
                    <w:rPr>
                      <w:rFonts w:hint="eastAsia"/>
                      <w:sz w:val="21"/>
                      <w:szCs w:val="21"/>
                      <w:lang w:eastAsia="zh-CN"/>
                    </w:rPr>
                    <w:t>53.07"</w:t>
                  </w:r>
                </w:p>
              </w:tc>
              <w:tc>
                <w:tcPr>
                  <w:tcW w:w="15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服务设施用地</w:t>
                  </w:r>
                </w:p>
              </w:tc>
              <w:tc>
                <w:tcPr>
                  <w:tcW w:w="13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eastAsia="zh-CN"/>
                    </w:rPr>
                  </w:pPr>
                  <w:r>
                    <w:rPr>
                      <w:rFonts w:hint="eastAsia"/>
                      <w:sz w:val="21"/>
                      <w:szCs w:val="21"/>
                      <w:lang w:eastAsia="zh-CN"/>
                    </w:rPr>
                    <w:t>马鞍路北侧</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eastAsia"/>
                      <w:sz w:val="21"/>
                      <w:szCs w:val="21"/>
                      <w:lang w:val="en-US" w:eastAsia="zh-CN"/>
                    </w:rPr>
                    <w:t>约30m~60m</w:t>
                  </w:r>
                </w:p>
              </w:tc>
              <w:tc>
                <w:tcPr>
                  <w:tcW w:w="3061"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地表水</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环境</w:t>
                  </w: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eastAsia="zh-CN"/>
                    </w:rPr>
                    <w:t>云母河</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5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河流</w:t>
                  </w:r>
                </w:p>
              </w:tc>
              <w:tc>
                <w:tcPr>
                  <w:tcW w:w="13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项目东侧2.5km</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3061" w:type="dxa"/>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lang w:val="en-US" w:eastAsia="zh-CN"/>
                    </w:rPr>
                  </w:pPr>
                  <w:r>
                    <w:rPr>
                      <w:rFonts w:hint="eastAsia"/>
                      <w:sz w:val="21"/>
                      <w:szCs w:val="21"/>
                      <w:lang w:val="en-US" w:eastAsia="zh-CN"/>
                    </w:rPr>
                    <w:t>《地表水环境质量标准》（GB3838-2002）IV类标准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77"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rPr>
                  </w:pPr>
                </w:p>
              </w:tc>
              <w:tc>
                <w:tcPr>
                  <w:tcW w:w="21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eastAsia="zh-CN"/>
                    </w:rPr>
                    <w:t>云龙污水处理厂</w:t>
                  </w:r>
                </w:p>
              </w:tc>
              <w:tc>
                <w:tcPr>
                  <w:tcW w:w="245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5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城市二级污水处理厂</w:t>
                  </w:r>
                </w:p>
              </w:tc>
              <w:tc>
                <w:tcPr>
                  <w:tcW w:w="13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项目南侧</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3061" w:type="dxa"/>
                  <w:tcBorders>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污水处理厂进水水质标准</w:t>
                  </w:r>
                </w:p>
              </w:tc>
            </w:tr>
          </w:tbl>
          <w:p>
            <w:pPr>
              <w:snapToGrid w:val="0"/>
              <w:rPr>
                <w:rFonts w:cs="宋体"/>
                <w:sz w:val="24"/>
                <w:highlight w:val="yellow"/>
              </w:rPr>
            </w:pPr>
          </w:p>
        </w:tc>
      </w:tr>
    </w:tbl>
    <w:p>
      <w:pPr>
        <w:rPr>
          <w:vanish/>
        </w:rPr>
      </w:pPr>
    </w:p>
    <w:p>
      <w:pPr>
        <w:jc w:val="left"/>
        <w:rPr>
          <w:rFonts w:cs="宋体"/>
          <w:b/>
          <w:bCs/>
          <w:sz w:val="28"/>
          <w:highlight w:val="yellow"/>
        </w:rPr>
        <w:sectPr>
          <w:footerReference r:id="rId6" w:type="default"/>
          <w:pgSz w:w="16840" w:h="11907" w:orient="landscape"/>
          <w:pgMar w:top="1418" w:right="1440" w:bottom="1418" w:left="1440" w:header="992" w:footer="851" w:gutter="0"/>
          <w:cols w:space="720" w:num="1"/>
          <w:docGrid w:type="lines" w:linePitch="436" w:charSpace="0"/>
        </w:sectPr>
      </w:pPr>
    </w:p>
    <w:p>
      <w:pPr>
        <w:jc w:val="left"/>
        <w:outlineLvl w:val="0"/>
        <w:rPr>
          <w:rFonts w:cs="宋体"/>
          <w:b/>
          <w:bCs/>
          <w:sz w:val="28"/>
        </w:rPr>
      </w:pPr>
      <w:r>
        <w:rPr>
          <w:rFonts w:hint="eastAsia" w:cs="宋体"/>
          <w:b/>
          <w:bCs/>
          <w:sz w:val="28"/>
        </w:rPr>
        <w:t>评价适用标准</w:t>
      </w:r>
    </w:p>
    <w:tbl>
      <w:tblPr>
        <w:tblStyle w:val="34"/>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8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3" w:hRule="exact"/>
        </w:trPr>
        <w:tc>
          <w:tcPr>
            <w:tcW w:w="809" w:type="dxa"/>
            <w:vAlign w:val="center"/>
          </w:tcPr>
          <w:p>
            <w:pPr>
              <w:jc w:val="center"/>
              <w:rPr>
                <w:rFonts w:cs="宋体"/>
                <w:b/>
                <w:bCs/>
                <w:sz w:val="24"/>
              </w:rPr>
            </w:pPr>
            <w:r>
              <w:rPr>
                <w:rFonts w:hint="eastAsia" w:cs="宋体"/>
                <w:b/>
                <w:bCs/>
                <w:sz w:val="24"/>
              </w:rPr>
              <w:t>环</w:t>
            </w:r>
          </w:p>
          <w:p>
            <w:pPr>
              <w:jc w:val="center"/>
              <w:rPr>
                <w:rFonts w:cs="宋体"/>
                <w:b/>
                <w:bCs/>
                <w:sz w:val="24"/>
              </w:rPr>
            </w:pPr>
            <w:r>
              <w:rPr>
                <w:rFonts w:hint="eastAsia" w:cs="宋体"/>
                <w:b/>
                <w:bCs/>
                <w:sz w:val="24"/>
              </w:rPr>
              <w:t>境</w:t>
            </w:r>
          </w:p>
          <w:p>
            <w:pPr>
              <w:jc w:val="center"/>
              <w:rPr>
                <w:rFonts w:cs="宋体"/>
                <w:b/>
                <w:bCs/>
                <w:sz w:val="24"/>
              </w:rPr>
            </w:pPr>
            <w:r>
              <w:rPr>
                <w:rFonts w:hint="eastAsia" w:cs="宋体"/>
                <w:b/>
                <w:bCs/>
                <w:sz w:val="24"/>
              </w:rPr>
              <w:t>质</w:t>
            </w:r>
          </w:p>
          <w:p>
            <w:pPr>
              <w:jc w:val="center"/>
              <w:rPr>
                <w:rFonts w:cs="宋体"/>
                <w:b/>
                <w:bCs/>
                <w:sz w:val="24"/>
              </w:rPr>
            </w:pPr>
            <w:r>
              <w:rPr>
                <w:rFonts w:hint="eastAsia" w:cs="宋体"/>
                <w:b/>
                <w:bCs/>
                <w:sz w:val="24"/>
              </w:rPr>
              <w:t>量</w:t>
            </w:r>
          </w:p>
          <w:p>
            <w:pPr>
              <w:jc w:val="center"/>
              <w:rPr>
                <w:rFonts w:cs="宋体"/>
                <w:b/>
                <w:bCs/>
                <w:sz w:val="24"/>
              </w:rPr>
            </w:pPr>
            <w:r>
              <w:rPr>
                <w:rFonts w:hint="eastAsia" w:cs="宋体"/>
                <w:b/>
                <w:bCs/>
                <w:sz w:val="24"/>
              </w:rPr>
              <w:t>标</w:t>
            </w:r>
          </w:p>
          <w:p>
            <w:pPr>
              <w:jc w:val="center"/>
              <w:rPr>
                <w:rFonts w:cs="宋体"/>
                <w:sz w:val="24"/>
              </w:rPr>
            </w:pPr>
            <w:r>
              <w:rPr>
                <w:rFonts w:hint="eastAsia" w:cs="宋体"/>
                <w:b/>
                <w:bCs/>
                <w:sz w:val="24"/>
              </w:rPr>
              <w:t>准</w:t>
            </w:r>
          </w:p>
        </w:tc>
        <w:tc>
          <w:tcPr>
            <w:tcW w:w="8122" w:type="dxa"/>
            <w:vAlign w:val="center"/>
          </w:tcPr>
          <w:p>
            <w:pPr>
              <w:ind w:firstLine="480" w:firstLineChars="200"/>
              <w:jc w:val="left"/>
              <w:rPr>
                <w:sz w:val="24"/>
              </w:rPr>
            </w:pPr>
            <w:r>
              <w:rPr>
                <w:rFonts w:hint="eastAsia"/>
                <w:sz w:val="24"/>
              </w:rPr>
              <w:t>1、《环境空气质量标准》（GB3095-2012），二级。</w:t>
            </w:r>
          </w:p>
          <w:p>
            <w:pPr>
              <w:ind w:firstLine="480" w:firstLineChars="200"/>
              <w:jc w:val="left"/>
              <w:rPr>
                <w:rFonts w:hint="eastAsia" w:eastAsia="宋体"/>
                <w:sz w:val="24"/>
                <w:lang w:eastAsia="zh-CN"/>
              </w:rPr>
            </w:pPr>
            <w:r>
              <w:rPr>
                <w:rFonts w:hint="eastAsia"/>
                <w:sz w:val="24"/>
              </w:rPr>
              <w:t>2、《地表水环境质量标准》（GB3838-2002）IV类标准（</w:t>
            </w:r>
            <w:r>
              <w:rPr>
                <w:rFonts w:hint="eastAsia"/>
                <w:sz w:val="24"/>
                <w:lang w:eastAsia="zh-CN"/>
              </w:rPr>
              <w:t>云母河</w:t>
            </w:r>
            <w:r>
              <w:rPr>
                <w:rFonts w:hint="eastAsia"/>
                <w:sz w:val="24"/>
              </w:rPr>
              <w:t>）</w:t>
            </w:r>
            <w:r>
              <w:rPr>
                <w:rFonts w:hint="eastAsia"/>
                <w:sz w:val="24"/>
                <w:lang w:eastAsia="zh-CN"/>
              </w:rPr>
              <w:t>。</w:t>
            </w:r>
          </w:p>
          <w:p>
            <w:pPr>
              <w:ind w:firstLine="480" w:firstLineChars="200"/>
              <w:jc w:val="left"/>
              <w:rPr>
                <w:sz w:val="24"/>
              </w:rPr>
            </w:pPr>
            <w:r>
              <w:rPr>
                <w:rFonts w:hint="eastAsia"/>
                <w:sz w:val="24"/>
              </w:rPr>
              <w:t>《声环境质量标准》（GB3096-2008），4a类｛若临街建筑高于三层楼房以上（含三层），临街建筑面向现有交通干线一侧的区域；若临街建筑低于三层楼房（含开阔地），现有交通干线边界线外35米距离内的区域｝，2类（其余区域）。</w:t>
            </w:r>
          </w:p>
          <w:p>
            <w:pPr>
              <w:pStyle w:val="67"/>
              <w:numPr>
                <w:ilvl w:val="0"/>
                <w:numId w:val="15"/>
              </w:numPr>
              <w:ind w:firstLineChars="0"/>
              <w:jc w:val="left"/>
              <w:rPr>
                <w:sz w:val="24"/>
                <w:u w:val="single"/>
              </w:rPr>
            </w:pPr>
            <w:r>
              <w:rPr>
                <w:rFonts w:hint="eastAsia"/>
                <w:sz w:val="24"/>
              </w:rPr>
              <w:t>《土壤环境质量 建设用地土壤污染风险管控标准（试行）》（GB36600-2018）。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4" w:hRule="exact"/>
        </w:trPr>
        <w:tc>
          <w:tcPr>
            <w:tcW w:w="809" w:type="dxa"/>
            <w:vAlign w:val="center"/>
          </w:tcPr>
          <w:p>
            <w:pPr>
              <w:jc w:val="center"/>
              <w:rPr>
                <w:rFonts w:cs="宋体"/>
                <w:b/>
                <w:bCs/>
                <w:color w:val="000000"/>
                <w:sz w:val="24"/>
              </w:rPr>
            </w:pPr>
            <w:r>
              <w:rPr>
                <w:rFonts w:hint="eastAsia" w:cs="宋体"/>
                <w:b/>
                <w:bCs/>
                <w:color w:val="000000"/>
                <w:sz w:val="24"/>
              </w:rPr>
              <w:t>污</w:t>
            </w:r>
          </w:p>
          <w:p>
            <w:pPr>
              <w:jc w:val="center"/>
              <w:rPr>
                <w:rFonts w:cs="宋体"/>
                <w:b/>
                <w:bCs/>
                <w:color w:val="000000"/>
                <w:sz w:val="24"/>
              </w:rPr>
            </w:pPr>
            <w:r>
              <w:rPr>
                <w:rFonts w:hint="eastAsia" w:cs="宋体"/>
                <w:b/>
                <w:bCs/>
                <w:color w:val="000000"/>
                <w:sz w:val="24"/>
              </w:rPr>
              <w:t>染</w:t>
            </w:r>
          </w:p>
          <w:p>
            <w:pPr>
              <w:jc w:val="center"/>
              <w:rPr>
                <w:rFonts w:cs="宋体"/>
                <w:b/>
                <w:bCs/>
                <w:color w:val="000000"/>
                <w:sz w:val="24"/>
              </w:rPr>
            </w:pPr>
            <w:r>
              <w:rPr>
                <w:rFonts w:hint="eastAsia" w:cs="宋体"/>
                <w:b/>
                <w:bCs/>
                <w:color w:val="000000"/>
                <w:sz w:val="24"/>
              </w:rPr>
              <w:t>物</w:t>
            </w:r>
          </w:p>
          <w:p>
            <w:pPr>
              <w:jc w:val="center"/>
              <w:rPr>
                <w:rFonts w:cs="宋体"/>
                <w:b/>
                <w:bCs/>
                <w:color w:val="000000"/>
                <w:sz w:val="24"/>
              </w:rPr>
            </w:pPr>
            <w:r>
              <w:rPr>
                <w:rFonts w:hint="eastAsia" w:cs="宋体"/>
                <w:b/>
                <w:bCs/>
                <w:color w:val="000000"/>
                <w:sz w:val="24"/>
              </w:rPr>
              <w:t>排</w:t>
            </w:r>
          </w:p>
          <w:p>
            <w:pPr>
              <w:jc w:val="center"/>
              <w:rPr>
                <w:rFonts w:cs="宋体"/>
                <w:b/>
                <w:bCs/>
                <w:color w:val="000000"/>
                <w:sz w:val="24"/>
              </w:rPr>
            </w:pPr>
            <w:r>
              <w:rPr>
                <w:rFonts w:hint="eastAsia" w:cs="宋体"/>
                <w:b/>
                <w:bCs/>
                <w:color w:val="000000"/>
                <w:sz w:val="24"/>
              </w:rPr>
              <w:t>放</w:t>
            </w:r>
          </w:p>
          <w:p>
            <w:pPr>
              <w:jc w:val="center"/>
              <w:rPr>
                <w:rFonts w:cs="宋体"/>
                <w:b/>
                <w:bCs/>
                <w:color w:val="000000"/>
                <w:sz w:val="24"/>
              </w:rPr>
            </w:pPr>
            <w:r>
              <w:rPr>
                <w:rFonts w:hint="eastAsia" w:cs="宋体"/>
                <w:b/>
                <w:bCs/>
                <w:color w:val="000000"/>
                <w:sz w:val="24"/>
              </w:rPr>
              <w:t>标</w:t>
            </w:r>
          </w:p>
          <w:p>
            <w:pPr>
              <w:jc w:val="center"/>
              <w:rPr>
                <w:rFonts w:cs="宋体"/>
                <w:color w:val="000000"/>
                <w:sz w:val="24"/>
              </w:rPr>
            </w:pPr>
            <w:r>
              <w:rPr>
                <w:rFonts w:hint="eastAsia" w:cs="宋体"/>
                <w:b/>
                <w:bCs/>
                <w:color w:val="000000"/>
                <w:sz w:val="24"/>
              </w:rPr>
              <w:t>准</w:t>
            </w:r>
          </w:p>
        </w:tc>
        <w:tc>
          <w:tcPr>
            <w:tcW w:w="8122" w:type="dxa"/>
            <w:vAlign w:val="center"/>
          </w:tcPr>
          <w:p>
            <w:pPr>
              <w:ind w:firstLine="480" w:firstLineChars="200"/>
              <w:rPr>
                <w:bCs/>
                <w:color w:val="000000"/>
                <w:sz w:val="24"/>
              </w:rPr>
            </w:pPr>
            <w:r>
              <w:rPr>
                <w:bCs/>
                <w:color w:val="000000"/>
                <w:sz w:val="24"/>
              </w:rPr>
              <w:t>1、《污水综合排放标准》（GB8978-1996），一级</w:t>
            </w:r>
            <w:r>
              <w:rPr>
                <w:rFonts w:hint="eastAsia"/>
                <w:bCs/>
                <w:color w:val="000000"/>
                <w:sz w:val="24"/>
              </w:rPr>
              <w:t>。</w:t>
            </w:r>
          </w:p>
          <w:p>
            <w:pPr>
              <w:ind w:firstLine="480" w:firstLineChars="200"/>
              <w:rPr>
                <w:bCs/>
                <w:color w:val="000000"/>
                <w:sz w:val="24"/>
              </w:rPr>
            </w:pPr>
            <w:r>
              <w:rPr>
                <w:bCs/>
                <w:color w:val="000000"/>
                <w:sz w:val="24"/>
              </w:rPr>
              <w:t>2、《大气污染物综合排放标准》（GB16297-1996）表2二级标准及无组织排放监控浓度限值</w:t>
            </w:r>
            <w:r>
              <w:rPr>
                <w:rFonts w:hint="eastAsia"/>
                <w:bCs/>
                <w:color w:val="000000"/>
                <w:sz w:val="24"/>
              </w:rPr>
              <w:t>。</w:t>
            </w:r>
          </w:p>
          <w:p>
            <w:pPr>
              <w:ind w:firstLine="480" w:firstLineChars="200"/>
              <w:rPr>
                <w:bCs/>
                <w:color w:val="000000"/>
                <w:sz w:val="24"/>
              </w:rPr>
            </w:pPr>
            <w:r>
              <w:rPr>
                <w:bCs/>
                <w:color w:val="000000"/>
                <w:sz w:val="24"/>
              </w:rPr>
              <w:t>3、《建筑施工场界环境噪声排放标准》（GB12523-2011）</w:t>
            </w:r>
            <w:r>
              <w:rPr>
                <w:rFonts w:hint="eastAsia"/>
                <w:bCs/>
                <w:color w:val="000000"/>
                <w:sz w:val="24"/>
              </w:rPr>
              <w:t>。</w:t>
            </w:r>
          </w:p>
          <w:p>
            <w:pPr>
              <w:ind w:firstLine="480" w:firstLineChars="200"/>
              <w:rPr>
                <w:bCs/>
                <w:color w:val="000000"/>
                <w:sz w:val="24"/>
              </w:rPr>
            </w:pPr>
            <w:r>
              <w:rPr>
                <w:bCs/>
                <w:color w:val="000000"/>
                <w:sz w:val="24"/>
              </w:rPr>
              <w:t>4、《生活垃圾填埋污染物控制标准》（GB16889-2008）</w:t>
            </w:r>
            <w:r>
              <w:rPr>
                <w:rFonts w:hint="eastAsia"/>
                <w:bCs/>
                <w:color w:val="000000"/>
                <w:sz w:val="24"/>
              </w:rPr>
              <w:t>或</w:t>
            </w:r>
            <w:r>
              <w:rPr>
                <w:bCs/>
                <w:color w:val="000000"/>
                <w:sz w:val="24"/>
              </w:rPr>
              <w:t>《生活垃圾焚烧污染物控制标准》（GB18485-2014）</w:t>
            </w:r>
            <w:r>
              <w:rPr>
                <w:rFonts w:hint="eastAsia"/>
                <w:bCs/>
                <w:color w:val="000000"/>
                <w:sz w:val="24"/>
              </w:rPr>
              <w:t>。</w:t>
            </w:r>
          </w:p>
          <w:p>
            <w:pPr>
              <w:ind w:firstLine="480" w:firstLineChars="200"/>
              <w:rPr>
                <w:color w:val="000000"/>
                <w:sz w:val="24"/>
                <w:highlight w:val="yellow"/>
              </w:rPr>
            </w:pPr>
            <w:r>
              <w:rPr>
                <w:rFonts w:hint="eastAsia"/>
                <w:bCs/>
                <w:color w:val="000000"/>
                <w:sz w:val="24"/>
              </w:rPr>
              <w:t>5</w:t>
            </w:r>
            <w:r>
              <w:rPr>
                <w:bCs/>
                <w:color w:val="000000"/>
                <w:sz w:val="24"/>
              </w:rPr>
              <w:t>、《一般工业固体废物贮存、处置场污染控制标准》（GB18599-2001）及2013年修改单中要求。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809" w:type="dxa"/>
            <w:tcBorders>
              <w:bottom w:val="single" w:color="auto" w:sz="4" w:space="0"/>
            </w:tcBorders>
            <w:vAlign w:val="center"/>
          </w:tcPr>
          <w:p>
            <w:pPr>
              <w:jc w:val="center"/>
              <w:rPr>
                <w:rFonts w:cs="宋体"/>
                <w:b/>
                <w:bCs/>
                <w:sz w:val="24"/>
              </w:rPr>
            </w:pPr>
            <w:r>
              <w:rPr>
                <w:rFonts w:hint="eastAsia" w:cs="宋体"/>
                <w:b/>
                <w:bCs/>
                <w:sz w:val="24"/>
              </w:rPr>
              <w:t>总</w:t>
            </w:r>
          </w:p>
          <w:p>
            <w:pPr>
              <w:jc w:val="center"/>
              <w:rPr>
                <w:rFonts w:cs="宋体"/>
                <w:b/>
                <w:bCs/>
                <w:sz w:val="24"/>
              </w:rPr>
            </w:pPr>
            <w:r>
              <w:rPr>
                <w:rFonts w:hint="eastAsia" w:cs="宋体"/>
                <w:b/>
                <w:bCs/>
                <w:sz w:val="24"/>
              </w:rPr>
              <w:t>量</w:t>
            </w:r>
          </w:p>
          <w:p>
            <w:pPr>
              <w:jc w:val="center"/>
              <w:rPr>
                <w:rFonts w:cs="宋体"/>
                <w:b/>
                <w:bCs/>
                <w:sz w:val="24"/>
              </w:rPr>
            </w:pPr>
            <w:r>
              <w:rPr>
                <w:rFonts w:hint="eastAsia" w:cs="宋体"/>
                <w:b/>
                <w:bCs/>
                <w:sz w:val="24"/>
              </w:rPr>
              <w:t>控</w:t>
            </w:r>
          </w:p>
          <w:p>
            <w:pPr>
              <w:jc w:val="center"/>
              <w:rPr>
                <w:rFonts w:cs="宋体"/>
                <w:b/>
                <w:bCs/>
                <w:sz w:val="24"/>
              </w:rPr>
            </w:pPr>
            <w:r>
              <w:rPr>
                <w:rFonts w:hint="eastAsia" w:cs="宋体"/>
                <w:b/>
                <w:bCs/>
                <w:sz w:val="24"/>
              </w:rPr>
              <w:t>制</w:t>
            </w:r>
          </w:p>
          <w:p>
            <w:pPr>
              <w:jc w:val="center"/>
              <w:rPr>
                <w:rFonts w:cs="宋体"/>
                <w:b/>
                <w:bCs/>
                <w:sz w:val="24"/>
              </w:rPr>
            </w:pPr>
            <w:r>
              <w:rPr>
                <w:rFonts w:hint="eastAsia" w:cs="宋体"/>
                <w:b/>
                <w:bCs/>
                <w:sz w:val="24"/>
              </w:rPr>
              <w:t>指</w:t>
            </w:r>
          </w:p>
          <w:p>
            <w:pPr>
              <w:jc w:val="center"/>
              <w:rPr>
                <w:rFonts w:cs="宋体"/>
                <w:sz w:val="24"/>
              </w:rPr>
            </w:pPr>
            <w:r>
              <w:rPr>
                <w:rFonts w:hint="eastAsia" w:cs="宋体"/>
                <w:b/>
                <w:bCs/>
                <w:sz w:val="24"/>
              </w:rPr>
              <w:t>标</w:t>
            </w:r>
          </w:p>
        </w:tc>
        <w:tc>
          <w:tcPr>
            <w:tcW w:w="8122" w:type="dxa"/>
            <w:tcBorders>
              <w:bottom w:val="single" w:color="auto" w:sz="4" w:space="0"/>
            </w:tcBorders>
            <w:vAlign w:val="center"/>
          </w:tcPr>
          <w:p>
            <w:pPr>
              <w:ind w:firstLine="480" w:firstLineChars="200"/>
              <w:jc w:val="left"/>
              <w:rPr>
                <w:sz w:val="24"/>
                <w:highlight w:val="yellow"/>
              </w:rPr>
            </w:pPr>
            <w:r>
              <w:rPr>
                <w:sz w:val="24"/>
                <w:lang w:val="en-GB"/>
              </w:rPr>
              <w:t>本工程为道路工程项目，不涉及总量控制，本项目无需申请总量控制指标。</w:t>
            </w:r>
          </w:p>
        </w:tc>
      </w:tr>
    </w:tbl>
    <w:p>
      <w:pPr>
        <w:jc w:val="left"/>
        <w:outlineLvl w:val="0"/>
        <w:rPr>
          <w:rFonts w:cs="宋体"/>
          <w:b/>
          <w:bCs/>
          <w:sz w:val="28"/>
        </w:rPr>
      </w:pPr>
      <w:r>
        <w:rPr>
          <w:rFonts w:hint="eastAsia" w:cs="宋体"/>
          <w:b/>
          <w:bCs/>
          <w:sz w:val="28"/>
          <w:highlight w:val="yellow"/>
        </w:rPr>
        <w:br w:type="page"/>
      </w:r>
      <w:r>
        <w:rPr>
          <w:rFonts w:hint="eastAsia" w:cs="宋体"/>
          <w:b/>
          <w:bCs/>
          <w:sz w:val="28"/>
        </w:rPr>
        <w:t>建设项目工程分析</w:t>
      </w:r>
    </w:p>
    <w:tbl>
      <w:tblPr>
        <w:tblStyle w:val="34"/>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8931" w:type="dxa"/>
          </w:tcPr>
          <w:p>
            <w:pPr>
              <w:jc w:val="left"/>
              <w:rPr>
                <w:rFonts w:cs="宋体"/>
                <w:b/>
                <w:bCs/>
                <w:sz w:val="24"/>
              </w:rPr>
            </w:pPr>
            <w:r>
              <w:rPr>
                <w:rFonts w:hint="eastAsia" w:cs="宋体"/>
                <w:b/>
                <w:bCs/>
                <w:sz w:val="24"/>
              </w:rPr>
              <w:t>工艺流程简述（图示）：</w:t>
            </w:r>
          </w:p>
          <w:p>
            <w:pPr>
              <w:ind w:firstLine="480" w:firstLineChars="200"/>
              <w:rPr>
                <w:rFonts w:ascii="宋体" w:hAnsi="宋体" w:cs="宋体" w:eastAsiaTheme="minorEastAsia"/>
                <w:sz w:val="24"/>
              </w:rPr>
            </w:pPr>
            <w:r>
              <w:rPr>
                <w:sz w:val="24"/>
              </w:rPr>
              <w:t>项目的工艺流程及产污节点见图</w:t>
            </w:r>
            <w:r>
              <w:rPr>
                <w:rFonts w:hint="eastAsia"/>
                <w:sz w:val="24"/>
                <w:lang w:val="en-US" w:eastAsia="zh-CN"/>
              </w:rPr>
              <w:t>11</w:t>
            </w:r>
            <w:r>
              <w:rPr>
                <w:rFonts w:hint="eastAsia"/>
                <w:sz w:val="24"/>
              </w:rPr>
              <w:t>。</w:t>
            </w:r>
          </w:p>
          <w:p>
            <w:pPr>
              <w:spacing w:line="480" w:lineRule="exact"/>
              <w:ind w:firstLine="480" w:firstLineChars="200"/>
              <w:rPr>
                <w:rFonts w:ascii="宋体" w:hAnsi="宋体" w:cs="宋体" w:eastAsiaTheme="minorEastAsia"/>
                <w:sz w:val="24"/>
              </w:rPr>
            </w:pPr>
            <w:r>
              <w:rPr>
                <w:rFonts w:asciiTheme="minorHAnsi" w:hAnsiTheme="minorHAnsi" w:eastAsiaTheme="minorEastAsia" w:cstheme="minorBidi"/>
                <w:sz w:val="24"/>
              </w:rPr>
              <mc:AlternateContent>
                <mc:Choice Requires="wps">
                  <w:drawing>
                    <wp:anchor distT="0" distB="0" distL="114300" distR="114300" simplePos="0" relativeHeight="251672576" behindDoc="0" locked="0" layoutInCell="1" allowOverlap="1">
                      <wp:simplePos x="0" y="0"/>
                      <wp:positionH relativeFrom="column">
                        <wp:posOffset>2084705</wp:posOffset>
                      </wp:positionH>
                      <wp:positionV relativeFrom="paragraph">
                        <wp:posOffset>100965</wp:posOffset>
                      </wp:positionV>
                      <wp:extent cx="909955" cy="317500"/>
                      <wp:effectExtent l="6350" t="6350" r="17145" b="19050"/>
                      <wp:wrapNone/>
                      <wp:docPr id="19" name="文本框 19"/>
                      <wp:cNvGraphicFramePr/>
                      <a:graphic xmlns:a="http://schemas.openxmlformats.org/drawingml/2006/main">
                        <a:graphicData uri="http://schemas.microsoft.com/office/word/2010/wordprocessingShape">
                          <wps:wsp>
                            <wps:cNvSpPr txBox="1"/>
                            <wps:spPr>
                              <a:xfrm>
                                <a:off x="0" y="0"/>
                                <a:ext cx="909955" cy="317500"/>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勘察设计</w:t>
                                  </w:r>
                                </w:p>
                              </w:txbxContent>
                            </wps:txbx>
                            <wps:bodyPr upright="1"/>
                          </wps:wsp>
                        </a:graphicData>
                      </a:graphic>
                    </wp:anchor>
                  </w:drawing>
                </mc:Choice>
                <mc:Fallback>
                  <w:pict>
                    <v:shape id="_x0000_s1026" o:spid="_x0000_s1026" o:spt="202" type="#_x0000_t202" style="position:absolute;left:0pt;margin-left:164.15pt;margin-top:7.95pt;height:25pt;width:71.65pt;z-index:251672576;mso-width-relative:page;mso-height-relative:page;" fillcolor="#FFFFFF" filled="t" stroked="t" coordsize="21600,21600" o:gfxdata="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Eq7rdUAAAAJAQAADwAAAAAAAAABACAA&#10;AAAiAAAAZHJzL2Rvd25yZXYueG1sUEsBAhQAFAAAAAgAh07iQMiSCRFJAgAAzQQAAA4AAAAAAAAA&#10;AQAgAAAAJAEAAGRycy9lMm9Eb2MueG1sUEsFBgAAAAAGAAYAWQEAAN8FA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勘察设计</w:t>
                            </w:r>
                          </w:p>
                        </w:txbxContent>
                      </v:textbox>
                    </v:shape>
                  </w:pict>
                </mc:Fallback>
              </mc:AlternateContent>
            </w:r>
          </w:p>
          <w:p>
            <w:pPr>
              <w:spacing w:line="480" w:lineRule="exact"/>
              <w:ind w:firstLine="480" w:firstLineChars="200"/>
              <w:rPr>
                <w:rFonts w:ascii="宋体" w:hAnsi="宋体" w:cs="宋体" w:eastAsiaTheme="minorEastAsia"/>
                <w:sz w:val="24"/>
              </w:rPr>
            </w:pPr>
            <w:r>
              <w:rPr>
                <w:rFonts w:asciiTheme="minorHAnsi" w:hAnsiTheme="minorHAnsi" w:eastAsiaTheme="minorEastAsia" w:cstheme="minorBidi"/>
                <w:sz w:val="24"/>
              </w:rPr>
              <mc:AlternateContent>
                <mc:Choice Requires="wps">
                  <w:drawing>
                    <wp:anchor distT="0" distB="0" distL="114300" distR="114300" simplePos="0" relativeHeight="251685888" behindDoc="0" locked="0" layoutInCell="1" allowOverlap="1">
                      <wp:simplePos x="0" y="0"/>
                      <wp:positionH relativeFrom="column">
                        <wp:posOffset>1354455</wp:posOffset>
                      </wp:positionH>
                      <wp:positionV relativeFrom="paragraph">
                        <wp:posOffset>292100</wp:posOffset>
                      </wp:positionV>
                      <wp:extent cx="4008120" cy="1043940"/>
                      <wp:effectExtent l="6350" t="6350" r="24130" b="16510"/>
                      <wp:wrapNone/>
                      <wp:docPr id="20" name="矩形 20"/>
                      <wp:cNvGraphicFramePr/>
                      <a:graphic xmlns:a="http://schemas.openxmlformats.org/drawingml/2006/main">
                        <a:graphicData uri="http://schemas.microsoft.com/office/word/2010/wordprocessingShape">
                          <wps:wsp>
                            <wps:cNvSpPr/>
                            <wps:spPr>
                              <a:xfrm>
                                <a:off x="0" y="0"/>
                                <a:ext cx="4008120" cy="1043940"/>
                              </a:xfrm>
                              <a:prstGeom prst="rect">
                                <a:avLst/>
                              </a:prstGeom>
                              <a:noFill/>
                              <a:ln w="12700" cap="flat" cmpd="sng">
                                <a:solidFill>
                                  <a:srgbClr val="000000"/>
                                </a:solidFill>
                                <a:prstDash val="dash"/>
                                <a:miter/>
                                <a:headEnd type="none" w="med" len="med"/>
                                <a:tailEnd type="none" w="med" len="med"/>
                              </a:ln>
                              <a:effectLst/>
                            </wps:spPr>
                            <wps:txbx>
                              <w:txbxContent>
                                <w:p/>
                              </w:txbxContent>
                            </wps:txbx>
                            <wps:bodyPr upright="1"/>
                          </wps:wsp>
                        </a:graphicData>
                      </a:graphic>
                    </wp:anchor>
                  </w:drawing>
                </mc:Choice>
                <mc:Fallback>
                  <w:pict>
                    <v:rect id="_x0000_s1026" o:spid="_x0000_s1026" o:spt="1" style="position:absolute;left:0pt;margin-left:106.65pt;margin-top:23pt;height:82.2pt;width:315.6pt;z-index:251685888;mso-width-relative:page;mso-height-relative:page;" filled="f" stroked="t" coordsize="21600,21600" o:gfxdata="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GJD71wAAAAoBAAAPAAAAAAAAAAEAIAAAACIAAABkcnMvZG93&#10;bnJldi54bWxQSwECFAAUAAAACACHTuJAsu3AcwECAAARBAAADgAAAAAAAAABACAAAAAmAQAAZHJz&#10;L2Uyb0RvYy54bWxQSwUGAAAAAAYABgBZAQAAmQUAAAAA&#10;">
                      <v:fill on="f" focussize="0,0"/>
                      <v:stroke weight="1pt" color="#000000" joinstyle="miter" dashstyle="dash"/>
                      <v:imagedata o:title=""/>
                      <o:lock v:ext="edit" aspectratio="f"/>
                      <v:textbox>
                        <w:txbxContent>
                          <w:p/>
                        </w:txbxContent>
                      </v:textbox>
                    </v:rect>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73600" behindDoc="0" locked="0" layoutInCell="1" allowOverlap="1">
                      <wp:simplePos x="0" y="0"/>
                      <wp:positionH relativeFrom="column">
                        <wp:posOffset>2587625</wp:posOffset>
                      </wp:positionH>
                      <wp:positionV relativeFrom="paragraph">
                        <wp:posOffset>135255</wp:posOffset>
                      </wp:positionV>
                      <wp:extent cx="5080" cy="226695"/>
                      <wp:effectExtent l="61595" t="0" r="66675" b="1905"/>
                      <wp:wrapNone/>
                      <wp:docPr id="26" name="直接连接符 26"/>
                      <wp:cNvGraphicFramePr/>
                      <a:graphic xmlns:a="http://schemas.openxmlformats.org/drawingml/2006/main">
                        <a:graphicData uri="http://schemas.microsoft.com/office/word/2010/wordprocessingShape">
                          <wps:wsp>
                            <wps:cNvCnPr/>
                            <wps:spPr>
                              <a:xfrm flipH="1">
                                <a:off x="0" y="0"/>
                                <a:ext cx="5080" cy="226695"/>
                              </a:xfrm>
                              <a:prstGeom prst="line">
                                <a:avLst/>
                              </a:prstGeom>
                              <a:ln w="12700" cap="flat" cmpd="sng">
                                <a:solidFill>
                                  <a:srgbClr val="000000"/>
                                </a:solidFill>
                                <a:prstDash val="solid"/>
                                <a:headEnd type="none" w="med" len="med"/>
                                <a:tailEnd type="triangle" w="lg" len="med"/>
                              </a:ln>
                              <a:effectLst/>
                            </wps:spPr>
                            <wps:bodyPr/>
                          </wps:wsp>
                        </a:graphicData>
                      </a:graphic>
                    </wp:anchor>
                  </w:drawing>
                </mc:Choice>
                <mc:Fallback>
                  <w:pict>
                    <v:line id="_x0000_s1026" o:spid="_x0000_s1026" o:spt="20" style="position:absolute;left:0pt;flip:x;margin-left:203.75pt;margin-top:10.65pt;height:17.85pt;width:0.4pt;z-index:251673600;mso-width-relative:page;mso-height-relative:page;" filled="f" stroked="t" coordsize="21600,21600" o:gfxdata="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IsO/ZAAAACQEAAA8AAAAAAAAAAQAgAAAAIgAAAGRy&#10;cy9kb3ducmV2LnhtbFBLAQIUABQAAAAIAIdO4kAJyzAgBAIAAPgDAAAOAAAAAAAAAAEAIAAAACgB&#10;AABkcnMvZTJvRG9jLnhtbFBLBQYAAAAABgAGAFkBAACeBQAAAAA=&#10;">
                      <v:fill on="f" focussize="0,0"/>
                      <v:stroke weight="1pt" color="#000000" joinstyle="round" endarrow="block" endarrowwidth="wide"/>
                      <v:imagedata o:title=""/>
                      <o:lock v:ext="edit" aspectratio="f"/>
                    </v:line>
                  </w:pict>
                </mc:Fallback>
              </mc:AlternateContent>
            </w:r>
          </w:p>
          <w:p>
            <w:pPr>
              <w:spacing w:line="480" w:lineRule="exact"/>
              <w:ind w:firstLine="480" w:firstLineChars="200"/>
              <w:rPr>
                <w:rFonts w:ascii="宋体" w:hAnsi="宋体" w:cs="宋体" w:eastAsiaTheme="minorEastAsia"/>
                <w:sz w:val="24"/>
              </w:rPr>
            </w:pPr>
            <w:r>
              <w:rPr>
                <w:rFonts w:asciiTheme="minorHAnsi" w:hAnsiTheme="minorHAnsi" w:eastAsiaTheme="minorEastAsia" w:cstheme="minorBidi"/>
                <w:sz w:val="24"/>
              </w:rPr>
              <mc:AlternateContent>
                <mc:Choice Requires="wps">
                  <w:drawing>
                    <wp:anchor distT="0" distB="0" distL="114300" distR="114300" simplePos="0" relativeHeight="251684864" behindDoc="0" locked="0" layoutInCell="1" allowOverlap="1">
                      <wp:simplePos x="0" y="0"/>
                      <wp:positionH relativeFrom="column">
                        <wp:posOffset>83185</wp:posOffset>
                      </wp:positionH>
                      <wp:positionV relativeFrom="paragraph">
                        <wp:posOffset>214630</wp:posOffset>
                      </wp:positionV>
                      <wp:extent cx="909955" cy="317500"/>
                      <wp:effectExtent l="6350" t="6350" r="17145" b="19050"/>
                      <wp:wrapNone/>
                      <wp:docPr id="29" name="文本框 29"/>
                      <wp:cNvGraphicFramePr/>
                      <a:graphic xmlns:a="http://schemas.openxmlformats.org/drawingml/2006/main">
                        <a:graphicData uri="http://schemas.microsoft.com/office/word/2010/wordprocessingShape">
                          <wps:wsp>
                            <wps:cNvSpPr txBox="1"/>
                            <wps:spPr>
                              <a:xfrm>
                                <a:off x="0" y="0"/>
                                <a:ext cx="909955" cy="317500"/>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施工工序</w:t>
                                  </w:r>
                                </w:p>
                              </w:txbxContent>
                            </wps:txbx>
                            <wps:bodyPr upright="1"/>
                          </wps:wsp>
                        </a:graphicData>
                      </a:graphic>
                    </wp:anchor>
                  </w:drawing>
                </mc:Choice>
                <mc:Fallback>
                  <w:pict>
                    <v:shape id="_x0000_s1026" o:spid="_x0000_s1026" o:spt="202" type="#_x0000_t202" style="position:absolute;left:0pt;margin-left:6.55pt;margin-top:16.9pt;height:25pt;width:71.65pt;z-index:251684864;mso-width-relative:page;mso-height-relative:page;" fillcolor="#FFFFFF" filled="t" stroked="t" coordsize="21600,21600" o:gfxdata="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OARtdMAAAAIAQAADwAAAAAAAAABACAA&#10;AAAiAAAAZHJzL2Rvd25yZXYueG1sUEsBAhQAFAAAAAgAh07iQAJO+yFLAgAAzQQAAA4AAAAAAAAA&#10;AQAgAAAAIgEAAGRycy9lMm9Eb2MueG1sUEsFBgAAAAAGAAYAWQEAAN8FA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施工工序</w:t>
                            </w:r>
                          </w:p>
                        </w:txbxContent>
                      </v:textbox>
                    </v:shap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81792" behindDoc="0" locked="0" layoutInCell="1" allowOverlap="1">
                      <wp:simplePos x="0" y="0"/>
                      <wp:positionH relativeFrom="column">
                        <wp:posOffset>1692910</wp:posOffset>
                      </wp:positionH>
                      <wp:positionV relativeFrom="paragraph">
                        <wp:posOffset>197485</wp:posOffset>
                      </wp:positionV>
                      <wp:extent cx="253365" cy="530860"/>
                      <wp:effectExtent l="6350" t="6350" r="6985" b="15240"/>
                      <wp:wrapNone/>
                      <wp:docPr id="1" name="肘形连接符 1"/>
                      <wp:cNvGraphicFramePr/>
                      <a:graphic xmlns:a="http://schemas.openxmlformats.org/drawingml/2006/main">
                        <a:graphicData uri="http://schemas.microsoft.com/office/word/2010/wordprocessingShape">
                          <wps:wsp>
                            <wps:cNvCnPr>
                              <a:stCxn id="4" idx="1"/>
                            </wps:cNvCnPr>
                            <wps:spPr>
                              <a:xfrm rot="10800000" flipV="1">
                                <a:off x="0" y="0"/>
                                <a:ext cx="253365" cy="530860"/>
                              </a:xfrm>
                              <a:prstGeom prst="bentConnector2">
                                <a:avLst/>
                              </a:prstGeom>
                              <a:ln w="1270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3" type="#_x0000_t33" style="position:absolute;left:0pt;flip:y;margin-left:133.3pt;margin-top:15.55pt;height:41.8pt;width:19.95pt;rotation:11796480f;z-index:251681792;mso-width-relative:page;mso-height-relative:page;" filled="f" stroked="t" coordsize="21600,21600" o:gfxdata="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dhiNcA&#10;AAAKAQAADwAAAAAAAAABACAAAAAiAAAAZHJzL2Rvd25yZXYueG1sUEsBAhQAFAAAAAgAh07iQCj5&#10;PhogAgAAMAQAAA4AAAAAAAAAAQAgAAAAJgEAAGRycy9lMm9Eb2MueG1sUEsFBgAAAAAGAAYAWQEA&#10;ALgFAAAAAA==&#10;">
                      <v:fill on="f" focussize="0,0"/>
                      <v:stroke weight="1pt" color="#000000" joinstyle="miter"/>
                      <v:imagedata o:title=""/>
                      <o:lock v:ext="edit" aspectratio="f"/>
                    </v:shap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87936" behindDoc="0" locked="0" layoutInCell="1" allowOverlap="1">
                      <wp:simplePos x="0" y="0"/>
                      <wp:positionH relativeFrom="column">
                        <wp:posOffset>3333115</wp:posOffset>
                      </wp:positionH>
                      <wp:positionV relativeFrom="paragraph">
                        <wp:posOffset>84455</wp:posOffset>
                      </wp:positionV>
                      <wp:extent cx="10160" cy="194310"/>
                      <wp:effectExtent l="635" t="57150" r="14605" b="66040"/>
                      <wp:wrapNone/>
                      <wp:docPr id="31" name="直接连接符 31"/>
                      <wp:cNvGraphicFramePr/>
                      <a:graphic xmlns:a="http://schemas.openxmlformats.org/drawingml/2006/main">
                        <a:graphicData uri="http://schemas.microsoft.com/office/word/2010/wordprocessingShape">
                          <wps:wsp>
                            <wps:cNvCnPr/>
                            <wps:spPr>
                              <a:xfrm rot="-5400000" flipH="1">
                                <a:off x="0" y="0"/>
                                <a:ext cx="10160" cy="194310"/>
                              </a:xfrm>
                              <a:prstGeom prst="line">
                                <a:avLst/>
                              </a:prstGeom>
                              <a:ln w="12700" cap="flat" cmpd="sng">
                                <a:solidFill>
                                  <a:srgbClr val="000000"/>
                                </a:solidFill>
                                <a:prstDash val="dash"/>
                                <a:headEnd type="none" w="med" len="med"/>
                                <a:tailEnd type="triangle" w="lg" len="med"/>
                              </a:ln>
                              <a:effectLst/>
                            </wps:spPr>
                            <wps:bodyPr/>
                          </wps:wsp>
                        </a:graphicData>
                      </a:graphic>
                    </wp:anchor>
                  </w:drawing>
                </mc:Choice>
                <mc:Fallback>
                  <w:pict>
                    <v:line id="_x0000_s1026" o:spid="_x0000_s1026" o:spt="20" style="position:absolute;left:0pt;flip:x;margin-left:262.45pt;margin-top:6.65pt;height:15.3pt;width:0.8pt;rotation:5898240f;z-index:251687936;mso-width-relative:page;mso-height-relative:page;" filled="f" stroked="t" coordsize="21600,21600" o:gfxdata="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2gDnNoAAAAJAQAADwAAAAAA&#10;AAABACAAAAAiAAAAZHJzL2Rvd25yZXYueG1sUEsBAhQAFAAAAAgAh07iQFVq/9QRAgAABwQAAA4A&#10;AAAAAAAAAQAgAAAAKQEAAGRycy9lMm9Eb2MueG1sUEsFBgAAAAAGAAYAWQEAAKwFAAAAAA==&#10;">
                      <v:fill on="f" focussize="0,0"/>
                      <v:stroke weight="1pt" color="#000000" joinstyle="round" dashstyle="dash" endarrow="block" endarrowwidth="wide"/>
                      <v:imagedata o:title=""/>
                      <o:lock v:ext="edit" aspectratio="f"/>
                    </v:lin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86912" behindDoc="0" locked="0" layoutInCell="1" allowOverlap="1">
                      <wp:simplePos x="0" y="0"/>
                      <wp:positionH relativeFrom="column">
                        <wp:posOffset>3464560</wp:posOffset>
                      </wp:positionH>
                      <wp:positionV relativeFrom="paragraph">
                        <wp:posOffset>45085</wp:posOffset>
                      </wp:positionV>
                      <wp:extent cx="1818005" cy="306070"/>
                      <wp:effectExtent l="6350" t="6350" r="23495" b="11430"/>
                      <wp:wrapNone/>
                      <wp:docPr id="28" name="文本框 28"/>
                      <wp:cNvGraphicFramePr/>
                      <a:graphic xmlns:a="http://schemas.openxmlformats.org/drawingml/2006/main">
                        <a:graphicData uri="http://schemas.microsoft.com/office/word/2010/wordprocessingShape">
                          <wps:wsp>
                            <wps:cNvSpPr txBox="1"/>
                            <wps:spPr>
                              <a:xfrm>
                                <a:off x="0" y="0"/>
                                <a:ext cx="1818005" cy="306070"/>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扬尘、噪声、废气、固废</w:t>
                                  </w:r>
                                </w:p>
                              </w:txbxContent>
                            </wps:txbx>
                            <wps:bodyPr upright="1"/>
                          </wps:wsp>
                        </a:graphicData>
                      </a:graphic>
                    </wp:anchor>
                  </w:drawing>
                </mc:Choice>
                <mc:Fallback>
                  <w:pict>
                    <v:shape id="_x0000_s1026" o:spid="_x0000_s1026" o:spt="202" type="#_x0000_t202" style="position:absolute;left:0pt;margin-left:272.8pt;margin-top:3.55pt;height:24.1pt;width:143.15pt;z-index:251686912;mso-width-relative:page;mso-height-relative:page;" fillcolor="#FFFFFF" filled="t" stroked="t" coordsize="21600,21600" o:gfxdata="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eVXCzVAAAACAEAAA8AAAAAAAAAAQAg&#10;AAAAIgAAAGRycy9kb3ducmV2LnhtbFBLAQIUABQAAAAIAIdO4kDuqITeSgIAAM4EAAAOAAAAAAAA&#10;AAEAIAAAACQBAABkcnMvZTJvRG9jLnhtbFBLBQYAAAAABgAGAFkBAADgBQ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扬尘、噪声、废气、固废</w:t>
                            </w:r>
                          </w:p>
                        </w:txbxContent>
                      </v:textbox>
                    </v:shap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74624" behindDoc="0" locked="0" layoutInCell="1" allowOverlap="1">
                      <wp:simplePos x="0" y="0"/>
                      <wp:positionH relativeFrom="column">
                        <wp:posOffset>1946910</wp:posOffset>
                      </wp:positionH>
                      <wp:positionV relativeFrom="paragraph">
                        <wp:posOffset>43815</wp:posOffset>
                      </wp:positionV>
                      <wp:extent cx="1269365" cy="307340"/>
                      <wp:effectExtent l="6350" t="6350" r="19685" b="10160"/>
                      <wp:wrapNone/>
                      <wp:docPr id="4" name="文本框 4"/>
                      <wp:cNvGraphicFramePr/>
                      <a:graphic xmlns:a="http://schemas.openxmlformats.org/drawingml/2006/main">
                        <a:graphicData uri="http://schemas.microsoft.com/office/word/2010/wordprocessingShape">
                          <wps:wsp>
                            <wps:cNvSpPr txBox="1"/>
                            <wps:spPr>
                              <a:xfrm>
                                <a:off x="0" y="0"/>
                                <a:ext cx="1269365" cy="307340"/>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路面破碎、清表</w:t>
                                  </w:r>
                                </w:p>
                              </w:txbxContent>
                            </wps:txbx>
                            <wps:bodyPr upright="1"/>
                          </wps:wsp>
                        </a:graphicData>
                      </a:graphic>
                    </wp:anchor>
                  </w:drawing>
                </mc:Choice>
                <mc:Fallback>
                  <w:pict>
                    <v:shape id="_x0000_s1026" o:spid="_x0000_s1026" o:spt="202" type="#_x0000_t202" style="position:absolute;left:0pt;margin-left:153.3pt;margin-top:3.45pt;height:24.2pt;width:99.95pt;z-index:251674624;mso-width-relative:page;mso-height-relative:page;" fillcolor="#FFFFFF" filled="t" stroked="t" coordsize="21600,21600" o:gfxdata="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2yxt1AAAAAgBAAAPAAAAAAAAAAEAIAAA&#10;ACIAAABkcnMvZG93bnJldi54bWxQSwECFAAUAAAACACHTuJA4MyiL0kCAADMBAAADgAAAAAAAAAB&#10;ACAAAAAjAQAAZHJzL2Uyb0RvYy54bWxQSwUGAAAAAAYABgBZAQAA3gU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路面破碎、清表</w:t>
                            </w:r>
                          </w:p>
                        </w:txbxContent>
                      </v:textbox>
                    </v:shap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82816" behindDoc="0" locked="0" layoutInCell="1" allowOverlap="1">
                      <wp:simplePos x="0" y="0"/>
                      <wp:positionH relativeFrom="column">
                        <wp:posOffset>1811020</wp:posOffset>
                      </wp:positionH>
                      <wp:positionV relativeFrom="paragraph">
                        <wp:posOffset>-123190</wp:posOffset>
                      </wp:positionV>
                      <wp:extent cx="635" cy="247015"/>
                      <wp:effectExtent l="0" t="123190" r="0" b="0"/>
                      <wp:wrapNone/>
                      <wp:docPr id="32" name="直接连接符 32"/>
                      <wp:cNvGraphicFramePr/>
                      <a:graphic xmlns:a="http://schemas.openxmlformats.org/drawingml/2006/main">
                        <a:graphicData uri="http://schemas.microsoft.com/office/word/2010/wordprocessingShape">
                          <wps:wsp>
                            <wps:cNvCnPr/>
                            <wps:spPr>
                              <a:xfrm rot="-5400000">
                                <a:off x="0" y="0"/>
                                <a:ext cx="635" cy="247015"/>
                              </a:xfrm>
                              <a:prstGeom prst="line">
                                <a:avLst/>
                              </a:prstGeom>
                              <a:ln w="12700" cap="flat" cmpd="sng">
                                <a:solidFill>
                                  <a:srgbClr val="000000"/>
                                </a:solidFill>
                                <a:prstDash val="solid"/>
                                <a:headEnd type="none" w="med" len="med"/>
                                <a:tailEnd type="none" w="lg" len="med"/>
                              </a:ln>
                              <a:effectLst/>
                            </wps:spPr>
                            <wps:bodyPr/>
                          </wps:wsp>
                        </a:graphicData>
                      </a:graphic>
                    </wp:anchor>
                  </w:drawing>
                </mc:Choice>
                <mc:Fallback>
                  <w:pict>
                    <v:line id="_x0000_s1026" o:spid="_x0000_s1026" o:spt="20" style="position:absolute;left:0pt;margin-left:142.6pt;margin-top:-9.7pt;height:19.45pt;width:0.05pt;rotation:-5898240f;z-index:251682816;mso-width-relative:page;mso-height-relative:page;" filled="f" stroked="t" coordsize="21600,21600" o:gfxdata="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hwO52AAAAAoBAAAPAAAAAAAAAAEAIAAAACIAAABkcnMv&#10;ZG93bnJldi54bWxQSwECFAAUAAAACACHTuJAij6CGgMCAAD4AwAADgAAAAAAAAABACAAAAAnAQAA&#10;ZHJzL2Uyb0RvYy54bWxQSwUGAAAAAAYABgBZAQAAnAUAAAAA&#10;">
                      <v:fill on="f" focussize="0,0"/>
                      <v:stroke weight="1pt" color="#000000" joinstyle="round" endarrowwidth="wide"/>
                      <v:imagedata o:title=""/>
                      <o:lock v:ext="edit" aspectratio="f"/>
                    </v:line>
                  </w:pict>
                </mc:Fallback>
              </mc:AlternateContent>
            </w:r>
          </w:p>
          <w:p>
            <w:pPr>
              <w:spacing w:line="480" w:lineRule="exact"/>
              <w:ind w:firstLine="480" w:firstLineChars="200"/>
              <w:rPr>
                <w:rFonts w:ascii="宋体" w:hAnsi="宋体" w:cs="宋体" w:eastAsiaTheme="minorEastAsia"/>
                <w:sz w:val="24"/>
              </w:rPr>
            </w:pPr>
            <w:r>
              <w:rPr>
                <w:rFonts w:asciiTheme="minorHAnsi" w:hAnsiTheme="minorHAnsi" w:eastAsiaTheme="minorEastAsia" w:cstheme="minorBidi"/>
                <w:sz w:val="24"/>
              </w:rPr>
              <mc:AlternateContent>
                <mc:Choice Requires="wps">
                  <w:drawing>
                    <wp:anchor distT="0" distB="0" distL="114300" distR="114300" simplePos="0" relativeHeight="251683840" behindDoc="0" locked="0" layoutInCell="1" allowOverlap="1">
                      <wp:simplePos x="0" y="0"/>
                      <wp:positionH relativeFrom="column">
                        <wp:posOffset>1191260</wp:posOffset>
                      </wp:positionH>
                      <wp:positionV relativeFrom="paragraph">
                        <wp:posOffset>-117475</wp:posOffset>
                      </wp:positionV>
                      <wp:extent cx="635" cy="360045"/>
                      <wp:effectExtent l="0" t="63500" r="1905" b="69215"/>
                      <wp:wrapNone/>
                      <wp:docPr id="27" name="直接连接符 27"/>
                      <wp:cNvGraphicFramePr/>
                      <a:graphic xmlns:a="http://schemas.openxmlformats.org/drawingml/2006/main">
                        <a:graphicData uri="http://schemas.microsoft.com/office/word/2010/wordprocessingShape">
                          <wps:wsp>
                            <wps:cNvCnPr/>
                            <wps:spPr>
                              <a:xfrm rot="5400000" flipH="1">
                                <a:off x="0" y="0"/>
                                <a:ext cx="635" cy="360045"/>
                              </a:xfrm>
                              <a:prstGeom prst="line">
                                <a:avLst/>
                              </a:prstGeom>
                              <a:ln w="12700" cap="flat" cmpd="sng">
                                <a:solidFill>
                                  <a:srgbClr val="000000"/>
                                </a:solidFill>
                                <a:prstDash val="solid"/>
                                <a:headEnd type="none" w="med" len="med"/>
                                <a:tailEnd type="triangle" w="lg" len="med"/>
                              </a:ln>
                              <a:effectLst/>
                            </wps:spPr>
                            <wps:bodyPr/>
                          </wps:wsp>
                        </a:graphicData>
                      </a:graphic>
                    </wp:anchor>
                  </w:drawing>
                </mc:Choice>
                <mc:Fallback>
                  <w:pict>
                    <v:line id="_x0000_s1026" o:spid="_x0000_s1026" o:spt="20" style="position:absolute;left:0pt;flip:x;margin-left:93.8pt;margin-top:-9.25pt;height:28.35pt;width:0.05pt;rotation:-5898240f;z-index:251683840;mso-width-relative:page;mso-height-relative:page;" filled="f" stroked="t" coordsize="21600,21600" o:gfxdata="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no8FNoAAAAKAQAADwAAAAAAAAAB&#10;ACAAAAAiAAAAZHJzL2Rvd25yZXYueG1sUEsBAhQAFAAAAAgAh07iQCuLXfoOAgAABQQAAA4AAAAA&#10;AAAAAQAgAAAAKQEAAGRycy9lMm9Eb2MueG1sUEsFBgAAAAAGAAYAWQEAAKkFAAAAAA==&#10;">
                      <v:fill on="f" focussize="0,0"/>
                      <v:stroke weight="1pt" color="#000000" joinstyle="round" endarrow="block" endarrowwidth="wide"/>
                      <v:imagedata o:title=""/>
                      <o:lock v:ext="edit" aspectratio="f"/>
                    </v:lin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89984" behindDoc="0" locked="0" layoutInCell="1" allowOverlap="1">
                      <wp:simplePos x="0" y="0"/>
                      <wp:positionH relativeFrom="column">
                        <wp:posOffset>3458845</wp:posOffset>
                      </wp:positionH>
                      <wp:positionV relativeFrom="paragraph">
                        <wp:posOffset>251460</wp:posOffset>
                      </wp:positionV>
                      <wp:extent cx="1818005" cy="307340"/>
                      <wp:effectExtent l="6350" t="6350" r="23495" b="10160"/>
                      <wp:wrapNone/>
                      <wp:docPr id="35" name="文本框 35"/>
                      <wp:cNvGraphicFramePr/>
                      <a:graphic xmlns:a="http://schemas.openxmlformats.org/drawingml/2006/main">
                        <a:graphicData uri="http://schemas.microsoft.com/office/word/2010/wordprocessingShape">
                          <wps:wsp>
                            <wps:cNvSpPr txBox="1"/>
                            <wps:spPr>
                              <a:xfrm>
                                <a:off x="0" y="0"/>
                                <a:ext cx="1818005" cy="307340"/>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噪声、废水、废气、固废</w:t>
                                  </w:r>
                                </w:p>
                              </w:txbxContent>
                            </wps:txbx>
                            <wps:bodyPr upright="1"/>
                          </wps:wsp>
                        </a:graphicData>
                      </a:graphic>
                    </wp:anchor>
                  </w:drawing>
                </mc:Choice>
                <mc:Fallback>
                  <w:pict>
                    <v:shape id="_x0000_s1026" o:spid="_x0000_s1026" o:spt="202" type="#_x0000_t202" style="position:absolute;left:0pt;margin-left:272.35pt;margin-top:19.8pt;height:24.2pt;width:143.15pt;z-index:251689984;mso-width-relative:page;mso-height-relative:page;" fillcolor="#FFFFFF" filled="t" stroked="t" coordsize="21600,21600" o:gfxdata="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onQ9K1gAAAAkBAAAPAAAAAAAAAAEA&#10;IAAAACIAAABkcnMvZG93bnJldi54bWxQSwECFAAUAAAACACHTuJANzQnp0oCAADOBAAADgAAAAAA&#10;AAABACAAAAAlAQAAZHJzL2Uyb0RvYy54bWxQSwUGAAAAAAYABgBZAQAA4QU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噪声、废水、废气、固废</w:t>
                            </w:r>
                          </w:p>
                        </w:txbxContent>
                      </v:textbox>
                    </v:shap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75648" behindDoc="0" locked="0" layoutInCell="1" allowOverlap="1">
                      <wp:simplePos x="0" y="0"/>
                      <wp:positionH relativeFrom="column">
                        <wp:posOffset>2599055</wp:posOffset>
                      </wp:positionH>
                      <wp:positionV relativeFrom="paragraph">
                        <wp:posOffset>64135</wp:posOffset>
                      </wp:positionV>
                      <wp:extent cx="4445" cy="210185"/>
                      <wp:effectExtent l="61595" t="0" r="67310" b="18415"/>
                      <wp:wrapNone/>
                      <wp:docPr id="33" name="直接连接符 33"/>
                      <wp:cNvGraphicFramePr/>
                      <a:graphic xmlns:a="http://schemas.openxmlformats.org/drawingml/2006/main">
                        <a:graphicData uri="http://schemas.microsoft.com/office/word/2010/wordprocessingShape">
                          <wps:wsp>
                            <wps:cNvCnPr>
                              <a:endCxn id="36" idx="0"/>
                            </wps:cNvCnPr>
                            <wps:spPr>
                              <a:xfrm flipH="1">
                                <a:off x="0" y="0"/>
                                <a:ext cx="4445" cy="210185"/>
                              </a:xfrm>
                              <a:prstGeom prst="line">
                                <a:avLst/>
                              </a:prstGeom>
                              <a:ln w="12700" cap="flat" cmpd="sng">
                                <a:solidFill>
                                  <a:srgbClr val="000000"/>
                                </a:solidFill>
                                <a:prstDash val="solid"/>
                                <a:headEnd type="none" w="med" len="med"/>
                                <a:tailEnd type="triangle" w="lg" len="med"/>
                              </a:ln>
                              <a:effectLst/>
                            </wps:spPr>
                            <wps:bodyPr/>
                          </wps:wsp>
                        </a:graphicData>
                      </a:graphic>
                    </wp:anchor>
                  </w:drawing>
                </mc:Choice>
                <mc:Fallback>
                  <w:pict>
                    <v:line id="_x0000_s1026" o:spid="_x0000_s1026" o:spt="20" style="position:absolute;left:0pt;flip:x;margin-left:204.65pt;margin-top:5.05pt;height:16.55pt;width:0.35pt;z-index:251675648;mso-width-relative:page;mso-height-relative:page;" filled="f" stroked="t" coordsize="21600,21600" o:gfxdata="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78HNNgAAAAJAQAADwAA&#10;AAAAAAABACAAAAAiAAAAZHJzL2Rvd25yZXYueG1sUEsBAhQAFAAAAAgAh07iQDP2ApMWAgAAIAQA&#10;AA4AAAAAAAAAAQAgAAAAJwEAAGRycy9lMm9Eb2MueG1sUEsFBgAAAAAGAAYAWQEAAK8FAAAAAA==&#10;">
                      <v:fill on="f" focussize="0,0"/>
                      <v:stroke weight="1pt" color="#000000" joinstyle="round" endarrow="block" endarrowwidth="wide"/>
                      <v:imagedata o:title=""/>
                      <o:lock v:ext="edit" aspectratio="f"/>
                    </v:lin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76672" behindDoc="0" locked="0" layoutInCell="1" allowOverlap="1">
                      <wp:simplePos x="0" y="0"/>
                      <wp:positionH relativeFrom="column">
                        <wp:posOffset>1964055</wp:posOffset>
                      </wp:positionH>
                      <wp:positionV relativeFrom="paragraph">
                        <wp:posOffset>274320</wp:posOffset>
                      </wp:positionV>
                      <wp:extent cx="1269365" cy="291465"/>
                      <wp:effectExtent l="6350" t="6350" r="19685" b="6985"/>
                      <wp:wrapNone/>
                      <wp:docPr id="36" name="文本框 36"/>
                      <wp:cNvGraphicFramePr/>
                      <a:graphic xmlns:a="http://schemas.openxmlformats.org/drawingml/2006/main">
                        <a:graphicData uri="http://schemas.microsoft.com/office/word/2010/wordprocessingShape">
                          <wps:wsp>
                            <wps:cNvSpPr txBox="1"/>
                            <wps:spPr>
                              <a:xfrm>
                                <a:off x="0" y="0"/>
                                <a:ext cx="1269365" cy="291465"/>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eastAsia="zh-CN"/>
                                    </w:rPr>
                                  </w:pPr>
                                  <w:r>
                                    <w:rPr>
                                      <w:rFonts w:hint="eastAsia"/>
                                      <w:sz w:val="21"/>
                                      <w:szCs w:val="21"/>
                                      <w:lang w:eastAsia="zh-CN"/>
                                    </w:rPr>
                                    <w:t>路基、路面施工</w:t>
                                  </w:r>
                                </w:p>
                              </w:txbxContent>
                            </wps:txbx>
                            <wps:bodyPr upright="1"/>
                          </wps:wsp>
                        </a:graphicData>
                      </a:graphic>
                    </wp:anchor>
                  </w:drawing>
                </mc:Choice>
                <mc:Fallback>
                  <w:pict>
                    <v:shape id="_x0000_s1026" o:spid="_x0000_s1026" o:spt="202" type="#_x0000_t202" style="position:absolute;left:0pt;margin-left:154.65pt;margin-top:21.6pt;height:22.95pt;width:99.95pt;z-index:251676672;mso-width-relative:page;mso-height-relative:page;" fillcolor="#FFFFFF" filled="t" stroked="t" coordsize="21600,21600" o:gfxdata="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GktCzVAAAACQEAAA8AAAAAAAAAAQAg&#10;AAAAIgAAAGRycy9kb3ducmV2LnhtbFBLAQIUABQAAAAIAIdO4kCsUrN3SgIAAM4EAAAOAAAAAAAA&#10;AAEAIAAAACQBAABkcnMvZTJvRG9jLnhtbFBLBQYAAAAABgAGAFkBAADgBQ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eastAsia="zh-CN"/>
                              </w:rPr>
                            </w:pPr>
                            <w:r>
                              <w:rPr>
                                <w:rFonts w:hint="eastAsia"/>
                                <w:sz w:val="21"/>
                                <w:szCs w:val="21"/>
                                <w:lang w:eastAsia="zh-CN"/>
                              </w:rPr>
                              <w:t>路基、路面施工</w:t>
                            </w:r>
                          </w:p>
                        </w:txbxContent>
                      </v:textbox>
                    </v:shape>
                  </w:pict>
                </mc:Fallback>
              </mc:AlternateContent>
            </w:r>
          </w:p>
          <w:p>
            <w:pPr>
              <w:spacing w:line="480" w:lineRule="exact"/>
              <w:ind w:firstLine="480" w:firstLineChars="200"/>
              <w:rPr>
                <w:rFonts w:ascii="宋体" w:hAnsi="宋体" w:cs="宋体" w:eastAsiaTheme="minorEastAsia"/>
                <w:sz w:val="24"/>
              </w:rPr>
            </w:pPr>
            <w:r>
              <w:rPr>
                <w:rFonts w:asciiTheme="minorHAnsi" w:hAnsiTheme="minorHAnsi" w:eastAsiaTheme="minorEastAsia" w:cstheme="minorBidi"/>
                <w:sz w:val="24"/>
              </w:rPr>
              <mc:AlternateContent>
                <mc:Choice Requires="wps">
                  <w:drawing>
                    <wp:anchor distT="0" distB="0" distL="114300" distR="114300" simplePos="0" relativeHeight="251671552" behindDoc="0" locked="0" layoutInCell="1" allowOverlap="1">
                      <wp:simplePos x="0" y="0"/>
                      <wp:positionH relativeFrom="column">
                        <wp:posOffset>1831340</wp:posOffset>
                      </wp:positionH>
                      <wp:positionV relativeFrom="paragraph">
                        <wp:posOffset>-10795</wp:posOffset>
                      </wp:positionV>
                      <wp:extent cx="635" cy="247015"/>
                      <wp:effectExtent l="0" t="63500" r="635" b="69215"/>
                      <wp:wrapNone/>
                      <wp:docPr id="37" name="直接连接符 37"/>
                      <wp:cNvGraphicFramePr/>
                      <a:graphic xmlns:a="http://schemas.openxmlformats.org/drawingml/2006/main">
                        <a:graphicData uri="http://schemas.microsoft.com/office/word/2010/wordprocessingShape">
                          <wps:wsp>
                            <wps:cNvCnPr/>
                            <wps:spPr>
                              <a:xfrm rot="-5400000">
                                <a:off x="0" y="0"/>
                                <a:ext cx="635" cy="247015"/>
                              </a:xfrm>
                              <a:prstGeom prst="line">
                                <a:avLst/>
                              </a:prstGeom>
                              <a:ln w="12700" cap="flat" cmpd="sng">
                                <a:solidFill>
                                  <a:srgbClr val="000000"/>
                                </a:solidFill>
                                <a:prstDash val="solid"/>
                                <a:headEnd type="none" w="med" len="med"/>
                                <a:tailEnd type="triangle" w="lg" len="med"/>
                              </a:ln>
                              <a:effectLst/>
                            </wps:spPr>
                            <wps:bodyPr/>
                          </wps:wsp>
                        </a:graphicData>
                      </a:graphic>
                    </wp:anchor>
                  </w:drawing>
                </mc:Choice>
                <mc:Fallback>
                  <w:pict>
                    <v:line id="_x0000_s1026" o:spid="_x0000_s1026" o:spt="20" style="position:absolute;left:0pt;margin-left:144.2pt;margin-top:-0.85pt;height:19.45pt;width:0.05pt;rotation:-5898240f;z-index:251671552;mso-width-relative:page;mso-height-relative:page;" filled="f" stroked="t" coordsize="21600,21600" o:gfxdata="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4j3XAAAACQEAAA8AAAAAAAAAAQAgAAAAIgAA&#10;AGRycy9kb3ducmV2LnhtbFBLAQIUABQAAAAIAIdO4kDcnQ/LCQIAAPwDAAAOAAAAAAAAAAEAIAAA&#10;ACYBAABkcnMvZTJvRG9jLnhtbFBLBQYAAAAABgAGAFkBAAChBQAAAAA=&#10;">
                      <v:fill on="f" focussize="0,0"/>
                      <v:stroke weight="1pt" color="#000000" joinstyle="round" endarrow="block" endarrowwidth="wide"/>
                      <v:imagedata o:title=""/>
                      <o:lock v:ext="edit" aspectratio="f"/>
                    </v:lin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88960" behindDoc="0" locked="0" layoutInCell="1" allowOverlap="1">
                      <wp:simplePos x="0" y="0"/>
                      <wp:positionH relativeFrom="column">
                        <wp:posOffset>3360420</wp:posOffset>
                      </wp:positionH>
                      <wp:positionV relativeFrom="paragraph">
                        <wp:posOffset>43815</wp:posOffset>
                      </wp:positionV>
                      <wp:extent cx="10160" cy="194310"/>
                      <wp:effectExtent l="635" t="57150" r="14605" b="66040"/>
                      <wp:wrapNone/>
                      <wp:docPr id="38" name="直接连接符 38"/>
                      <wp:cNvGraphicFramePr/>
                      <a:graphic xmlns:a="http://schemas.openxmlformats.org/drawingml/2006/main">
                        <a:graphicData uri="http://schemas.microsoft.com/office/word/2010/wordprocessingShape">
                          <wps:wsp>
                            <wps:cNvCnPr/>
                            <wps:spPr>
                              <a:xfrm rot="-5400000" flipH="1">
                                <a:off x="0" y="0"/>
                                <a:ext cx="10160" cy="194310"/>
                              </a:xfrm>
                              <a:prstGeom prst="line">
                                <a:avLst/>
                              </a:prstGeom>
                              <a:ln w="12700" cap="flat" cmpd="sng">
                                <a:solidFill>
                                  <a:srgbClr val="000000"/>
                                </a:solidFill>
                                <a:prstDash val="dash"/>
                                <a:headEnd type="none" w="med" len="med"/>
                                <a:tailEnd type="triangle" w="lg" len="med"/>
                              </a:ln>
                              <a:effectLst/>
                            </wps:spPr>
                            <wps:bodyPr/>
                          </wps:wsp>
                        </a:graphicData>
                      </a:graphic>
                    </wp:anchor>
                  </w:drawing>
                </mc:Choice>
                <mc:Fallback>
                  <w:pict>
                    <v:line id="_x0000_s1026" o:spid="_x0000_s1026" o:spt="20" style="position:absolute;left:0pt;flip:x;margin-left:264.6pt;margin-top:3.45pt;height:15.3pt;width:0.8pt;rotation:5898240f;z-index:251688960;mso-width-relative:page;mso-height-relative:page;" filled="f" stroked="t" coordsize="21600,21600" o:gfxdata="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Hlnd2QAAAAgBAAAPAAAAAAAA&#10;AAEAIAAAACIAAABkcnMvZG93bnJldi54bWxQSwECFAAUAAAACACHTuJALXe5hxECAAAHBAAADgAA&#10;AAAAAAABACAAAAAoAQAAZHJzL2Uyb0RvYy54bWxQSwUGAAAAAAYABgBZAQAAqwUAAAAA&#10;">
                      <v:fill on="f" focussize="0,0"/>
                      <v:stroke weight="1pt" color="#000000" joinstyle="round" dashstyle="dash" endarrow="block" endarrowwidth="wide"/>
                      <v:imagedata o:title=""/>
                      <o:lock v:ext="edit" aspectratio="f"/>
                    </v:lin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77696" behindDoc="0" locked="0" layoutInCell="1" allowOverlap="1">
                      <wp:simplePos x="0" y="0"/>
                      <wp:positionH relativeFrom="column">
                        <wp:posOffset>2625090</wp:posOffset>
                      </wp:positionH>
                      <wp:positionV relativeFrom="paragraph">
                        <wp:posOffset>288290</wp:posOffset>
                      </wp:positionV>
                      <wp:extent cx="6985" cy="212725"/>
                      <wp:effectExtent l="59055" t="0" r="67310" b="15875"/>
                      <wp:wrapNone/>
                      <wp:docPr id="3" name="直接连接符 3"/>
                      <wp:cNvGraphicFramePr/>
                      <a:graphic xmlns:a="http://schemas.openxmlformats.org/drawingml/2006/main">
                        <a:graphicData uri="http://schemas.microsoft.com/office/word/2010/wordprocessingShape">
                          <wps:wsp>
                            <wps:cNvCnPr/>
                            <wps:spPr>
                              <a:xfrm>
                                <a:off x="0" y="0"/>
                                <a:ext cx="6985" cy="212725"/>
                              </a:xfrm>
                              <a:prstGeom prst="line">
                                <a:avLst/>
                              </a:prstGeom>
                              <a:ln w="12700" cap="flat" cmpd="sng">
                                <a:solidFill>
                                  <a:srgbClr val="000000"/>
                                </a:solidFill>
                                <a:prstDash val="solid"/>
                                <a:headEnd type="none" w="med" len="med"/>
                                <a:tailEnd type="triangle" w="lg" len="med"/>
                              </a:ln>
                            </wps:spPr>
                            <wps:bodyPr upright="1"/>
                          </wps:wsp>
                        </a:graphicData>
                      </a:graphic>
                    </wp:anchor>
                  </w:drawing>
                </mc:Choice>
                <mc:Fallback>
                  <w:pict>
                    <v:line id="_x0000_s1026" o:spid="_x0000_s1026" o:spt="20" style="position:absolute;left:0pt;margin-left:206.7pt;margin-top:22.7pt;height:16.75pt;width:0.55pt;z-index:251677696;mso-width-relative:page;mso-height-relative:page;" filled="f" stroked="t" coordsize="21600,21600" o:gfxdata="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ZPvM1wAAAAkBAAAPAAAAAAAAAAEAIAAAACIAAABkcnMvZG93&#10;bnJldi54bWxQSwECFAAUAAAACACHTuJAANnQWQECAADqAwAADgAAAAAAAAABACAAAAAmAQAAZHJz&#10;L2Uyb0RvYy54bWxQSwUGAAAAAAYABgBZAQAAmQUAAAAA&#10;">
                      <v:fill on="f" focussize="0,0"/>
                      <v:stroke weight="1pt" color="#000000" joinstyle="round" endarrow="block" endarrowwidth="wide"/>
                      <v:imagedata o:title=""/>
                      <o:lock v:ext="edit" aspectratio="f"/>
                    </v:line>
                  </w:pict>
                </mc:Fallback>
              </mc:AlternateContent>
            </w:r>
          </w:p>
          <w:p>
            <w:pPr>
              <w:spacing w:line="480" w:lineRule="exact"/>
              <w:ind w:firstLine="480" w:firstLineChars="200"/>
              <w:rPr>
                <w:rFonts w:ascii="宋体" w:hAnsi="宋体" w:cs="宋体" w:eastAsiaTheme="minorEastAsia"/>
                <w:sz w:val="24"/>
              </w:rPr>
            </w:pPr>
            <w:r>
              <w:rPr>
                <w:rFonts w:asciiTheme="minorHAnsi" w:hAnsiTheme="minorHAnsi" w:eastAsiaTheme="minorEastAsia" w:cstheme="minorBidi"/>
                <w:sz w:val="24"/>
              </w:rPr>
              <mc:AlternateContent>
                <mc:Choice Requires="wps">
                  <w:drawing>
                    <wp:anchor distT="0" distB="0" distL="114300" distR="114300" simplePos="0" relativeHeight="251678720" behindDoc="0" locked="0" layoutInCell="1" allowOverlap="1">
                      <wp:simplePos x="0" y="0"/>
                      <wp:positionH relativeFrom="column">
                        <wp:posOffset>2169160</wp:posOffset>
                      </wp:positionH>
                      <wp:positionV relativeFrom="paragraph">
                        <wp:posOffset>188595</wp:posOffset>
                      </wp:positionV>
                      <wp:extent cx="909955" cy="306705"/>
                      <wp:effectExtent l="6350" t="6350" r="17145" b="10795"/>
                      <wp:wrapNone/>
                      <wp:docPr id="41" name="文本框 41"/>
                      <wp:cNvGraphicFramePr/>
                      <a:graphic xmlns:a="http://schemas.openxmlformats.org/drawingml/2006/main">
                        <a:graphicData uri="http://schemas.microsoft.com/office/word/2010/wordprocessingShape">
                          <wps:wsp>
                            <wps:cNvSpPr txBox="1"/>
                            <wps:spPr>
                              <a:xfrm>
                                <a:off x="0" y="0"/>
                                <a:ext cx="909955" cy="306705"/>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交付运营</w:t>
                                  </w:r>
                                </w:p>
                              </w:txbxContent>
                            </wps:txbx>
                            <wps:bodyPr upright="1"/>
                          </wps:wsp>
                        </a:graphicData>
                      </a:graphic>
                    </wp:anchor>
                  </w:drawing>
                </mc:Choice>
                <mc:Fallback>
                  <w:pict>
                    <v:shape id="_x0000_s1026" o:spid="_x0000_s1026" o:spt="202" type="#_x0000_t202" style="position:absolute;left:0pt;margin-left:170.8pt;margin-top:14.85pt;height:24.15pt;width:71.65pt;z-index:251678720;mso-width-relative:page;mso-height-relative:page;" fillcolor="#FFFFFF" filled="t" stroked="t" coordsize="21600,21600" o:gfxdata="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b2x1gAAAAkBAAAPAAAAAAAAAAEA&#10;IAAAACIAAABkcnMvZG93bnJldi54bWxQSwECFAAUAAAACACHTuJArxJW30oCAADNBAAADgAAAAAA&#10;AAABACAAAAAlAQAAZHJzL2Uyb0RvYy54bWxQSwUGAAAAAAYABgBZAQAA4QU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交付运营</w:t>
                            </w:r>
                          </w:p>
                        </w:txbxContent>
                      </v:textbox>
                    </v:shap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92032" behindDoc="0" locked="0" layoutInCell="1" allowOverlap="1">
                      <wp:simplePos x="0" y="0"/>
                      <wp:positionH relativeFrom="column">
                        <wp:posOffset>3392805</wp:posOffset>
                      </wp:positionH>
                      <wp:positionV relativeFrom="paragraph">
                        <wp:posOffset>200660</wp:posOffset>
                      </wp:positionV>
                      <wp:extent cx="1522730" cy="327660"/>
                      <wp:effectExtent l="6350" t="6350" r="13970" b="8890"/>
                      <wp:wrapNone/>
                      <wp:docPr id="40" name="文本框 40"/>
                      <wp:cNvGraphicFramePr/>
                      <a:graphic xmlns:a="http://schemas.openxmlformats.org/drawingml/2006/main">
                        <a:graphicData uri="http://schemas.microsoft.com/office/word/2010/wordprocessingShape">
                          <wps:wsp>
                            <wps:cNvSpPr txBox="1"/>
                            <wps:spPr>
                              <a:xfrm>
                                <a:off x="0" y="0"/>
                                <a:ext cx="1522730" cy="327660"/>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噪声、废气、扬尘</w:t>
                                  </w:r>
                                </w:p>
                              </w:txbxContent>
                            </wps:txbx>
                            <wps:bodyPr upright="1"/>
                          </wps:wsp>
                        </a:graphicData>
                      </a:graphic>
                    </wp:anchor>
                  </w:drawing>
                </mc:Choice>
                <mc:Fallback>
                  <w:pict>
                    <v:shape id="_x0000_s1026" o:spid="_x0000_s1026" o:spt="202" type="#_x0000_t202" style="position:absolute;left:0pt;margin-left:267.15pt;margin-top:15.8pt;height:25.8pt;width:119.9pt;z-index:251692032;mso-width-relative:page;mso-height-relative:page;" fillcolor="#FFFFFF" filled="t" stroked="t" coordsize="21600,21600" o:gfxdata="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9PFm/WAAAACQEAAA8AAAAAAAAAAQAg&#10;AAAAIgAAAGRycy9kb3ducmV2LnhtbFBLAQIUABQAAAAIAIdO4kAVA/3JSQIAAM4EAAAOAAAAAAAA&#10;AAEAIAAAACUBAABkcnMvZTJvRG9jLnhtbFBLBQYAAAAABgAGAFkBAADgBQ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噪声、废气、扬尘</w:t>
                            </w:r>
                          </w:p>
                        </w:txbxContent>
                      </v:textbox>
                    </v:shape>
                  </w:pict>
                </mc:Fallback>
              </mc:AlternateContent>
            </w:r>
          </w:p>
          <w:p>
            <w:pPr>
              <w:spacing w:line="480" w:lineRule="exact"/>
              <w:ind w:firstLine="480" w:firstLineChars="200"/>
              <w:rPr>
                <w:rFonts w:ascii="宋体" w:hAnsi="宋体" w:cs="宋体" w:eastAsiaTheme="minorEastAsia"/>
                <w:sz w:val="24"/>
              </w:rPr>
            </w:pPr>
            <w:r>
              <w:rPr>
                <w:rFonts w:asciiTheme="minorHAnsi" w:hAnsiTheme="minorHAnsi" w:eastAsiaTheme="minorEastAsia" w:cstheme="minorBidi"/>
                <w:sz w:val="24"/>
              </w:rPr>
              <mc:AlternateContent>
                <mc:Choice Requires="wps">
                  <w:drawing>
                    <wp:anchor distT="0" distB="0" distL="114300" distR="114300" simplePos="0" relativeHeight="251679744" behindDoc="0" locked="0" layoutInCell="1" allowOverlap="1">
                      <wp:simplePos x="0" y="0"/>
                      <wp:positionH relativeFrom="column">
                        <wp:posOffset>2624455</wp:posOffset>
                      </wp:positionH>
                      <wp:positionV relativeFrom="paragraph">
                        <wp:posOffset>190500</wp:posOffset>
                      </wp:positionV>
                      <wp:extent cx="14605" cy="294005"/>
                      <wp:effectExtent l="52705" t="0" r="66040" b="10795"/>
                      <wp:wrapNone/>
                      <wp:docPr id="43" name="直接连接符 43"/>
                      <wp:cNvGraphicFramePr/>
                      <a:graphic xmlns:a="http://schemas.openxmlformats.org/drawingml/2006/main">
                        <a:graphicData uri="http://schemas.microsoft.com/office/word/2010/wordprocessingShape">
                          <wps:wsp>
                            <wps:cNvCnPr>
                              <a:stCxn id="41" idx="2"/>
                              <a:endCxn id="2" idx="0"/>
                            </wps:cNvCnPr>
                            <wps:spPr>
                              <a:xfrm>
                                <a:off x="0" y="0"/>
                                <a:ext cx="14605" cy="294005"/>
                              </a:xfrm>
                              <a:prstGeom prst="line">
                                <a:avLst/>
                              </a:prstGeom>
                              <a:ln w="12700" cap="flat" cmpd="sng">
                                <a:solidFill>
                                  <a:srgbClr val="000000"/>
                                </a:solidFill>
                                <a:prstDash val="solid"/>
                                <a:headEnd type="none" w="med" len="med"/>
                                <a:tailEnd type="triangle" w="lg" len="med"/>
                              </a:ln>
                              <a:effectLst/>
                            </wps:spPr>
                            <wps:bodyPr/>
                          </wps:wsp>
                        </a:graphicData>
                      </a:graphic>
                    </wp:anchor>
                  </w:drawing>
                </mc:Choice>
                <mc:Fallback>
                  <w:pict>
                    <v:line id="_x0000_s1026" o:spid="_x0000_s1026" o:spt="20" style="position:absolute;left:0pt;margin-left:206.65pt;margin-top:15pt;height:23.15pt;width:1.15pt;z-index:251679744;mso-width-relative:page;mso-height-relative:page;" filled="f" stroked="t" coordsize="21600,21600" o:gfxdata="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KlEDNcAAAAJAQAADwAA&#10;AAAAAAABACAAAAAiAAAAZHJzL2Rvd25yZXYueG1sUEsBAhQAFAAAAAgAh07iQFzN4IwXAgAAMAQA&#10;AA4AAAAAAAAAAQAgAAAAJgEAAGRycy9lMm9Eb2MueG1sUEsFBgAAAAAGAAYAWQEAAK8FAAAAAA==&#10;">
                      <v:fill on="f" focussize="0,0"/>
                      <v:stroke weight="1pt" color="#000000" joinstyle="round" endarrow="block" endarrowwidth="wide"/>
                      <v:imagedata o:title=""/>
                      <o:lock v:ext="edit" aspectratio="f"/>
                    </v:lin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91008" behindDoc="0" locked="0" layoutInCell="1" allowOverlap="1">
                      <wp:simplePos x="0" y="0"/>
                      <wp:positionH relativeFrom="column">
                        <wp:posOffset>3232150</wp:posOffset>
                      </wp:positionH>
                      <wp:positionV relativeFrom="paragraph">
                        <wp:posOffset>-114300</wp:posOffset>
                      </wp:positionV>
                      <wp:extent cx="635" cy="342265"/>
                      <wp:effectExtent l="0" t="63500" r="635" b="69215"/>
                      <wp:wrapNone/>
                      <wp:docPr id="42" name="直接连接符 42"/>
                      <wp:cNvGraphicFramePr/>
                      <a:graphic xmlns:a="http://schemas.openxmlformats.org/drawingml/2006/main">
                        <a:graphicData uri="http://schemas.microsoft.com/office/word/2010/wordprocessingShape">
                          <wps:wsp>
                            <wps:cNvCnPr/>
                            <wps:spPr>
                              <a:xfrm rot="-5400000">
                                <a:off x="0" y="0"/>
                                <a:ext cx="635" cy="342265"/>
                              </a:xfrm>
                              <a:prstGeom prst="line">
                                <a:avLst/>
                              </a:prstGeom>
                              <a:ln w="12700" cap="flat" cmpd="sng">
                                <a:solidFill>
                                  <a:srgbClr val="000000"/>
                                </a:solidFill>
                                <a:prstDash val="dash"/>
                                <a:headEnd type="none" w="med" len="med"/>
                                <a:tailEnd type="triangle" w="lg" len="med"/>
                              </a:ln>
                              <a:effectLst/>
                            </wps:spPr>
                            <wps:bodyPr/>
                          </wps:wsp>
                        </a:graphicData>
                      </a:graphic>
                    </wp:anchor>
                  </w:drawing>
                </mc:Choice>
                <mc:Fallback>
                  <w:pict>
                    <v:line id="_x0000_s1026" o:spid="_x0000_s1026" o:spt="20" style="position:absolute;left:0pt;margin-left:254.5pt;margin-top:-9pt;height:26.95pt;width:0.05pt;rotation:-5898240f;z-index:251691008;mso-width-relative:page;mso-height-relative:page;" filled="f" stroked="t" coordsize="21600,21600" o:gfxdata="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M6qG2AAAAAoBAAAPAAAAAAAAAAEAIAAAACIA&#10;AABkcnMvZG93bnJldi54bWxQSwECFAAUAAAACACHTuJAdfs4xAkCAAD7AwAADgAAAAAAAAABACAA&#10;AAAnAQAAZHJzL2Uyb0RvYy54bWxQSwUGAAAAAAYABgBZAQAAogUAAAAA&#10;">
                      <v:fill on="f" focussize="0,0"/>
                      <v:stroke weight="1pt" color="#000000" joinstyle="round" dashstyle="dash" endarrow="block" endarrowwidth="wide"/>
                      <v:imagedata o:title=""/>
                      <o:lock v:ext="edit" aspectratio="f"/>
                    </v:line>
                  </w:pict>
                </mc:Fallback>
              </mc:AlternateContent>
            </w:r>
          </w:p>
          <w:p>
            <w:pPr>
              <w:spacing w:line="480" w:lineRule="exact"/>
              <w:ind w:firstLine="480" w:firstLineChars="200"/>
              <w:rPr>
                <w:rFonts w:ascii="宋体" w:hAnsi="宋体" w:cs="宋体" w:eastAsiaTheme="minorEastAsia"/>
                <w:sz w:val="24"/>
              </w:rPr>
            </w:pPr>
            <w:r>
              <w:rPr>
                <w:rFonts w:asciiTheme="minorHAnsi" w:hAnsiTheme="minorHAnsi" w:eastAsiaTheme="minorEastAsia" w:cstheme="minorBidi"/>
                <w:sz w:val="24"/>
              </w:rPr>
              <mc:AlternateContent>
                <mc:Choice Requires="wps">
                  <w:drawing>
                    <wp:anchor distT="0" distB="0" distL="114300" distR="114300" simplePos="0" relativeHeight="251693056" behindDoc="0" locked="0" layoutInCell="1" allowOverlap="1">
                      <wp:simplePos x="0" y="0"/>
                      <wp:positionH relativeFrom="column">
                        <wp:posOffset>3460115</wp:posOffset>
                      </wp:positionH>
                      <wp:positionV relativeFrom="paragraph">
                        <wp:posOffset>191135</wp:posOffset>
                      </wp:positionV>
                      <wp:extent cx="570865" cy="338455"/>
                      <wp:effectExtent l="6350" t="6350" r="13335" b="17145"/>
                      <wp:wrapNone/>
                      <wp:docPr id="44" name="文本框 44"/>
                      <wp:cNvGraphicFramePr/>
                      <a:graphic xmlns:a="http://schemas.openxmlformats.org/drawingml/2006/main">
                        <a:graphicData uri="http://schemas.microsoft.com/office/word/2010/wordprocessingShape">
                          <wps:wsp>
                            <wps:cNvSpPr txBox="1"/>
                            <wps:spPr>
                              <a:xfrm>
                                <a:off x="0" y="0"/>
                                <a:ext cx="570865" cy="338455"/>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固废</w:t>
                                  </w:r>
                                </w:p>
                              </w:txbxContent>
                            </wps:txbx>
                            <wps:bodyPr upright="1"/>
                          </wps:wsp>
                        </a:graphicData>
                      </a:graphic>
                    </wp:anchor>
                  </w:drawing>
                </mc:Choice>
                <mc:Fallback>
                  <w:pict>
                    <v:shape id="_x0000_s1026" o:spid="_x0000_s1026" o:spt="202" type="#_x0000_t202" style="position:absolute;left:0pt;margin-left:272.45pt;margin-top:15.05pt;height:26.65pt;width:44.95pt;z-index:251693056;mso-width-relative:page;mso-height-relative:page;" fillcolor="#FFFFFF" filled="t" stroked="t" coordsize="21600,21600" o:gfxdata="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U3nk9YAAAAJAQAADwAAAAAAAAAB&#10;ACAAAAAiAAAAZHJzL2Rvd25yZXYueG1sUEsBAhQAFAAAAAgAh07iQHgJ0n9LAgAAzQQAAA4AAAAA&#10;AAAAAQAgAAAAJQEAAGRycy9lMm9Eb2MueG1sUEsFBgAAAAAGAAYAWQEAAOIFA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固废</w:t>
                            </w:r>
                          </w:p>
                        </w:txbxContent>
                      </v:textbox>
                    </v:shape>
                  </w:pict>
                </mc:Fallback>
              </mc:AlternateContent>
            </w:r>
            <w:r>
              <w:rPr>
                <w:rFonts w:asciiTheme="minorHAnsi" w:hAnsiTheme="minorHAnsi" w:eastAsiaTheme="minorEastAsia" w:cstheme="minorBidi"/>
                <w:sz w:val="24"/>
              </w:rPr>
              <mc:AlternateContent>
                <mc:Choice Requires="wps">
                  <w:drawing>
                    <wp:anchor distT="0" distB="0" distL="114300" distR="114300" simplePos="0" relativeHeight="251680768" behindDoc="0" locked="0" layoutInCell="1" allowOverlap="1">
                      <wp:simplePos x="0" y="0"/>
                      <wp:positionH relativeFrom="column">
                        <wp:posOffset>2183765</wp:posOffset>
                      </wp:positionH>
                      <wp:positionV relativeFrom="paragraph">
                        <wp:posOffset>179705</wp:posOffset>
                      </wp:positionV>
                      <wp:extent cx="909955" cy="338455"/>
                      <wp:effectExtent l="6350" t="6350" r="17145" b="17145"/>
                      <wp:wrapNone/>
                      <wp:docPr id="2" name="文本框 2"/>
                      <wp:cNvGraphicFramePr/>
                      <a:graphic xmlns:a="http://schemas.openxmlformats.org/drawingml/2006/main">
                        <a:graphicData uri="http://schemas.microsoft.com/office/word/2010/wordprocessingShape">
                          <wps:wsp>
                            <wps:cNvSpPr txBox="1"/>
                            <wps:spPr>
                              <a:xfrm>
                                <a:off x="0" y="0"/>
                                <a:ext cx="909955" cy="338455"/>
                              </a:xfrm>
                              <a:prstGeom prst="rect">
                                <a:avLst/>
                              </a:prstGeom>
                              <a:gradFill rotWithShape="0">
                                <a:gsLst>
                                  <a:gs pos="0">
                                    <a:srgbClr val="FFFFFF"/>
                                  </a:gs>
                                  <a:gs pos="100000">
                                    <a:srgbClr val="FFFFFF"/>
                                  </a:gs>
                                </a:gsLst>
                                <a:lin ang="0"/>
                                <a:tileRect/>
                              </a:gra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维护管理</w:t>
                                  </w:r>
                                </w:p>
                              </w:txbxContent>
                            </wps:txbx>
                            <wps:bodyPr upright="1"/>
                          </wps:wsp>
                        </a:graphicData>
                      </a:graphic>
                    </wp:anchor>
                  </w:drawing>
                </mc:Choice>
                <mc:Fallback>
                  <w:pict>
                    <v:shape id="_x0000_s1026" o:spid="_x0000_s1026" o:spt="202" type="#_x0000_t202" style="position:absolute;left:0pt;margin-left:171.95pt;margin-top:14.15pt;height:26.65pt;width:71.65pt;z-index:251680768;mso-width-relative:page;mso-height-relative:page;" fillcolor="#FFFFFF" filled="t" stroked="t" coordsize="21600,21600" o:gfxdata="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3pRWT1gAAAAkBAAAPAAAAAAAAAAEA&#10;IAAAACIAAABkcnMvZG93bnJldi54bWxQSwECFAAUAAAACACHTuJARMs5rUoCAADLBAAADgAAAAAA&#10;AAABACAAAAAlAQAAZHJzL2Uyb0RvYy54bWxQSwUGAAAAAAYABgBZAQAA4QUAAAAA&#10;">
                      <v:fill type="gradient" on="t" color2="#FFFFFF" angle="90" focus="100%" focussize="0,0">
                        <o:fill type="gradientUnscaled" v:ext="backwardCompatible"/>
                      </v:fill>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维护管理</w:t>
                            </w:r>
                          </w:p>
                        </w:txbxContent>
                      </v:textbox>
                    </v:shape>
                  </w:pict>
                </mc:Fallback>
              </mc:AlternateContent>
            </w:r>
          </w:p>
          <w:p>
            <w:pPr>
              <w:jc w:val="both"/>
              <w:rPr>
                <w:b/>
                <w:bCs/>
                <w:sz w:val="24"/>
              </w:rPr>
            </w:pPr>
          </w:p>
          <w:p>
            <w:pPr>
              <w:bidi w:val="0"/>
              <w:jc w:val="center"/>
              <w:rPr>
                <w:b/>
                <w:bCs/>
              </w:rPr>
            </w:pPr>
            <w:r>
              <w:rPr>
                <w:b/>
                <w:bCs/>
              </w:rPr>
              <w:t>图</w:t>
            </w:r>
            <w:r>
              <w:rPr>
                <w:rFonts w:hint="eastAsia"/>
                <w:b/>
                <w:bCs/>
                <w:lang w:val="en-US" w:eastAsia="zh-CN"/>
              </w:rPr>
              <w:t xml:space="preserve">11  </w:t>
            </w:r>
            <w:r>
              <w:rPr>
                <w:b/>
                <w:bCs/>
              </w:rPr>
              <w:t>项目工艺流程图及产污节点图</w:t>
            </w:r>
          </w:p>
          <w:p>
            <w:pPr>
              <w:bidi w:val="0"/>
              <w:jc w:val="both"/>
              <w:rPr>
                <w:b/>
                <w:bCs/>
              </w:rPr>
            </w:pPr>
            <w:r>
              <w:rPr>
                <w:rFonts w:hint="eastAsia"/>
                <w:b/>
                <w:bCs/>
              </w:rPr>
              <w:t>施工方案介绍：</w:t>
            </w:r>
          </w:p>
          <w:p>
            <w:pPr>
              <w:ind w:firstLine="480" w:firstLineChars="200"/>
              <w:rPr>
                <w:sz w:val="24"/>
              </w:rPr>
            </w:pPr>
            <w:r>
              <w:rPr>
                <w:rFonts w:hint="eastAsia"/>
                <w:sz w:val="24"/>
              </w:rPr>
              <w:t>（1）路基施工</w:t>
            </w:r>
          </w:p>
          <w:p>
            <w:pPr>
              <w:ind w:firstLine="480" w:firstLineChars="200"/>
              <w:rPr>
                <w:sz w:val="24"/>
              </w:rPr>
            </w:pPr>
            <w:r>
              <w:rPr>
                <w:rFonts w:hint="eastAsia"/>
                <w:sz w:val="24"/>
              </w:rPr>
              <w:t>路基工程采用机械施工为主，适时配合人工施工的方案。对于土方路段施工，本项目所在雨季在每年的4~6月份，降雨量集中，要做好施工的临时排水，尽量保持路基等干燥状态，应切实控制路基填料的最佳含水量，确保路基压实度符合规范要求；石方开挖可以考虑采用大型机械加松土器开挖，不需要进行爆破，填方路基应分层铺筑均匀压实。</w:t>
            </w:r>
          </w:p>
          <w:p>
            <w:pPr>
              <w:ind w:firstLine="480" w:firstLineChars="200"/>
              <w:rPr>
                <w:sz w:val="24"/>
              </w:rPr>
            </w:pPr>
            <w:r>
              <w:rPr>
                <w:rFonts w:hint="eastAsia"/>
                <w:sz w:val="24"/>
              </w:rPr>
              <w:t>（2）路面施工</w:t>
            </w:r>
          </w:p>
          <w:p>
            <w:pPr>
              <w:ind w:firstLine="480" w:firstLineChars="200"/>
              <w:rPr>
                <w:sz w:val="24"/>
              </w:rPr>
            </w:pPr>
            <w:r>
              <w:rPr>
                <w:rFonts w:hint="eastAsia"/>
                <w:sz w:val="24"/>
              </w:rPr>
              <w:t>路面施工应采用专门的路面机械施工，要选择有丰富经验、有先进设备的专业施工队伍。项目采用商品混凝土和沥青混凝土。使用设备主要为挖掘机、自卸汽车、平地机、推土机、振动压路机等。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6" w:hRule="atLeast"/>
        </w:trPr>
        <w:tc>
          <w:tcPr>
            <w:tcW w:w="8931" w:type="dxa"/>
          </w:tcPr>
          <w:p>
            <w:pPr>
              <w:rPr>
                <w:rFonts w:cs="宋体"/>
                <w:b/>
                <w:bCs/>
                <w:sz w:val="24"/>
              </w:rPr>
            </w:pPr>
            <w:r>
              <w:rPr>
                <w:rFonts w:hint="eastAsia" w:cs="宋体"/>
                <w:b/>
                <w:bCs/>
                <w:sz w:val="24"/>
              </w:rPr>
              <w:t>主要污染工序：</w:t>
            </w:r>
          </w:p>
          <w:p>
            <w:pPr>
              <w:ind w:firstLine="482" w:firstLineChars="200"/>
              <w:rPr>
                <w:b/>
                <w:bCs/>
                <w:sz w:val="24"/>
              </w:rPr>
            </w:pPr>
            <w:r>
              <w:rPr>
                <w:b/>
                <w:sz w:val="24"/>
              </w:rPr>
              <w:t>1、施工期污染工序：</w:t>
            </w:r>
          </w:p>
          <w:p>
            <w:pPr>
              <w:tabs>
                <w:tab w:val="left" w:pos="1280"/>
              </w:tabs>
              <w:ind w:firstLine="482" w:firstLineChars="200"/>
              <w:textAlignment w:val="baseline"/>
              <w:rPr>
                <w:b/>
                <w:bCs/>
                <w:sz w:val="24"/>
              </w:rPr>
            </w:pPr>
            <w:r>
              <w:rPr>
                <w:rFonts w:hint="eastAsia"/>
                <w:b/>
                <w:bCs/>
                <w:sz w:val="24"/>
              </w:rPr>
              <w:t>1.1</w:t>
            </w:r>
            <w:r>
              <w:rPr>
                <w:b/>
                <w:bCs/>
                <w:sz w:val="24"/>
              </w:rPr>
              <w:t xml:space="preserve"> 施工期水污染源分析</w:t>
            </w:r>
          </w:p>
          <w:p>
            <w:pPr>
              <w:bidi w:val="0"/>
              <w:ind w:firstLine="480" w:firstLineChars="200"/>
              <w:rPr>
                <w:rFonts w:hint="eastAsia"/>
              </w:rPr>
            </w:pPr>
            <w:r>
              <w:rPr>
                <w:rFonts w:hint="eastAsia"/>
                <w:lang w:eastAsia="zh-CN"/>
              </w:rPr>
              <w:t>施</w:t>
            </w:r>
            <w:r>
              <w:rPr>
                <w:rFonts w:hint="eastAsia"/>
              </w:rPr>
              <w:t>工驻地的生活污水、生活垃圾、粪便等集中处理，不直接排入水体。项目施工期间产生的污水主要为施工场地生产废水。</w:t>
            </w:r>
          </w:p>
          <w:p>
            <w:pPr>
              <w:bidi w:val="0"/>
              <w:ind w:firstLine="480" w:firstLineChars="200"/>
              <w:rPr>
                <w:u w:val="single"/>
              </w:rPr>
            </w:pPr>
            <w:r>
              <w:rPr>
                <w:rFonts w:hint="eastAsia"/>
              </w:rPr>
              <w:t>（</w:t>
            </w:r>
            <w:r>
              <w:rPr>
                <w:rFonts w:hint="eastAsia"/>
                <w:u w:val="single"/>
              </w:rPr>
              <w:t>1）</w:t>
            </w:r>
            <w:r>
              <w:rPr>
                <w:u w:val="single"/>
              </w:rPr>
              <w:t>施工废水</w:t>
            </w:r>
          </w:p>
          <w:p>
            <w:pPr>
              <w:tabs>
                <w:tab w:val="left" w:pos="1280"/>
              </w:tabs>
              <w:ind w:firstLine="480" w:firstLineChars="200"/>
              <w:textAlignment w:val="baseline"/>
              <w:rPr>
                <w:color w:val="000000" w:themeColor="text1"/>
                <w:sz w:val="24"/>
                <w:u w:val="single"/>
                <w14:textFill>
                  <w14:solidFill>
                    <w14:schemeClr w14:val="tx1"/>
                  </w14:solidFill>
                </w14:textFill>
              </w:rPr>
            </w:pPr>
            <w:r>
              <w:rPr>
                <w:color w:val="000000" w:themeColor="text1"/>
                <w:sz w:val="24"/>
                <w:u w:val="single"/>
                <w14:textFill>
                  <w14:solidFill>
                    <w14:schemeClr w14:val="tx1"/>
                  </w14:solidFill>
                </w14:textFill>
              </w:rPr>
              <w:t>施工场</w:t>
            </w:r>
            <w:r>
              <w:rPr>
                <w:rFonts w:hint="eastAsia"/>
                <w:color w:val="000000" w:themeColor="text1"/>
                <w:sz w:val="24"/>
                <w:u w:val="single"/>
                <w14:textFill>
                  <w14:solidFill>
                    <w14:schemeClr w14:val="tx1"/>
                  </w14:solidFill>
                </w14:textFill>
              </w:rPr>
              <w:t>地</w:t>
            </w:r>
            <w:r>
              <w:rPr>
                <w:color w:val="000000" w:themeColor="text1"/>
                <w:sz w:val="24"/>
                <w:u w:val="single"/>
                <w14:textFill>
                  <w14:solidFill>
                    <w14:schemeClr w14:val="tx1"/>
                  </w14:solidFill>
                </w14:textFill>
              </w:rPr>
              <w:t>废水包括施工机械和车辆冲洗废水，砂石料冲洗废水以及场地冲刷雨水</w:t>
            </w:r>
            <w:r>
              <w:rPr>
                <w:rFonts w:hint="eastAsia"/>
                <w:color w:val="000000" w:themeColor="text1"/>
                <w:sz w:val="24"/>
                <w:u w:val="single"/>
                <w:lang w:eastAsia="zh-CN"/>
                <w14:textFill>
                  <w14:solidFill>
                    <w14:schemeClr w14:val="tx1"/>
                  </w14:solidFill>
                </w14:textFill>
              </w:rPr>
              <w:t>，废水量</w:t>
            </w:r>
            <w:r>
              <w:rPr>
                <w:color w:val="000000"/>
                <w:sz w:val="24"/>
                <w:u w:val="single"/>
              </w:rPr>
              <w:t>约0.5m</w:t>
            </w:r>
            <w:r>
              <w:rPr>
                <w:color w:val="000000"/>
                <w:sz w:val="24"/>
                <w:u w:val="single"/>
                <w:vertAlign w:val="superscript"/>
              </w:rPr>
              <w:t>3</w:t>
            </w:r>
            <w:r>
              <w:rPr>
                <w:color w:val="000000"/>
                <w:sz w:val="24"/>
                <w:u w:val="single"/>
              </w:rPr>
              <w:t>/d，SS浓度约5000mg/L，</w:t>
            </w:r>
            <w:r>
              <w:rPr>
                <w:rFonts w:hint="eastAsia"/>
                <w:color w:val="000000"/>
                <w:sz w:val="24"/>
                <w:u w:val="single"/>
                <w:lang w:val="en-US" w:eastAsia="zh-CN"/>
              </w:rPr>
              <w:t>COD350mg/L，石油类10mg/L</w:t>
            </w:r>
            <w:r>
              <w:rPr>
                <w:color w:val="000000"/>
                <w:sz w:val="24"/>
                <w:u w:val="single"/>
              </w:rPr>
              <w:t>污染物浓度较高不处理直接排放对地表水水质会产生影响</w:t>
            </w:r>
            <w:r>
              <w:rPr>
                <w:color w:val="000000" w:themeColor="text1"/>
                <w:sz w:val="24"/>
                <w:u w:val="single"/>
                <w14:textFill>
                  <w14:solidFill>
                    <w14:schemeClr w14:val="tx1"/>
                  </w14:solidFill>
                </w14:textFill>
              </w:rPr>
              <w:t>。项目施工场地设置临时排水沟</w:t>
            </w:r>
            <w:r>
              <w:rPr>
                <w:rFonts w:hint="eastAsia"/>
                <w:color w:val="000000" w:themeColor="text1"/>
                <w:sz w:val="24"/>
                <w:u w:val="single"/>
                <w:lang w:eastAsia="zh-CN"/>
                <w14:textFill>
                  <w14:solidFill>
                    <w14:schemeClr w14:val="tx1"/>
                  </w14:solidFill>
                </w14:textFill>
              </w:rPr>
              <w:t>隔油池</w:t>
            </w:r>
            <w:r>
              <w:rPr>
                <w:color w:val="000000" w:themeColor="text1"/>
                <w:sz w:val="24"/>
                <w:u w:val="single"/>
                <w14:textFill>
                  <w14:solidFill>
                    <w14:schemeClr w14:val="tx1"/>
                  </w14:solidFill>
                </w14:textFill>
              </w:rPr>
              <w:t>及沉淀池。项目施工场冲洗废水经沉淀处置后，上清液回用于绿化、降尘，不外排，沉淀物用于路基填筑。</w:t>
            </w:r>
          </w:p>
          <w:p>
            <w:pPr>
              <w:tabs>
                <w:tab w:val="left" w:pos="1280"/>
              </w:tabs>
              <w:ind w:firstLine="480" w:firstLineChars="200"/>
              <w:textAlignment w:val="baseline"/>
              <w:rPr>
                <w:color w:val="000000" w:themeColor="text1"/>
                <w:sz w:val="24"/>
                <w:u w:val="single"/>
                <w14:textFill>
                  <w14:solidFill>
                    <w14:schemeClr w14:val="tx1"/>
                  </w14:solidFill>
                </w14:textFill>
              </w:rPr>
            </w:pPr>
            <w:r>
              <w:rPr>
                <w:rFonts w:hint="eastAsia"/>
                <w:color w:val="000000" w:themeColor="text1"/>
                <w:sz w:val="24"/>
                <w:u w:val="single"/>
                <w14:textFill>
                  <w14:solidFill>
                    <w14:schemeClr w14:val="tx1"/>
                  </w14:solidFill>
                </w14:textFill>
              </w:rPr>
              <w:t>（2）</w:t>
            </w:r>
            <w:r>
              <w:rPr>
                <w:color w:val="000000" w:themeColor="text1"/>
                <w:sz w:val="24"/>
                <w:u w:val="single"/>
                <w14:textFill>
                  <w14:solidFill>
                    <w14:schemeClr w14:val="tx1"/>
                  </w14:solidFill>
                </w14:textFill>
              </w:rPr>
              <w:t>施工物料流失产生的废水</w:t>
            </w:r>
          </w:p>
          <w:p>
            <w:pPr>
              <w:tabs>
                <w:tab w:val="left" w:pos="1280"/>
              </w:tabs>
              <w:ind w:firstLine="480" w:firstLineChars="200"/>
              <w:textAlignment w:val="baseline"/>
              <w:rPr>
                <w:color w:val="000000" w:themeColor="text1"/>
                <w:sz w:val="24"/>
                <w:u w:val="single"/>
                <w14:textFill>
                  <w14:solidFill>
                    <w14:schemeClr w14:val="tx1"/>
                  </w14:solidFill>
                </w14:textFill>
              </w:rPr>
            </w:pPr>
            <w:r>
              <w:rPr>
                <w:color w:val="000000" w:themeColor="text1"/>
                <w:sz w:val="24"/>
                <w:u w:val="single"/>
                <w14:textFill>
                  <w14:solidFill>
                    <w14:schemeClr w14:val="tx1"/>
                  </w14:solidFill>
                </w14:textFill>
              </w:rPr>
              <w:t>施工过程中筑路材料、填方（如碎石、粉煤灰、黄沙、泥块等）需妥善放置，应远离水体堆放，并建临时堆放棚；材料堆放场、挖方、填方四周应挖截留沟，以尽可能减少对附近水体产生影响的风险，截留沟废水汇入简易沉淀池，上清液回用不外排。</w:t>
            </w:r>
          </w:p>
          <w:p>
            <w:pPr>
              <w:tabs>
                <w:tab w:val="left" w:pos="1280"/>
              </w:tabs>
              <w:ind w:firstLine="482" w:firstLineChars="200"/>
              <w:textAlignment w:val="baseline"/>
              <w:rPr>
                <w:b/>
                <w:bCs/>
                <w:sz w:val="24"/>
              </w:rPr>
            </w:pPr>
            <w:r>
              <w:rPr>
                <w:rFonts w:hint="eastAsia"/>
                <w:b/>
                <w:bCs/>
                <w:sz w:val="24"/>
              </w:rPr>
              <w:t>1.2</w:t>
            </w:r>
            <w:r>
              <w:rPr>
                <w:b/>
                <w:bCs/>
                <w:sz w:val="24"/>
              </w:rPr>
              <w:t xml:space="preserve"> 施工期大气污染源分析</w:t>
            </w:r>
          </w:p>
          <w:p>
            <w:pPr>
              <w:bidi w:val="0"/>
              <w:ind w:firstLine="480" w:firstLineChars="200"/>
            </w:pPr>
            <w:r>
              <w:t>施工过程中产生的大气污染物主要是施工车辆和施工机械进出产生的道路扬尘，施工卸料、堆放产生的扬尘，施工现场扬尘，沥青路面施工产生的沥青烟气，施工机械和车辆排放的尾气。</w:t>
            </w:r>
          </w:p>
          <w:p>
            <w:pPr>
              <w:bidi w:val="0"/>
              <w:ind w:firstLine="480" w:firstLineChars="200"/>
              <w:rPr>
                <w:u w:val="single"/>
              </w:rPr>
            </w:pPr>
            <w:r>
              <w:rPr>
                <w:u w:val="single"/>
              </w:rPr>
              <w:t>（</w:t>
            </w:r>
            <w:r>
              <w:rPr>
                <w:rFonts w:hint="eastAsia"/>
                <w:u w:val="single"/>
              </w:rPr>
              <w:t>1</w:t>
            </w:r>
            <w:r>
              <w:rPr>
                <w:u w:val="single"/>
              </w:rPr>
              <w:t>）道路扬尘</w:t>
            </w:r>
          </w:p>
          <w:p>
            <w:pPr>
              <w:bidi w:val="0"/>
              <w:ind w:firstLine="480" w:firstLineChars="200"/>
              <w:rPr>
                <w:u w:val="single"/>
              </w:rPr>
            </w:pPr>
            <w:r>
              <w:rPr>
                <w:u w:val="single"/>
              </w:rPr>
              <w:t>在对大气环境的影响中，运输车辆引起的扬尘影响最大、时间较长，运输车辆引起的扬尘影响程度因施工场地内地表破坏、表土裸露而加重，一般扬尘量与汽车速度、汽车重量、道路表面积尘量成正比例关系，据有关方面的研究，当汽车运送土方时，行车道路两侧的扬尘短期浓度可达8～10mg/m</w:t>
            </w:r>
            <w:r>
              <w:rPr>
                <w:u w:val="single"/>
                <w:vertAlign w:val="superscript"/>
              </w:rPr>
              <w:t>3</w:t>
            </w:r>
            <w:r>
              <w:rPr>
                <w:u w:val="single"/>
              </w:rPr>
              <w:t>，超过《环境空气质量标准》（GB3095-2012）中的二级标准限值。但是，道路扬尘浓度随距离增加迅速下降，扬尘下风向200m处的浓度几乎接近上风向对照点的浓度。应加强对施工期的环境空气监测和运输道路的车辆管理工作，减轻道路扬尘造成的空气污染。</w:t>
            </w:r>
          </w:p>
          <w:p>
            <w:pPr>
              <w:bidi w:val="0"/>
              <w:ind w:firstLine="480" w:firstLineChars="200"/>
              <w:rPr>
                <w:u w:val="single"/>
              </w:rPr>
            </w:pPr>
            <w:r>
              <w:rPr>
                <w:u w:val="single"/>
              </w:rPr>
              <w:t>（</w:t>
            </w:r>
            <w:r>
              <w:rPr>
                <w:rFonts w:hint="eastAsia"/>
                <w:u w:val="single"/>
              </w:rPr>
              <w:t>2</w:t>
            </w:r>
            <w:r>
              <w:rPr>
                <w:u w:val="single"/>
              </w:rPr>
              <w:t>）堆场扬尘</w:t>
            </w:r>
          </w:p>
          <w:p>
            <w:pPr>
              <w:bidi w:val="0"/>
              <w:ind w:firstLine="480" w:firstLineChars="200"/>
              <w:rPr>
                <w:u w:val="single"/>
              </w:rPr>
            </w:pPr>
            <w:r>
              <w:rPr>
                <w:u w:val="single"/>
              </w:rPr>
              <w:t>道路施工阶段扬尘的另一个主要来源是露天堆场和裸露场地的风力扬尘。由于施工需要，一些建筑材料需露天堆放，一些施工作业点表层土壤需人工开挖且临时堆放，在气候干燥又有风的情况下，会产生扬尘，堆场物料的种类、性质及风速与起尘量有很大关系，比重小的物料容易受扰动而起尘，物料中小颗粒比例大时起尘量相应也大。堆场的扬尘包括料堆的风吹扬尘、装卸扬尘和过往车辆引起路面积尘二次扬尘等，这将产生较大的扬尘污染，会对周围环境带来一定的影响，但通过洒水可有效地抑制扬尘量，可使扬尘量减少70%。此外，对一些粉状材料采取一些防风措施也将有效减少扬尘污染。堆场扬尘量可按堆场起尘的经验公式计算：</w:t>
            </w:r>
          </w:p>
          <w:p>
            <w:pPr>
              <w:jc w:val="center"/>
              <w:rPr>
                <w:spacing w:val="4"/>
                <w:u w:val="single"/>
              </w:rPr>
            </w:pPr>
            <w:r>
              <w:rPr>
                <w:spacing w:val="4"/>
                <w:position w:val="-12"/>
                <w:u w:val="single"/>
              </w:rPr>
              <w:object>
                <v:shape id="_x0000_i1025" o:spt="75" type="#_x0000_t75" style="height:20.85pt;width:138.3pt;" o:ole="t" fillcolor="#6D6D6D"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pPr>
              <w:spacing w:line="480" w:lineRule="exact"/>
              <w:ind w:firstLine="496" w:firstLineChars="200"/>
              <w:rPr>
                <w:spacing w:val="4"/>
                <w:sz w:val="24"/>
                <w:u w:val="single"/>
              </w:rPr>
            </w:pPr>
            <w:r>
              <w:rPr>
                <w:spacing w:val="4"/>
                <w:sz w:val="24"/>
                <w:u w:val="single"/>
              </w:rPr>
              <w:t>式中：</w:t>
            </w:r>
            <w:r>
              <w:rPr>
                <w:i/>
                <w:spacing w:val="4"/>
                <w:sz w:val="24"/>
                <w:u w:val="single"/>
              </w:rPr>
              <w:t>Q</w:t>
            </w:r>
            <w:r>
              <w:rPr>
                <w:spacing w:val="4"/>
                <w:sz w:val="24"/>
                <w:u w:val="single"/>
              </w:rPr>
              <w:t>——起尘量，kg/</w:t>
            </w:r>
            <w:r>
              <w:rPr>
                <w:rFonts w:hint="eastAsia"/>
                <w:spacing w:val="4"/>
                <w:sz w:val="24"/>
                <w:u w:val="single"/>
                <w:lang w:eastAsia="zh-CN"/>
              </w:rPr>
              <w:t>（</w:t>
            </w:r>
            <w:r>
              <w:rPr>
                <w:spacing w:val="4"/>
                <w:sz w:val="24"/>
                <w:u w:val="single"/>
              </w:rPr>
              <w:t>吨</w:t>
            </w:r>
            <w:r>
              <w:rPr>
                <w:rFonts w:hint="eastAsia" w:ascii="宋体" w:hAnsi="宋体" w:eastAsia="宋体" w:cs="宋体"/>
                <w:spacing w:val="4"/>
                <w:sz w:val="24"/>
                <w:u w:val="single"/>
              </w:rPr>
              <w:t>·</w:t>
            </w:r>
            <w:r>
              <w:rPr>
                <w:spacing w:val="4"/>
                <w:sz w:val="24"/>
                <w:u w:val="single"/>
              </w:rPr>
              <w:t>年</w:t>
            </w:r>
            <w:r>
              <w:rPr>
                <w:rFonts w:hint="eastAsia"/>
                <w:spacing w:val="4"/>
                <w:sz w:val="24"/>
                <w:u w:val="single"/>
                <w:lang w:eastAsia="zh-CN"/>
              </w:rPr>
              <w:t>）</w:t>
            </w:r>
            <w:r>
              <w:rPr>
                <w:spacing w:val="4"/>
                <w:sz w:val="24"/>
                <w:u w:val="single"/>
              </w:rPr>
              <w:t>；</w:t>
            </w:r>
          </w:p>
          <w:p>
            <w:pPr>
              <w:bidi w:val="0"/>
              <w:ind w:firstLine="1200" w:firstLineChars="500"/>
              <w:rPr>
                <w:u w:val="single"/>
              </w:rPr>
            </w:pPr>
            <w:r>
              <w:rPr>
                <w:u w:val="single"/>
              </w:rPr>
              <w:t>V</w:t>
            </w:r>
            <w:r>
              <w:rPr>
                <w:u w:val="single"/>
                <w:vertAlign w:val="subscript"/>
              </w:rPr>
              <w:t>50</w:t>
            </w:r>
            <w:r>
              <w:rPr>
                <w:u w:val="single"/>
              </w:rPr>
              <w:t>——距地面50m处风速，m/s；</w:t>
            </w:r>
          </w:p>
          <w:p>
            <w:pPr>
              <w:bidi w:val="0"/>
              <w:ind w:firstLine="1200" w:firstLineChars="500"/>
              <w:rPr>
                <w:u w:val="single"/>
              </w:rPr>
            </w:pPr>
            <w:r>
              <w:rPr>
                <w:u w:val="single"/>
              </w:rPr>
              <w:t>V</w:t>
            </w:r>
            <w:r>
              <w:rPr>
                <w:u w:val="single"/>
                <w:vertAlign w:val="subscript"/>
              </w:rPr>
              <w:t>0</w:t>
            </w:r>
            <w:r>
              <w:rPr>
                <w:u w:val="single"/>
              </w:rPr>
              <w:t>——起尘风速，m/s；</w:t>
            </w:r>
          </w:p>
          <w:p>
            <w:pPr>
              <w:bidi w:val="0"/>
              <w:ind w:firstLine="1200" w:firstLineChars="500"/>
              <w:rPr>
                <w:u w:val="single"/>
              </w:rPr>
            </w:pPr>
            <w:r>
              <w:rPr>
                <w:u w:val="single"/>
              </w:rPr>
              <w:t>W——尘粒的含水率，%。</w:t>
            </w:r>
          </w:p>
          <w:p>
            <w:pPr>
              <w:bidi w:val="0"/>
              <w:ind w:firstLine="480" w:firstLineChars="200"/>
              <w:rPr>
                <w:u w:val="single"/>
              </w:rPr>
            </w:pPr>
            <w:r>
              <w:rPr>
                <w:u w:val="single"/>
              </w:rPr>
              <w:t>起尘风速与粒径和含水率有关，</w:t>
            </w:r>
            <w:r>
              <w:rPr>
                <w:rFonts w:hint="eastAsia"/>
                <w:u w:val="single"/>
                <w:lang w:eastAsia="zh-CN"/>
              </w:rPr>
              <w:t>故</w:t>
            </w:r>
            <w:r>
              <w:rPr>
                <w:u w:val="single"/>
              </w:rPr>
              <w:t>减少露天堆放</w:t>
            </w:r>
            <w:r>
              <w:rPr>
                <w:rFonts w:hint="eastAsia"/>
                <w:u w:val="single"/>
                <w:lang w:eastAsia="zh-CN"/>
              </w:rPr>
              <w:t>、</w:t>
            </w:r>
            <w:r>
              <w:rPr>
                <w:u w:val="single"/>
              </w:rPr>
              <w:t>保证一定的含水率及减少裸露地面是减少风力起尘的有效手段。粉尘在空气中的扩散稀释与风速等气象条件有关，也与粉尘本身的沉降速度有关。不同粒径粉尘的沉降速度见表</w:t>
            </w:r>
            <w:r>
              <w:rPr>
                <w:rFonts w:hint="eastAsia"/>
                <w:u w:val="single"/>
                <w:lang w:val="en-US" w:eastAsia="zh-CN"/>
              </w:rPr>
              <w:t>23</w:t>
            </w:r>
            <w:r>
              <w:rPr>
                <w:u w:val="single"/>
              </w:rPr>
              <w:t>。由表可知，粉尘的沉降速度随粒径的增大而迅速增大。当粒径为250</w:t>
            </w:r>
            <w:r>
              <w:rPr>
                <w:u w:val="single"/>
              </w:rPr>
              <w:sym w:font="Symbol" w:char="F06D"/>
            </w:r>
            <w:r>
              <w:rPr>
                <w:u w:val="single"/>
              </w:rPr>
              <w:t>m时，沉降速度为1.005m/s，因此可以认为当尘粒大于250</w:t>
            </w:r>
            <w:r>
              <w:rPr>
                <w:u w:val="single"/>
              </w:rPr>
              <w:sym w:font="Symbol" w:char="F06D"/>
            </w:r>
            <w:r>
              <w:rPr>
                <w:u w:val="single"/>
              </w:rPr>
              <w:t>m时，主要影响范围在扬尘点下风向近距离范围内，而真正对外环境产生影响的是一些微小粒径的粉尘。</w:t>
            </w:r>
          </w:p>
          <w:p>
            <w:pPr>
              <w:spacing w:line="480" w:lineRule="exact"/>
              <w:jc w:val="center"/>
              <w:rPr>
                <w:b/>
                <w:bCs/>
                <w:sz w:val="24"/>
                <w:u w:val="single"/>
              </w:rPr>
            </w:pPr>
            <w:r>
              <w:rPr>
                <w:b/>
                <w:bCs/>
                <w:sz w:val="24"/>
                <w:u w:val="single"/>
              </w:rPr>
              <w:t>表</w:t>
            </w:r>
            <w:r>
              <w:rPr>
                <w:rFonts w:hint="eastAsia"/>
                <w:b/>
                <w:bCs/>
                <w:sz w:val="24"/>
                <w:u w:val="single"/>
                <w:lang w:val="en-US" w:eastAsia="zh-CN"/>
              </w:rPr>
              <w:t>23</w:t>
            </w:r>
            <w:r>
              <w:rPr>
                <w:b/>
                <w:bCs/>
                <w:sz w:val="24"/>
                <w:u w:val="single"/>
              </w:rPr>
              <w:t xml:space="preserve">  不同粒径尘粒的沉降速度</w:t>
            </w:r>
          </w:p>
          <w:tbl>
            <w:tblPr>
              <w:tblStyle w:val="34"/>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5"/>
              <w:gridCol w:w="1005"/>
              <w:gridCol w:w="1004"/>
              <w:gridCol w:w="1004"/>
              <w:gridCol w:w="1007"/>
              <w:gridCol w:w="1005"/>
              <w:gridCol w:w="1003"/>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粉尘粒径 (</w:t>
                  </w:r>
                  <w:r>
                    <w:rPr>
                      <w:sz w:val="21"/>
                      <w:szCs w:val="21"/>
                      <w:u w:val="single"/>
                    </w:rPr>
                    <w:sym w:font="Symbol" w:char="F06D"/>
                  </w:r>
                  <w:r>
                    <w:rPr>
                      <w:sz w:val="21"/>
                      <w:szCs w:val="21"/>
                      <w:u w:val="single"/>
                    </w:rPr>
                    <w:t>m)</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10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30</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40</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50</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60</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沉降速度 (m/s)</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0.003</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0.012</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0.027</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0.048</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0.075</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0.108</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粉尘粒径 (</w:t>
                  </w:r>
                  <w:r>
                    <w:rPr>
                      <w:sz w:val="21"/>
                      <w:szCs w:val="21"/>
                      <w:u w:val="single"/>
                    </w:rPr>
                    <w:sym w:font="Symbol" w:char="F06D"/>
                  </w:r>
                  <w:r>
                    <w:rPr>
                      <w:sz w:val="21"/>
                      <w:szCs w:val="21"/>
                      <w:u w:val="single"/>
                    </w:rPr>
                    <w:t>m)</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80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90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100</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150</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200</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250</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沉降速度 (m/s)</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0.158</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0.170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0.182</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0.239</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0.804</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1.005</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粉尘粒径 (</w:t>
                  </w:r>
                  <w:r>
                    <w:rPr>
                      <w:sz w:val="21"/>
                      <w:szCs w:val="21"/>
                      <w:u w:val="single"/>
                    </w:rPr>
                    <w:sym w:font="Symbol" w:char="F06D"/>
                  </w:r>
                  <w:r>
                    <w:rPr>
                      <w:sz w:val="21"/>
                      <w:szCs w:val="21"/>
                      <w:u w:val="single"/>
                    </w:rPr>
                    <w:t>m)</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450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550</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650</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750</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850</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950</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沉降速度 (m/s)</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2.211</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2.614</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3.016</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3.418</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3.820</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4.222</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4.624</w:t>
                  </w:r>
                </w:p>
              </w:tc>
            </w:tr>
          </w:tbl>
          <w:p>
            <w:pPr>
              <w:bidi w:val="0"/>
              <w:ind w:firstLine="480" w:firstLineChars="200"/>
              <w:rPr>
                <w:u w:val="single"/>
              </w:rPr>
            </w:pPr>
            <w:r>
              <w:rPr>
                <w:u w:val="single"/>
              </w:rPr>
              <w:t>本环评建议施工过程中尽量减少施工材料的堆存时间和堆存量，加快物料的周转速度，最大限度减少路面扬尘的产生量。对于运输过程应使用帆布遮盖，避免物料沿途遗洒，减少运输二次扬尘对周围环境的影响。</w:t>
            </w:r>
          </w:p>
          <w:p>
            <w:pPr>
              <w:bidi w:val="0"/>
              <w:ind w:firstLine="480" w:firstLineChars="200"/>
              <w:rPr>
                <w:u w:val="single"/>
              </w:rPr>
            </w:pPr>
            <w:r>
              <w:rPr>
                <w:u w:val="single"/>
              </w:rPr>
              <w:t>（</w:t>
            </w:r>
            <w:r>
              <w:rPr>
                <w:rFonts w:hint="eastAsia"/>
                <w:u w:val="single"/>
              </w:rPr>
              <w:t>3</w:t>
            </w:r>
            <w:r>
              <w:rPr>
                <w:u w:val="single"/>
              </w:rPr>
              <w:t>）施工现场扬尘</w:t>
            </w:r>
          </w:p>
          <w:p>
            <w:pPr>
              <w:bidi w:val="0"/>
              <w:ind w:firstLine="480" w:firstLineChars="200"/>
              <w:rPr>
                <w:u w:val="single"/>
              </w:rPr>
            </w:pPr>
            <w:r>
              <w:rPr>
                <w:u w:val="single"/>
              </w:rPr>
              <w:t>在修筑路面时，未完成路面也有可能产生一定的扬尘影响，主要是路面的初期开挖及填方过程中路面土壤暴露在有风天气产生扬尘</w:t>
            </w:r>
            <w:r>
              <w:rPr>
                <w:rFonts w:hint="eastAsia"/>
                <w:u w:val="single"/>
                <w:lang w:eastAsia="zh-CN"/>
              </w:rPr>
              <w:t>。</w:t>
            </w:r>
            <w:r>
              <w:rPr>
                <w:u w:val="single"/>
              </w:rPr>
              <w:t>施工进程的不同，其对环境空气的影响程度也不同。由于扬尘影响情况的不确定性，类比道路施工期不同阶段扬尘监测结果分析本项目施工现场的扬尘污染情况，具体详见表</w:t>
            </w:r>
            <w:r>
              <w:rPr>
                <w:rFonts w:hint="eastAsia"/>
                <w:u w:val="single"/>
                <w:lang w:val="en-US" w:eastAsia="zh-CN"/>
              </w:rPr>
              <w:t>24</w:t>
            </w:r>
            <w:r>
              <w:rPr>
                <w:u w:val="single"/>
              </w:rPr>
              <w:t>。</w:t>
            </w:r>
          </w:p>
          <w:p>
            <w:pPr>
              <w:jc w:val="center"/>
              <w:rPr>
                <w:b/>
                <w:bCs/>
                <w:sz w:val="24"/>
                <w:u w:val="single"/>
              </w:rPr>
            </w:pPr>
          </w:p>
          <w:p>
            <w:pPr>
              <w:jc w:val="center"/>
              <w:rPr>
                <w:b/>
                <w:bCs/>
                <w:sz w:val="24"/>
                <w:u w:val="single"/>
              </w:rPr>
            </w:pPr>
            <w:r>
              <w:rPr>
                <w:b/>
                <w:bCs/>
                <w:sz w:val="24"/>
                <w:u w:val="single"/>
              </w:rPr>
              <w:t>表</w:t>
            </w:r>
            <w:r>
              <w:rPr>
                <w:rFonts w:hint="eastAsia"/>
                <w:b/>
                <w:bCs/>
                <w:sz w:val="24"/>
                <w:u w:val="single"/>
                <w:lang w:val="en-US" w:eastAsia="zh-CN"/>
              </w:rPr>
              <w:t>24</w:t>
            </w:r>
            <w:r>
              <w:rPr>
                <w:b/>
                <w:bCs/>
                <w:sz w:val="24"/>
                <w:u w:val="single"/>
              </w:rPr>
              <w:t xml:space="preserve">   道路施工期不同阶段扬尘监测结果表</w:t>
            </w:r>
          </w:p>
          <w:tbl>
            <w:tblPr>
              <w:tblStyle w:val="34"/>
              <w:tblW w:w="88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54"/>
              <w:gridCol w:w="2070"/>
              <w:gridCol w:w="2311"/>
              <w:gridCol w:w="23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5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施工类型</w:t>
                  </w:r>
                </w:p>
              </w:tc>
              <w:tc>
                <w:tcPr>
                  <w:tcW w:w="2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与道路边界距离（m）</w:t>
                  </w:r>
                </w:p>
              </w:tc>
              <w:tc>
                <w:tcPr>
                  <w:tcW w:w="231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PM</w:t>
                  </w:r>
                  <w:r>
                    <w:rPr>
                      <w:sz w:val="21"/>
                      <w:szCs w:val="21"/>
                      <w:u w:val="single"/>
                      <w:vertAlign w:val="subscript"/>
                    </w:rPr>
                    <w:t>10</w:t>
                  </w:r>
                  <w:r>
                    <w:rPr>
                      <w:sz w:val="21"/>
                      <w:szCs w:val="21"/>
                      <w:u w:val="single"/>
                    </w:rPr>
                    <w:t>日均值（mg/Nm</w:t>
                  </w:r>
                  <w:r>
                    <w:rPr>
                      <w:sz w:val="21"/>
                      <w:szCs w:val="21"/>
                      <w:u w:val="single"/>
                      <w:vertAlign w:val="superscript"/>
                    </w:rPr>
                    <w:t>3</w:t>
                  </w:r>
                  <w:r>
                    <w:rPr>
                      <w:sz w:val="21"/>
                      <w:szCs w:val="21"/>
                      <w:u w:val="single"/>
                    </w:rPr>
                    <w:t>）</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TSP日均值（mg/Nm</w:t>
                  </w:r>
                  <w:r>
                    <w:rPr>
                      <w:sz w:val="21"/>
                      <w:szCs w:val="21"/>
                      <w:u w:val="single"/>
                      <w:vertAlign w:val="superscript"/>
                    </w:rPr>
                    <w:t>3</w:t>
                  </w:r>
                  <w:r>
                    <w:rPr>
                      <w:sz w:val="21"/>
                      <w:szCs w:val="21"/>
                      <w:u w:val="singl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5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路面工程</w:t>
                  </w:r>
                </w:p>
              </w:tc>
              <w:tc>
                <w:tcPr>
                  <w:tcW w:w="2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20</w:t>
                  </w:r>
                </w:p>
              </w:tc>
              <w:tc>
                <w:tcPr>
                  <w:tcW w:w="231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0.12～0.24</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0.27～0.53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5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路基平整</w:t>
                  </w:r>
                </w:p>
              </w:tc>
              <w:tc>
                <w:tcPr>
                  <w:tcW w:w="2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20</w:t>
                  </w:r>
                </w:p>
              </w:tc>
              <w:tc>
                <w:tcPr>
                  <w:tcW w:w="231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0.10～0.11</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0.20～0.22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5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平整路面</w:t>
                  </w:r>
                </w:p>
              </w:tc>
              <w:tc>
                <w:tcPr>
                  <w:tcW w:w="2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20</w:t>
                  </w:r>
                </w:p>
              </w:tc>
              <w:tc>
                <w:tcPr>
                  <w:tcW w:w="231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0.11～0.12</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0.22～0.23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5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边坡修整、护栏施工</w:t>
                  </w:r>
                </w:p>
              </w:tc>
              <w:tc>
                <w:tcPr>
                  <w:tcW w:w="2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20</w:t>
                  </w:r>
                </w:p>
              </w:tc>
              <w:tc>
                <w:tcPr>
                  <w:tcW w:w="231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0.05～0.11</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5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路面清整</w:t>
                  </w:r>
                </w:p>
              </w:tc>
              <w:tc>
                <w:tcPr>
                  <w:tcW w:w="2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20</w:t>
                  </w:r>
                </w:p>
              </w:tc>
              <w:tc>
                <w:tcPr>
                  <w:tcW w:w="231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0.10～0.12</w:t>
                  </w:r>
                </w:p>
              </w:tc>
              <w:tc>
                <w:tcPr>
                  <w:tcW w:w="23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0.18～0.19</w:t>
                  </w:r>
                </w:p>
              </w:tc>
            </w:tr>
          </w:tbl>
          <w:p>
            <w:pPr>
              <w:bidi w:val="0"/>
              <w:ind w:firstLine="480" w:firstLineChars="200"/>
              <w:rPr>
                <w:u w:val="single"/>
              </w:rPr>
            </w:pPr>
            <w:r>
              <w:rPr>
                <w:u w:val="single"/>
              </w:rPr>
              <w:t>由表</w:t>
            </w:r>
            <w:r>
              <w:rPr>
                <w:rFonts w:hint="eastAsia"/>
                <w:u w:val="single"/>
                <w:lang w:val="en-US" w:eastAsia="zh-CN"/>
              </w:rPr>
              <w:t>24</w:t>
            </w:r>
            <w:r>
              <w:rPr>
                <w:u w:val="single"/>
              </w:rPr>
              <w:t>可见，路基平整、平整路面、边坡修整、护栏施工、路面清整阶段距离道路边界20m外PMl0、TSP日均值均符合《环境空气质量标准》(GB3095-2012)二级标准；路面工程施工阶段距离道路边界20m外PM10、TSP有可能出现超标现象，其余施工阶段均无超标。因此，应合理安排施工，在敏感点附近路段施工时，应设置围挡，选择无风或风较小的天气，并避免将扬尘量大的工序安排在敏感点的正上风向。采取以上预防措施后，施工现场扬尘对周围敏感点的影响较小。</w:t>
            </w:r>
          </w:p>
          <w:p>
            <w:pPr>
              <w:bidi w:val="0"/>
              <w:ind w:firstLine="480" w:firstLineChars="200"/>
              <w:rPr>
                <w:szCs w:val="20"/>
                <w:u w:val="single"/>
              </w:rPr>
            </w:pPr>
            <w:r>
              <w:rPr>
                <w:u w:val="single"/>
              </w:rPr>
              <w:t>项目施工期扬尘控制应遵循6条新规，即：全封闭施工、场地坪硬化、烟尘控制、运输车辆管理、专项方案编制、施工湿法作业。根据规定，建筑工地围挡高度不得低于1.8米。</w:t>
            </w:r>
            <w:r>
              <w:rPr>
                <w:rFonts w:hint="eastAsia"/>
                <w:u w:val="single"/>
              </w:rPr>
              <w:t>在项目施工场地、主要运输路段和设置雾炮机，进行扬尘控制。</w:t>
            </w:r>
          </w:p>
          <w:p>
            <w:pPr>
              <w:bidi w:val="0"/>
              <w:ind w:firstLine="480" w:firstLineChars="200"/>
              <w:rPr>
                <w:u w:val="single"/>
              </w:rPr>
            </w:pPr>
            <w:r>
              <w:rPr>
                <w:u w:val="single"/>
              </w:rPr>
              <w:t>（</w:t>
            </w:r>
            <w:r>
              <w:rPr>
                <w:rFonts w:hint="eastAsia"/>
                <w:u w:val="single"/>
              </w:rPr>
              <w:t>4</w:t>
            </w:r>
            <w:r>
              <w:rPr>
                <w:u w:val="single"/>
              </w:rPr>
              <w:t>）沥青烟气</w:t>
            </w:r>
          </w:p>
          <w:p>
            <w:pPr>
              <w:bidi w:val="0"/>
              <w:ind w:firstLine="480" w:firstLineChars="200"/>
              <w:rPr>
                <w:u w:val="single"/>
              </w:rPr>
            </w:pPr>
            <w:r>
              <w:rPr>
                <w:u w:val="single"/>
              </w:rPr>
              <w:t>建设项目全线为沥青混凝土路面（使用商品沥青混凝土，拟从当地购买），沥青的摊铺时会产生以THC、TSP和Ba</w:t>
            </w:r>
            <w:r>
              <w:rPr>
                <w:rFonts w:hint="eastAsia"/>
                <w:u w:val="single"/>
                <w:lang w:val="en-US" w:eastAsia="zh-CN"/>
              </w:rPr>
              <w:t xml:space="preserve"> </w:t>
            </w:r>
            <w:r>
              <w:rPr>
                <w:u w:val="single"/>
              </w:rPr>
              <w:t>P</w:t>
            </w:r>
            <w:r>
              <w:rPr>
                <w:rFonts w:hint="eastAsia"/>
                <w:u w:val="single"/>
                <w:lang w:eastAsia="zh-CN"/>
              </w:rPr>
              <w:t>（</w:t>
            </w:r>
            <w:r>
              <w:rPr>
                <w:rFonts w:hint="eastAsia"/>
                <w:u w:val="single"/>
              </w:rPr>
              <w:t>苯并芘</w:t>
            </w:r>
            <w:r>
              <w:rPr>
                <w:rFonts w:hint="eastAsia"/>
                <w:u w:val="single"/>
                <w:lang w:eastAsia="zh-CN"/>
              </w:rPr>
              <w:t>）</w:t>
            </w:r>
            <w:r>
              <w:rPr>
                <w:u w:val="single"/>
              </w:rPr>
              <w:t>为主的烟尘，根据工程类比资料，沥青烟气排放的浓度约12.5～15mg/m</w:t>
            </w:r>
            <w:r>
              <w:rPr>
                <w:u w:val="single"/>
                <w:vertAlign w:val="superscript"/>
              </w:rPr>
              <w:t>3</w:t>
            </w:r>
            <w:r>
              <w:rPr>
                <w:u w:val="single"/>
              </w:rPr>
              <w:t>，其中THC和Ba</w:t>
            </w:r>
            <w:r>
              <w:rPr>
                <w:rFonts w:hint="eastAsia"/>
                <w:u w:val="single"/>
                <w:lang w:val="en-US" w:eastAsia="zh-CN"/>
              </w:rPr>
              <w:t xml:space="preserve"> </w:t>
            </w:r>
            <w:r>
              <w:rPr>
                <w:u w:val="single"/>
              </w:rPr>
              <w:t>P为有害物质，对空气将造成一定的污染，对人体也有伤害。</w:t>
            </w:r>
          </w:p>
          <w:p>
            <w:pPr>
              <w:bidi w:val="0"/>
              <w:ind w:firstLine="480" w:firstLineChars="200"/>
              <w:rPr>
                <w:rFonts w:hint="eastAsia"/>
                <w:u w:val="single"/>
              </w:rPr>
            </w:pPr>
            <w:r>
              <w:rPr>
                <w:rFonts w:hint="eastAsia"/>
                <w:u w:val="single"/>
              </w:rPr>
              <w:t>（5）施工机械及运输车辆尾气</w:t>
            </w:r>
          </w:p>
          <w:p>
            <w:pPr>
              <w:bidi w:val="0"/>
              <w:ind w:firstLine="480" w:firstLineChars="200"/>
              <w:rPr>
                <w:rFonts w:hint="eastAsia"/>
                <w:u w:val="single"/>
              </w:rPr>
            </w:pPr>
            <w:r>
              <w:rPr>
                <w:rFonts w:hint="eastAsia"/>
                <w:u w:val="single"/>
              </w:rPr>
              <w:t>项目施工过程中以燃油为动力的施工机械为主，运输车辆会在施工场地附近排放少量燃油废气，施工单位应加强施工机械设备的维护，选用合格的燃油，避免排放未完全燃烧的黑烟，减轻施工机械尾气对周围空气环境的影响。项目建设施工中施工机械运行产生的废气、运输车辆运输产生的尾气均由柴油和汽油燃烧后所产生，为影响大气环境的主要污染物之一，其主要污染成分是THC、CO和NO</w:t>
            </w:r>
            <w:r>
              <w:rPr>
                <w:rFonts w:hint="eastAsia"/>
                <w:u w:val="single"/>
                <w:vertAlign w:val="subscript"/>
              </w:rPr>
              <w:t>X</w:t>
            </w:r>
            <w:r>
              <w:rPr>
                <w:rFonts w:hint="eastAsia"/>
                <w:u w:val="single"/>
              </w:rPr>
              <w:t>，属无组织排放源。施工现场场地地形开阔，有利于燃油废气的扩散。因此，施工期机械尾气对沿线大气环境质量影响较小，且影响是短暂的，随着施工的结束而消失。</w:t>
            </w:r>
          </w:p>
          <w:p>
            <w:pPr>
              <w:bidi w:val="0"/>
              <w:ind w:firstLine="480" w:firstLineChars="200"/>
              <w:rPr>
                <w:rFonts w:hint="eastAsia"/>
                <w:u w:val="single"/>
              </w:rPr>
            </w:pPr>
            <w:r>
              <w:rPr>
                <w:rFonts w:hint="eastAsia"/>
                <w:u w:val="single"/>
              </w:rPr>
              <w:t>（6）拆迁扬尘</w:t>
            </w:r>
          </w:p>
          <w:p>
            <w:pPr>
              <w:bidi w:val="0"/>
              <w:ind w:firstLine="480" w:firstLineChars="200"/>
              <w:rPr>
                <w:u w:val="single"/>
              </w:rPr>
            </w:pPr>
            <w:r>
              <w:rPr>
                <w:rFonts w:hint="eastAsia"/>
                <w:u w:val="single"/>
              </w:rPr>
              <w:t>本项目涉及的拆迁面积为</w:t>
            </w:r>
            <w:r>
              <w:rPr>
                <w:rFonts w:hint="eastAsia"/>
                <w:u w:val="single"/>
                <w:lang w:val="en-US" w:eastAsia="zh-CN"/>
              </w:rPr>
              <w:t>6220.34</w:t>
            </w:r>
            <w:r>
              <w:rPr>
                <w:rFonts w:hint="eastAsia"/>
                <w:highlight w:val="none"/>
                <w:u w:val="single"/>
                <w:lang w:val="en-US" w:eastAsia="zh-CN"/>
              </w:rPr>
              <w:t>m</w:t>
            </w:r>
            <w:r>
              <w:rPr>
                <w:rFonts w:hint="eastAsia"/>
                <w:highlight w:val="none"/>
                <w:u w:val="single"/>
                <w:vertAlign w:val="superscript"/>
                <w:lang w:val="en-US" w:eastAsia="zh-CN"/>
              </w:rPr>
              <w:t>2</w:t>
            </w:r>
            <w:r>
              <w:rPr>
                <w:rFonts w:hint="eastAsia"/>
                <w:u w:val="single"/>
              </w:rPr>
              <w:t>，主要为砖混结构，类比同类型项目，拆迁产生的大气污染物主要为粉尘，属于无组织排放源。</w:t>
            </w:r>
          </w:p>
          <w:p>
            <w:pPr>
              <w:tabs>
                <w:tab w:val="left" w:pos="1280"/>
              </w:tabs>
              <w:ind w:firstLine="482" w:firstLineChars="200"/>
              <w:textAlignment w:val="baseline"/>
              <w:rPr>
                <w:b/>
                <w:bCs/>
                <w:sz w:val="24"/>
              </w:rPr>
            </w:pPr>
            <w:r>
              <w:rPr>
                <w:b/>
                <w:bCs/>
                <w:sz w:val="24"/>
              </w:rPr>
              <w:t>1.3 施工期</w:t>
            </w:r>
            <w:r>
              <w:rPr>
                <w:rFonts w:hint="eastAsia"/>
                <w:b/>
                <w:bCs/>
                <w:sz w:val="24"/>
              </w:rPr>
              <w:t>噪声</w:t>
            </w:r>
            <w:r>
              <w:rPr>
                <w:b/>
                <w:bCs/>
                <w:sz w:val="24"/>
              </w:rPr>
              <w:t>污染源分析</w:t>
            </w:r>
          </w:p>
          <w:p>
            <w:pPr>
              <w:bidi w:val="0"/>
              <w:ind w:firstLine="480" w:firstLineChars="200"/>
              <w:rPr>
                <w:u w:val="single"/>
              </w:rPr>
            </w:pPr>
            <w:r>
              <w:rPr>
                <w:u w:val="single"/>
              </w:rPr>
              <w:t>施工期噪声主要来源于施工机械和运输车辆产生的噪声。本项目可能用到的筑路机械主要有装载机、破碎机、压路机、摊铺机等，运输车辆包括各种卡车、自卸车。根据常用机械的实测资料，其污染源强见表2</w:t>
            </w:r>
            <w:r>
              <w:rPr>
                <w:rFonts w:hint="eastAsia"/>
                <w:u w:val="single"/>
                <w:lang w:val="en-US" w:eastAsia="zh-CN"/>
              </w:rPr>
              <w:t>5</w:t>
            </w:r>
            <w:r>
              <w:rPr>
                <w:u w:val="single"/>
              </w:rPr>
              <w:t>。</w:t>
            </w:r>
          </w:p>
          <w:p>
            <w:pPr>
              <w:tabs>
                <w:tab w:val="left" w:pos="1280"/>
              </w:tabs>
              <w:ind w:firstLine="482" w:firstLineChars="200"/>
              <w:jc w:val="center"/>
              <w:textAlignment w:val="baseline"/>
              <w:rPr>
                <w:b/>
                <w:bCs/>
                <w:color w:val="000000" w:themeColor="text1"/>
                <w:sz w:val="24"/>
                <w:u w:val="single"/>
                <w14:textFill>
                  <w14:solidFill>
                    <w14:schemeClr w14:val="tx1"/>
                  </w14:solidFill>
                </w14:textFill>
              </w:rPr>
            </w:pPr>
            <w:r>
              <w:rPr>
                <w:b/>
                <w:bCs/>
                <w:color w:val="000000" w:themeColor="text1"/>
                <w:sz w:val="24"/>
                <w:u w:val="single"/>
                <w14:textFill>
                  <w14:solidFill>
                    <w14:schemeClr w14:val="tx1"/>
                  </w14:solidFill>
                </w14:textFill>
              </w:rPr>
              <w:t>表</w:t>
            </w:r>
            <w:r>
              <w:rPr>
                <w:rFonts w:hint="eastAsia"/>
                <w:b/>
                <w:bCs/>
                <w:color w:val="000000" w:themeColor="text1"/>
                <w:sz w:val="24"/>
                <w:u w:val="single"/>
                <w:lang w:val="en-US" w:eastAsia="zh-CN"/>
                <w14:textFill>
                  <w14:solidFill>
                    <w14:schemeClr w14:val="tx1"/>
                  </w14:solidFill>
                </w14:textFill>
              </w:rPr>
              <w:t xml:space="preserve">25 </w:t>
            </w:r>
            <w:r>
              <w:rPr>
                <w:rFonts w:hint="eastAsia"/>
                <w:b/>
                <w:bCs/>
                <w:color w:val="000000" w:themeColor="text1"/>
                <w:sz w:val="24"/>
                <w:u w:val="single"/>
                <w14:textFill>
                  <w14:solidFill>
                    <w14:schemeClr w14:val="tx1"/>
                  </w14:solidFill>
                </w14:textFill>
              </w:rPr>
              <w:t xml:space="preserve">  </w:t>
            </w:r>
            <w:r>
              <w:rPr>
                <w:b/>
                <w:bCs/>
                <w:color w:val="000000" w:themeColor="text1"/>
                <w:sz w:val="24"/>
                <w:u w:val="single"/>
                <w14:textFill>
                  <w14:solidFill>
                    <w14:schemeClr w14:val="tx1"/>
                  </w14:solidFill>
                </w14:textFill>
              </w:rPr>
              <w:t>工程施工机械噪声源强</w:t>
            </w:r>
          </w:p>
          <w:tbl>
            <w:tblPr>
              <w:tblStyle w:val="34"/>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930"/>
              <w:gridCol w:w="1355"/>
              <w:gridCol w:w="2595"/>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序号</w:t>
                  </w:r>
                </w:p>
              </w:tc>
              <w:tc>
                <w:tcPr>
                  <w:tcW w:w="19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机械类型</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型号</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测点距施工机械距离（m）</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最大声级L</w:t>
                  </w:r>
                  <w:r>
                    <w:rPr>
                      <w:rFonts w:hint="eastAsia"/>
                      <w:sz w:val="21"/>
                      <w:szCs w:val="21"/>
                      <w:u w:val="single"/>
                      <w:lang w:val="en-US" w:eastAsia="zh-CN"/>
                    </w:rPr>
                    <w:t xml:space="preserve"> max</w:t>
                  </w:r>
                  <w:r>
                    <w:rPr>
                      <w:sz w:val="21"/>
                      <w:szCs w:val="21"/>
                      <w:u w:val="single"/>
                    </w:rPr>
                    <w:softHyphen/>
                  </w:r>
                  <w:r>
                    <w:rPr>
                      <w:sz w:val="21"/>
                      <w:szCs w:val="21"/>
                      <w:u w:val="single"/>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1</w:t>
                  </w:r>
                </w:p>
              </w:tc>
              <w:tc>
                <w:tcPr>
                  <w:tcW w:w="193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轮式装卸机</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ZL40型</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5</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p>
              </w:tc>
              <w:tc>
                <w:tcPr>
                  <w:tcW w:w="193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p>
              </w:tc>
              <w:tc>
                <w:tcPr>
                  <w:tcW w:w="13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ZL50型</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5</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2</w:t>
                  </w:r>
                </w:p>
              </w:tc>
              <w:tc>
                <w:tcPr>
                  <w:tcW w:w="19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sz w:val="21"/>
                      <w:szCs w:val="21"/>
                      <w:u w:val="single"/>
                    </w:rPr>
                    <w:t>平地机</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PY160A型</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5</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3</w:t>
                  </w:r>
                </w:p>
              </w:tc>
              <w:tc>
                <w:tcPr>
                  <w:tcW w:w="19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振动式压路机</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Y2J10B型</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5</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4</w:t>
                  </w:r>
                </w:p>
              </w:tc>
              <w:tc>
                <w:tcPr>
                  <w:tcW w:w="19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双轮双振压路机</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CC2型</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5</w:t>
                  </w:r>
                </w:p>
              </w:tc>
              <w:tc>
                <w:tcPr>
                  <w:tcW w:w="19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轮压路</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ZL16型</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5</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6</w:t>
                  </w:r>
                </w:p>
              </w:tc>
              <w:tc>
                <w:tcPr>
                  <w:tcW w:w="19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推土机</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T140型</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5</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7</w:t>
                  </w:r>
                </w:p>
              </w:tc>
              <w:tc>
                <w:tcPr>
                  <w:tcW w:w="193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轮胎式液压挖掘机</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W4-60C型</w:t>
                  </w:r>
                </w:p>
              </w:tc>
              <w:tc>
                <w:tcPr>
                  <w:tcW w:w="25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5</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u w:val="single"/>
                    </w:rPr>
                  </w:pPr>
                  <w:r>
                    <w:rPr>
                      <w:sz w:val="21"/>
                      <w:szCs w:val="21"/>
                      <w:u w:val="single"/>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8</w:t>
                  </w:r>
                </w:p>
              </w:tc>
              <w:tc>
                <w:tcPr>
                  <w:tcW w:w="1930"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eastAsia="zh-CN"/>
                    </w:rPr>
                  </w:pPr>
                  <w:r>
                    <w:rPr>
                      <w:rFonts w:hint="eastAsia"/>
                      <w:sz w:val="21"/>
                      <w:szCs w:val="21"/>
                      <w:u w:val="single"/>
                      <w:lang w:eastAsia="zh-CN"/>
                    </w:rPr>
                    <w:t>冲击式钻井机</w:t>
                  </w:r>
                </w:p>
              </w:tc>
              <w:tc>
                <w:tcPr>
                  <w:tcW w:w="13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22型</w:t>
                  </w:r>
                </w:p>
              </w:tc>
              <w:tc>
                <w:tcPr>
                  <w:tcW w:w="2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1</w:t>
                  </w:r>
                </w:p>
              </w:tc>
              <w:tc>
                <w:tcPr>
                  <w:tcW w:w="21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9</w:t>
                  </w:r>
                </w:p>
              </w:tc>
              <w:tc>
                <w:tcPr>
                  <w:tcW w:w="1930"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u w:val="single"/>
                      <w:lang w:val="en-US" w:eastAsia="zh-CN"/>
                    </w:rPr>
                  </w:pPr>
                  <w:r>
                    <w:rPr>
                      <w:rFonts w:hint="eastAsia"/>
                      <w:sz w:val="21"/>
                      <w:szCs w:val="21"/>
                      <w:u w:val="single"/>
                      <w:lang w:val="en-US" w:eastAsia="zh-CN"/>
                    </w:rPr>
                    <w:t>锥形反转出料混凝土搅拌机</w:t>
                  </w:r>
                </w:p>
              </w:tc>
              <w:tc>
                <w:tcPr>
                  <w:tcW w:w="13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JZC350型</w:t>
                  </w:r>
                </w:p>
              </w:tc>
              <w:tc>
                <w:tcPr>
                  <w:tcW w:w="2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1</w:t>
                  </w:r>
                </w:p>
              </w:tc>
              <w:tc>
                <w:tcPr>
                  <w:tcW w:w="21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sz w:val="21"/>
                      <w:szCs w:val="21"/>
                      <w:u w:val="single"/>
                      <w:lang w:val="en-US" w:eastAsia="zh-CN"/>
                    </w:rPr>
                  </w:pPr>
                  <w:r>
                    <w:rPr>
                      <w:rFonts w:hint="eastAsia"/>
                      <w:sz w:val="21"/>
                      <w:szCs w:val="21"/>
                      <w:u w:val="single"/>
                      <w:lang w:val="en-US" w:eastAsia="zh-CN"/>
                    </w:rPr>
                    <w:t>79</w:t>
                  </w:r>
                </w:p>
              </w:tc>
            </w:tr>
          </w:tbl>
          <w:p>
            <w:pPr>
              <w:tabs>
                <w:tab w:val="left" w:pos="1280"/>
              </w:tabs>
              <w:ind w:firstLine="482" w:firstLineChars="200"/>
              <w:textAlignment w:val="baseline"/>
              <w:rPr>
                <w:b/>
                <w:bCs/>
                <w:sz w:val="24"/>
              </w:rPr>
            </w:pPr>
            <w:r>
              <w:rPr>
                <w:b/>
                <w:bCs/>
                <w:sz w:val="24"/>
              </w:rPr>
              <w:t>1.4 施工期固体废物污染源分析</w:t>
            </w:r>
          </w:p>
          <w:p>
            <w:pPr>
              <w:tabs>
                <w:tab w:val="left" w:pos="1280"/>
              </w:tabs>
              <w:ind w:firstLine="480" w:firstLineChars="200"/>
              <w:textAlignment w:val="baseline"/>
              <w:rPr>
                <w:sz w:val="24"/>
                <w:u w:val="single"/>
              </w:rPr>
            </w:pPr>
            <w:r>
              <w:rPr>
                <w:sz w:val="24"/>
                <w:u w:val="single"/>
              </w:rPr>
              <w:t>本项目施工期固废主要为</w:t>
            </w:r>
            <w:r>
              <w:rPr>
                <w:rFonts w:hint="eastAsia"/>
                <w:sz w:val="24"/>
                <w:u w:val="single"/>
              </w:rPr>
              <w:t>施工</w:t>
            </w:r>
            <w:r>
              <w:rPr>
                <w:sz w:val="24"/>
                <w:u w:val="single"/>
              </w:rPr>
              <w:t>建筑垃圾</w:t>
            </w:r>
            <w:r>
              <w:rPr>
                <w:rFonts w:hint="eastAsia"/>
                <w:sz w:val="24"/>
                <w:u w:val="single"/>
              </w:rPr>
              <w:t>和生活垃圾</w:t>
            </w:r>
            <w:r>
              <w:rPr>
                <w:sz w:val="24"/>
                <w:u w:val="single"/>
              </w:rPr>
              <w:t>。</w:t>
            </w:r>
          </w:p>
          <w:p>
            <w:pPr>
              <w:bidi w:val="0"/>
              <w:ind w:firstLine="480" w:firstLineChars="200"/>
              <w:rPr>
                <w:color w:val="000000"/>
                <w:sz w:val="24"/>
                <w:u w:val="single"/>
              </w:rPr>
            </w:pPr>
            <w:r>
              <w:rPr>
                <w:color w:val="000000"/>
                <w:sz w:val="24"/>
                <w:u w:val="single"/>
              </w:rPr>
              <w:t>全线挖方总量为</w:t>
            </w:r>
            <w:r>
              <w:rPr>
                <w:rFonts w:hint="eastAsia"/>
                <w:color w:val="000000"/>
                <w:sz w:val="24"/>
                <w:u w:val="single"/>
              </w:rPr>
              <w:t>95935.3</w:t>
            </w:r>
            <w:r>
              <w:rPr>
                <w:color w:val="000000"/>
                <w:sz w:val="24"/>
                <w:u w:val="single"/>
              </w:rPr>
              <w:t>m</w:t>
            </w:r>
            <w:r>
              <w:rPr>
                <w:color w:val="000000"/>
                <w:sz w:val="24"/>
                <w:u w:val="single"/>
                <w:vertAlign w:val="superscript"/>
              </w:rPr>
              <w:t>3</w:t>
            </w:r>
            <w:r>
              <w:rPr>
                <w:color w:val="000000"/>
                <w:sz w:val="24"/>
                <w:u w:val="single"/>
              </w:rPr>
              <w:t>，</w:t>
            </w:r>
            <w:r>
              <w:rPr>
                <w:rFonts w:hint="eastAsia"/>
                <w:color w:val="000000"/>
                <w:sz w:val="24"/>
                <w:u w:val="single"/>
                <w:lang w:eastAsia="zh-CN"/>
              </w:rPr>
              <w:t>全部回填，无弃土；清表总量93817.7</w:t>
            </w:r>
            <w:r>
              <w:rPr>
                <w:color w:val="000000"/>
                <w:sz w:val="24"/>
                <w:u w:val="single"/>
              </w:rPr>
              <w:t>m</w:t>
            </w:r>
            <w:r>
              <w:rPr>
                <w:color w:val="000000"/>
                <w:sz w:val="24"/>
                <w:u w:val="single"/>
                <w:vertAlign w:val="superscript"/>
              </w:rPr>
              <w:t>3</w:t>
            </w:r>
            <w:r>
              <w:rPr>
                <w:rFonts w:hint="eastAsia"/>
                <w:color w:val="000000"/>
                <w:sz w:val="24"/>
                <w:u w:val="single"/>
                <w:vertAlign w:val="baseline"/>
                <w:lang w:eastAsia="zh-CN"/>
              </w:rPr>
              <w:t>（</w:t>
            </w:r>
            <w:r>
              <w:rPr>
                <w:rFonts w:hint="eastAsia"/>
                <w:sz w:val="24"/>
                <w:u w:val="single"/>
                <w:lang w:eastAsia="zh-CN"/>
              </w:rPr>
              <w:t>主要</w:t>
            </w:r>
            <w:r>
              <w:rPr>
                <w:rFonts w:hint="eastAsia"/>
                <w:sz w:val="24"/>
                <w:u w:val="single"/>
              </w:rPr>
              <w:t>用于</w:t>
            </w:r>
            <w:r>
              <w:rPr>
                <w:rFonts w:hint="eastAsia"/>
                <w:sz w:val="24"/>
                <w:u w:val="single"/>
                <w:lang w:eastAsia="zh-CN"/>
              </w:rPr>
              <w:t>本项目</w:t>
            </w:r>
            <w:r>
              <w:rPr>
                <w:rFonts w:hint="eastAsia"/>
                <w:sz w:val="24"/>
                <w:u w:val="single"/>
              </w:rPr>
              <w:t>绿化带回填或边坡植草时覆土</w:t>
            </w:r>
            <w:r>
              <w:rPr>
                <w:rFonts w:hint="eastAsia"/>
                <w:color w:val="000000"/>
                <w:sz w:val="24"/>
                <w:u w:val="single"/>
                <w:vertAlign w:val="baseline"/>
                <w:lang w:eastAsia="zh-CN"/>
              </w:rPr>
              <w:t>）</w:t>
            </w:r>
            <w:r>
              <w:rPr>
                <w:color w:val="000000"/>
                <w:sz w:val="24"/>
                <w:u w:val="single"/>
              </w:rPr>
              <w:t>，填方总量为</w:t>
            </w:r>
            <w:r>
              <w:rPr>
                <w:rFonts w:hint="eastAsia"/>
                <w:color w:val="000000"/>
                <w:sz w:val="24"/>
                <w:u w:val="single"/>
                <w:lang w:val="en-US" w:eastAsia="zh-CN"/>
              </w:rPr>
              <w:t>505003</w:t>
            </w:r>
            <w:r>
              <w:rPr>
                <w:color w:val="000000"/>
                <w:sz w:val="24"/>
                <w:u w:val="single"/>
              </w:rPr>
              <w:t>m</w:t>
            </w:r>
            <w:r>
              <w:rPr>
                <w:color w:val="000000"/>
                <w:sz w:val="24"/>
                <w:u w:val="single"/>
                <w:vertAlign w:val="superscript"/>
              </w:rPr>
              <w:t>3</w:t>
            </w:r>
            <w:r>
              <w:rPr>
                <w:color w:val="000000"/>
                <w:sz w:val="24"/>
                <w:u w:val="single"/>
              </w:rPr>
              <w:t>，借方总量为</w:t>
            </w:r>
            <w:r>
              <w:rPr>
                <w:rFonts w:hint="eastAsia"/>
                <w:sz w:val="21"/>
                <w:szCs w:val="21"/>
                <w:u w:val="single"/>
                <w:lang w:val="en-US" w:eastAsia="zh-CN"/>
              </w:rPr>
              <w:t>431318.7</w:t>
            </w:r>
            <w:r>
              <w:rPr>
                <w:color w:val="000000"/>
                <w:sz w:val="24"/>
                <w:u w:val="single"/>
              </w:rPr>
              <w:t>m</w:t>
            </w:r>
            <w:r>
              <w:rPr>
                <w:color w:val="000000"/>
                <w:sz w:val="24"/>
                <w:u w:val="single"/>
                <w:vertAlign w:val="superscript"/>
              </w:rPr>
              <w:t>3</w:t>
            </w:r>
            <w:r>
              <w:rPr>
                <w:color w:val="000000"/>
                <w:sz w:val="24"/>
                <w:u w:val="single"/>
              </w:rPr>
              <w:t>(</w:t>
            </w:r>
            <w:r>
              <w:rPr>
                <w:rFonts w:hint="eastAsia"/>
                <w:color w:val="000000"/>
                <w:sz w:val="24"/>
                <w:u w:val="single"/>
                <w:lang w:eastAsia="zh-CN"/>
              </w:rPr>
              <w:t>其中</w:t>
            </w:r>
            <w:r>
              <w:rPr>
                <w:rFonts w:hint="eastAsia"/>
                <w:color w:val="000000"/>
                <w:sz w:val="24"/>
                <w:u w:val="single"/>
                <w:lang w:val="en-US" w:eastAsia="zh-CN"/>
              </w:rPr>
              <w:t>410053.7</w:t>
            </w:r>
            <w:r>
              <w:rPr>
                <w:color w:val="000000"/>
                <w:sz w:val="24"/>
                <w:u w:val="single"/>
              </w:rPr>
              <w:t>m</w:t>
            </w:r>
            <w:r>
              <w:rPr>
                <w:color w:val="000000"/>
                <w:sz w:val="24"/>
                <w:u w:val="single"/>
                <w:vertAlign w:val="superscript"/>
              </w:rPr>
              <w:t>3</w:t>
            </w:r>
            <w:r>
              <w:rPr>
                <w:rFonts w:hint="eastAsia"/>
                <w:color w:val="000000"/>
                <w:sz w:val="24"/>
                <w:u w:val="single"/>
                <w:lang w:eastAsia="zh-CN"/>
              </w:rPr>
              <w:t>来自大数据产业服务中心项目</w:t>
            </w:r>
            <w:r>
              <w:rPr>
                <w:color w:val="000000"/>
                <w:sz w:val="24"/>
                <w:u w:val="single"/>
              </w:rPr>
              <w:t>)，弃方总量为</w:t>
            </w:r>
            <w:r>
              <w:rPr>
                <w:rFonts w:hint="eastAsia"/>
                <w:color w:val="000000"/>
                <w:sz w:val="24"/>
                <w:u w:val="single"/>
                <w:lang w:val="en-US" w:eastAsia="zh-CN"/>
              </w:rPr>
              <w:t>20498</w:t>
            </w:r>
            <w:r>
              <w:rPr>
                <w:color w:val="000000"/>
                <w:sz w:val="24"/>
                <w:u w:val="single"/>
              </w:rPr>
              <w:t>m</w:t>
            </w:r>
            <w:r>
              <w:rPr>
                <w:color w:val="000000"/>
                <w:sz w:val="24"/>
                <w:u w:val="single"/>
                <w:vertAlign w:val="superscript"/>
              </w:rPr>
              <w:t>3</w:t>
            </w:r>
            <w:r>
              <w:rPr>
                <w:rFonts w:hint="eastAsia"/>
                <w:color w:val="000000"/>
                <w:sz w:val="24"/>
                <w:u w:val="single"/>
                <w:vertAlign w:val="baseline"/>
                <w:lang w:eastAsia="zh-CN"/>
              </w:rPr>
              <w:t>（主要为清淤）</w:t>
            </w:r>
            <w:r>
              <w:rPr>
                <w:color w:val="000000"/>
                <w:sz w:val="24"/>
                <w:u w:val="single"/>
              </w:rPr>
              <w:t>，工程土方临时堆置过程中的主要影响是水土流失，并影响周围景观。工程结束后，在采取水土保持措施恢复植被后，不会对周围环境产生较大的不利影响。</w:t>
            </w:r>
          </w:p>
          <w:p>
            <w:pPr>
              <w:tabs>
                <w:tab w:val="left" w:pos="1280"/>
              </w:tabs>
              <w:ind w:firstLine="480" w:firstLineChars="200"/>
              <w:textAlignment w:val="baseline"/>
              <w:rPr>
                <w:sz w:val="24"/>
                <w:u w:val="single"/>
              </w:rPr>
            </w:pPr>
            <w:r>
              <w:rPr>
                <w:rFonts w:hint="eastAsia"/>
                <w:sz w:val="24"/>
                <w:u w:val="single"/>
              </w:rPr>
              <w:t>项目</w:t>
            </w:r>
            <w:r>
              <w:rPr>
                <w:sz w:val="24"/>
                <w:u w:val="single"/>
              </w:rPr>
              <w:t>施工场地的建筑垃圾主要是清理场地阶段</w:t>
            </w:r>
            <w:r>
              <w:rPr>
                <w:rFonts w:hint="eastAsia"/>
                <w:sz w:val="24"/>
                <w:u w:val="single"/>
              </w:rPr>
              <w:t>产生的建筑垃圾及</w:t>
            </w:r>
            <w:r>
              <w:rPr>
                <w:sz w:val="24"/>
                <w:u w:val="single"/>
              </w:rPr>
              <w:t>杂草树木</w:t>
            </w:r>
            <w:r>
              <w:rPr>
                <w:rFonts w:hint="eastAsia"/>
                <w:sz w:val="24"/>
                <w:u w:val="single"/>
              </w:rPr>
              <w:t>，以及</w:t>
            </w:r>
            <w:r>
              <w:rPr>
                <w:sz w:val="24"/>
                <w:u w:val="single"/>
              </w:rPr>
              <w:t>剩余的筑路材料</w:t>
            </w:r>
            <w:r>
              <w:rPr>
                <w:rFonts w:hint="eastAsia"/>
                <w:sz w:val="24"/>
                <w:u w:val="single"/>
              </w:rPr>
              <w:t>，</w:t>
            </w:r>
            <w:r>
              <w:rPr>
                <w:sz w:val="24"/>
                <w:u w:val="single"/>
              </w:rPr>
              <w:t>包括石料、砂、石灰、沥青</w:t>
            </w:r>
            <w:r>
              <w:rPr>
                <w:rFonts w:hint="eastAsia"/>
                <w:sz w:val="24"/>
                <w:u w:val="single"/>
              </w:rPr>
              <w:t>混凝土</w:t>
            </w:r>
            <w:r>
              <w:rPr>
                <w:sz w:val="24"/>
                <w:u w:val="single"/>
              </w:rPr>
              <w:t>、</w:t>
            </w:r>
            <w:r>
              <w:rPr>
                <w:rFonts w:hint="eastAsia"/>
                <w:sz w:val="24"/>
                <w:u w:val="single"/>
              </w:rPr>
              <w:t>商品混凝土</w:t>
            </w:r>
            <w:r>
              <w:rPr>
                <w:sz w:val="24"/>
                <w:u w:val="single"/>
              </w:rPr>
              <w:t>、钢材、木料、等</w:t>
            </w:r>
            <w:r>
              <w:rPr>
                <w:rFonts w:hint="eastAsia"/>
                <w:sz w:val="24"/>
                <w:u w:val="single"/>
              </w:rPr>
              <w:t>。</w:t>
            </w:r>
            <w:r>
              <w:rPr>
                <w:sz w:val="24"/>
                <w:u w:val="single"/>
              </w:rPr>
              <w:t>为降低和消除上述固体废物对环境的影响，首先是按计划和施工的操作规程，严格控制，尽量减少余下的物料。对于余下的物料和</w:t>
            </w:r>
            <w:r>
              <w:rPr>
                <w:rFonts w:hint="eastAsia"/>
                <w:sz w:val="24"/>
                <w:u w:val="single"/>
              </w:rPr>
              <w:t>清表</w:t>
            </w:r>
            <w:r>
              <w:rPr>
                <w:sz w:val="24"/>
                <w:u w:val="single"/>
              </w:rPr>
              <w:t>所产生的固体废弃物，首先考虑</w:t>
            </w:r>
            <w:r>
              <w:rPr>
                <w:rFonts w:hint="eastAsia"/>
                <w:sz w:val="24"/>
                <w:u w:val="single"/>
              </w:rPr>
              <w:t>回用</w:t>
            </w:r>
            <w:r>
              <w:rPr>
                <w:sz w:val="24"/>
                <w:u w:val="single"/>
              </w:rPr>
              <w:t>，若不能回用，</w:t>
            </w:r>
            <w:r>
              <w:rPr>
                <w:rFonts w:hint="eastAsia"/>
                <w:sz w:val="24"/>
                <w:u w:val="single"/>
              </w:rPr>
              <w:t>委托有资质的渣土公司处理</w:t>
            </w:r>
            <w:r>
              <w:rPr>
                <w:sz w:val="24"/>
                <w:u w:val="single"/>
              </w:rPr>
              <w:t>。</w:t>
            </w:r>
          </w:p>
          <w:p>
            <w:pPr>
              <w:tabs>
                <w:tab w:val="left" w:pos="1280"/>
              </w:tabs>
              <w:ind w:firstLine="480" w:firstLineChars="200"/>
              <w:textAlignment w:val="baseline"/>
              <w:rPr>
                <w:sz w:val="24"/>
                <w:u w:val="single"/>
              </w:rPr>
            </w:pPr>
            <w:r>
              <w:rPr>
                <w:sz w:val="24"/>
                <w:u w:val="single"/>
              </w:rPr>
              <w:t>按施工人员生活垃圾1.0kg/人·d计算</w:t>
            </w:r>
            <w:r>
              <w:rPr>
                <w:rFonts w:hint="eastAsia"/>
                <w:sz w:val="24"/>
                <w:u w:val="single"/>
                <w:lang w:eastAsia="zh-CN"/>
              </w:rPr>
              <w:t>。</w:t>
            </w:r>
            <w:r>
              <w:rPr>
                <w:rFonts w:hint="eastAsia"/>
                <w:color w:val="000000" w:themeColor="text1"/>
                <w:sz w:val="24"/>
                <w:u w:val="single"/>
                <w14:textFill>
                  <w14:solidFill>
                    <w14:schemeClr w14:val="tx1"/>
                  </w14:solidFill>
                </w14:textFill>
              </w:rPr>
              <w:t>生活垃圾定点收集，</w:t>
            </w:r>
            <w:r>
              <w:rPr>
                <w:rFonts w:hint="eastAsia"/>
                <w:sz w:val="24"/>
                <w:u w:val="single"/>
              </w:rPr>
              <w:t>定点收集，集中管理，定期由环卫部门统一清运。</w:t>
            </w:r>
          </w:p>
          <w:p>
            <w:pPr>
              <w:tabs>
                <w:tab w:val="left" w:pos="1280"/>
              </w:tabs>
              <w:ind w:firstLine="482" w:firstLineChars="200"/>
              <w:textAlignment w:val="baseline"/>
              <w:rPr>
                <w:b/>
                <w:bCs/>
                <w:sz w:val="24"/>
              </w:rPr>
            </w:pPr>
            <w:r>
              <w:rPr>
                <w:b/>
                <w:bCs/>
                <w:sz w:val="24"/>
              </w:rPr>
              <w:t>1.5 施工期生态影响</w:t>
            </w:r>
          </w:p>
          <w:p>
            <w:pPr>
              <w:tabs>
                <w:tab w:val="left" w:pos="1280"/>
              </w:tabs>
              <w:ind w:firstLine="480" w:firstLineChars="200"/>
              <w:textAlignment w:val="baseline"/>
              <w:rPr>
                <w:sz w:val="24"/>
              </w:rPr>
            </w:pPr>
            <w:r>
              <w:rPr>
                <w:sz w:val="24"/>
              </w:rPr>
              <w:t>市政道路建设过程中，清表及土石方临时占地等对周围植被有所破坏，降雨时产生水土流失。</w:t>
            </w:r>
            <w:r>
              <w:rPr>
                <w:rFonts w:hint="default"/>
              </w:rPr>
              <w:t>施工期砂石材料的冲洗，水泥混凝土与沥青搅拌等排放的生产废水增加，对周边水质带来一定的影响。</w:t>
            </w:r>
          </w:p>
          <w:p>
            <w:pPr>
              <w:tabs>
                <w:tab w:val="left" w:pos="1280"/>
              </w:tabs>
              <w:ind w:firstLine="482" w:firstLineChars="200"/>
              <w:textAlignment w:val="baseline"/>
              <w:rPr>
                <w:b/>
                <w:bCs/>
                <w:sz w:val="24"/>
              </w:rPr>
            </w:pPr>
            <w:r>
              <w:rPr>
                <w:b/>
                <w:bCs/>
                <w:sz w:val="24"/>
              </w:rPr>
              <w:t>1.6 施工期社会影响</w:t>
            </w:r>
          </w:p>
          <w:p>
            <w:pPr>
              <w:bidi w:val="0"/>
              <w:ind w:firstLine="480" w:firstLineChars="200"/>
              <w:rPr>
                <w:rFonts w:hint="eastAsia"/>
              </w:rPr>
            </w:pPr>
            <w:r>
              <w:rPr>
                <w:rFonts w:hint="eastAsia"/>
              </w:rPr>
              <w:t>道路在建设过程中必将对居民出行带来一定的不便，项目建设还将涉及到部分管线改造，会引起短时的停电，停水，停气等，对居民生活和工作将造成一定的影响。</w:t>
            </w:r>
          </w:p>
          <w:p>
            <w:pPr>
              <w:tabs>
                <w:tab w:val="left" w:pos="1280"/>
              </w:tabs>
              <w:ind w:firstLine="482" w:firstLineChars="200"/>
              <w:textAlignment w:val="baseline"/>
              <w:rPr>
                <w:b/>
                <w:bCs/>
                <w:sz w:val="24"/>
              </w:rPr>
            </w:pPr>
            <w:r>
              <w:rPr>
                <w:b/>
                <w:bCs/>
                <w:sz w:val="24"/>
              </w:rPr>
              <w:t>1.7</w:t>
            </w:r>
            <w:r>
              <w:rPr>
                <w:rFonts w:hint="eastAsia"/>
                <w:b/>
                <w:bCs/>
                <w:sz w:val="24"/>
              </w:rPr>
              <w:t>施工期振动影响分析</w:t>
            </w:r>
          </w:p>
          <w:p>
            <w:pPr>
              <w:bidi w:val="0"/>
              <w:ind w:firstLine="480" w:firstLineChars="200"/>
            </w:pPr>
            <w:r>
              <w:t>本工程的施工机械以振动型作业为主，包括打桩、挖掘等施工作业以及运输车辆在运输、装卸过程中所产生的振动，因此施工作业过程不可避免地给沿线交通、建筑物及居民的生活带来影响。</w:t>
            </w:r>
          </w:p>
          <w:p>
            <w:pPr>
              <w:bidi w:val="0"/>
              <w:ind w:firstLine="480" w:firstLineChars="200"/>
            </w:pPr>
            <w:r>
              <w:t>除打桩作业外，距一般施工机械10m处的振动水平为 74～85dB、30m处振动水平为 64～76dB、40m处振动水平为 62～74dB，所以 30m 以外方可达到混合区、商业中心区或交通干线两侧昼间 75dB的要求、40m 以外方可以达到居民文教区昼间 70dB 的要求。</w:t>
            </w:r>
          </w:p>
          <w:p>
            <w:pPr>
              <w:bidi w:val="0"/>
              <w:ind w:firstLine="480" w:firstLineChars="200"/>
            </w:pPr>
            <w:r>
              <w:t>根据施工现场的类比调查，施工机械一般距施工场地维护结构有20m 左右的衰减距离，振动传播又具有传播衰减较快的特点，因此，只要合理布局施工场地，使得产生振动的施工机械远离居住区等敏感目标，并避免在夜间使用振动较大的机械设备，则施工期的振动影响是可控的。</w:t>
            </w:r>
          </w:p>
          <w:p>
            <w:pPr>
              <w:adjustRightInd w:val="0"/>
              <w:snapToGrid w:val="0"/>
              <w:spacing w:line="360" w:lineRule="auto"/>
              <w:ind w:firstLine="480" w:firstLineChars="200"/>
              <w:rPr>
                <w:color w:val="000000"/>
                <w:kern w:val="0"/>
                <w:sz w:val="24"/>
                <w:szCs w:val="20"/>
              </w:rPr>
            </w:pPr>
            <w:r>
              <w:rPr>
                <w:color w:val="000000"/>
                <w:kern w:val="0"/>
                <w:sz w:val="24"/>
                <w:szCs w:val="20"/>
              </w:rPr>
              <w:t>为使本工程施工振动环境影响降低到最低限度，需从以下几方面采取有效的控制对策：</w:t>
            </w:r>
          </w:p>
          <w:p>
            <w:pPr>
              <w:adjustRightInd w:val="0"/>
              <w:snapToGrid w:val="0"/>
              <w:spacing w:line="360" w:lineRule="auto"/>
              <w:ind w:firstLine="480" w:firstLineChars="200"/>
              <w:rPr>
                <w:color w:val="000000"/>
                <w:kern w:val="0"/>
                <w:sz w:val="24"/>
                <w:szCs w:val="20"/>
              </w:rPr>
            </w:pPr>
            <w:r>
              <w:rPr>
                <w:color w:val="000000"/>
                <w:kern w:val="0"/>
                <w:sz w:val="24"/>
                <w:szCs w:val="20"/>
              </w:rPr>
              <w:t>1．将施工现场的固定振动源，如加工场地、料场等相对集中，以缩小振动干扰的范围。施工车辆，特别是重型运输车辆的运行途径，应尽量避开振动敏感区域。项目施工场地应远离居民区等敏感目标布置。加强施工人员环保意识，减少不必要的振动污染。</w:t>
            </w:r>
          </w:p>
          <w:p>
            <w:pPr>
              <w:adjustRightInd w:val="0"/>
              <w:snapToGrid w:val="0"/>
              <w:spacing w:line="360" w:lineRule="auto"/>
              <w:ind w:firstLine="480" w:firstLineChars="200"/>
              <w:rPr>
                <w:color w:val="000000"/>
                <w:kern w:val="0"/>
                <w:sz w:val="24"/>
                <w:szCs w:val="20"/>
              </w:rPr>
            </w:pPr>
            <w:r>
              <w:rPr>
                <w:color w:val="000000"/>
                <w:kern w:val="0"/>
                <w:sz w:val="24"/>
                <w:szCs w:val="20"/>
              </w:rPr>
              <w:t>2．在保证施工进度的前提下，优化施工方案，合理安排作业时间，在环境振动背景值较高的时段内（7：00～12：00，14：00～22：00）进行高振动作业，限制夜间进行有强振动污染严重的施工作业，并做到文明施工。</w:t>
            </w:r>
          </w:p>
          <w:p>
            <w:pPr>
              <w:adjustRightInd w:val="0"/>
              <w:snapToGrid w:val="0"/>
              <w:spacing w:line="360" w:lineRule="auto"/>
              <w:ind w:firstLine="480" w:firstLineChars="200"/>
              <w:rPr>
                <w:color w:val="000000"/>
                <w:kern w:val="0"/>
                <w:sz w:val="24"/>
                <w:szCs w:val="20"/>
              </w:rPr>
            </w:pPr>
            <w:r>
              <w:rPr>
                <w:color w:val="000000"/>
                <w:kern w:val="0"/>
                <w:sz w:val="24"/>
                <w:szCs w:val="20"/>
              </w:rPr>
              <w:t>3．加强控制打桩机类强振动施工机械的使用，尽量选用低振动设备。采取措施后，项目沿线敏感点在项目施工期环境振动可达到相应标准。</w:t>
            </w:r>
          </w:p>
          <w:p>
            <w:pPr>
              <w:adjustRightInd w:val="0"/>
              <w:snapToGrid w:val="0"/>
              <w:spacing w:line="360" w:lineRule="auto"/>
              <w:ind w:firstLine="480" w:firstLineChars="200"/>
              <w:rPr>
                <w:sz w:val="24"/>
              </w:rPr>
            </w:pPr>
            <w:r>
              <w:rPr>
                <w:color w:val="000000"/>
                <w:kern w:val="0"/>
                <w:sz w:val="24"/>
                <w:szCs w:val="20"/>
              </w:rPr>
              <w:t>4</w:t>
            </w:r>
            <w:r>
              <w:rPr>
                <w:rFonts w:hint="eastAsia"/>
                <w:color w:val="000000"/>
                <w:kern w:val="0"/>
                <w:sz w:val="24"/>
                <w:szCs w:val="20"/>
              </w:rPr>
              <w:t>．</w:t>
            </w:r>
            <w:r>
              <w:rPr>
                <w:color w:val="000000"/>
                <w:kern w:val="0"/>
                <w:sz w:val="24"/>
                <w:szCs w:val="20"/>
              </w:rPr>
              <w:t>基础尽量采用挖孔灌注桩等基础形式，避免采用使用打桩机械的打入桩等基础形式。</w:t>
            </w:r>
          </w:p>
          <w:p>
            <w:pPr>
              <w:tabs>
                <w:tab w:val="left" w:pos="1280"/>
              </w:tabs>
              <w:ind w:firstLine="482" w:firstLineChars="200"/>
              <w:textAlignment w:val="baseline"/>
              <w:rPr>
                <w:sz w:val="24"/>
              </w:rPr>
            </w:pPr>
            <w:r>
              <w:rPr>
                <w:b/>
                <w:sz w:val="24"/>
              </w:rPr>
              <w:t>2、营运期污染工序</w:t>
            </w:r>
          </w:p>
          <w:p>
            <w:pPr>
              <w:tabs>
                <w:tab w:val="left" w:pos="1280"/>
              </w:tabs>
              <w:ind w:firstLine="482" w:firstLineChars="200"/>
              <w:textAlignment w:val="baseline"/>
              <w:rPr>
                <w:b/>
                <w:bCs/>
                <w:sz w:val="24"/>
              </w:rPr>
            </w:pPr>
            <w:r>
              <w:rPr>
                <w:b/>
                <w:bCs/>
                <w:sz w:val="24"/>
              </w:rPr>
              <w:t>2.</w:t>
            </w:r>
            <w:r>
              <w:rPr>
                <w:rFonts w:hint="eastAsia"/>
                <w:b/>
                <w:bCs/>
                <w:sz w:val="24"/>
                <w:lang w:val="en-US" w:eastAsia="zh-CN"/>
              </w:rPr>
              <w:t>1</w:t>
            </w:r>
            <w:r>
              <w:rPr>
                <w:b/>
                <w:bCs/>
                <w:sz w:val="24"/>
              </w:rPr>
              <w:t xml:space="preserve"> 运营期水污染源分析</w:t>
            </w:r>
          </w:p>
          <w:p>
            <w:pPr>
              <w:bidi w:val="0"/>
              <w:ind w:firstLine="480" w:firstLineChars="200"/>
            </w:pPr>
            <w:r>
              <w:t>本项目</w:t>
            </w:r>
            <w:r>
              <w:rPr>
                <w:rFonts w:hint="eastAsia"/>
              </w:rPr>
              <w:t>马鞍路为城市次干路</w:t>
            </w:r>
            <w:r>
              <w:rPr>
                <w:rFonts w:hint="eastAsia"/>
                <w:lang w:eastAsia="zh-CN"/>
              </w:rPr>
              <w:t>，</w:t>
            </w:r>
            <w:r>
              <w:rPr>
                <w:rFonts w:hint="eastAsia"/>
              </w:rPr>
              <w:t>桃园路为城市</w:t>
            </w:r>
            <w:r>
              <w:rPr>
                <w:rFonts w:hint="eastAsia"/>
                <w:lang w:eastAsia="zh-CN"/>
              </w:rPr>
              <w:t>主</w:t>
            </w:r>
            <w:r>
              <w:rPr>
                <w:rFonts w:hint="eastAsia"/>
              </w:rPr>
              <w:t>干路</w:t>
            </w:r>
            <w:r>
              <w:rPr>
                <w:rFonts w:hint="eastAsia"/>
                <w:lang w:eastAsia="zh-CN"/>
              </w:rPr>
              <w:t>，</w:t>
            </w:r>
            <w:r>
              <w:rPr>
                <w:rFonts w:hint="eastAsia"/>
              </w:rPr>
              <w:t>纬四路城市</w:t>
            </w:r>
            <w:r>
              <w:rPr>
                <w:rFonts w:hint="eastAsia"/>
                <w:lang w:eastAsia="zh-CN"/>
              </w:rPr>
              <w:t>支</w:t>
            </w:r>
            <w:r>
              <w:rPr>
                <w:rFonts w:hint="eastAsia"/>
              </w:rPr>
              <w:t>路</w:t>
            </w:r>
            <w:r>
              <w:rPr>
                <w:rFonts w:hint="eastAsia"/>
                <w:lang w:eastAsia="zh-CN"/>
              </w:rPr>
              <w:t>，</w:t>
            </w:r>
            <w:r>
              <w:rPr>
                <w:rFonts w:hint="eastAsia"/>
              </w:rPr>
              <w:t>百合路为城市次干路</w:t>
            </w:r>
            <w:r>
              <w:rPr>
                <w:rFonts w:hint="eastAsia"/>
                <w:lang w:eastAsia="zh-CN"/>
              </w:rPr>
              <w:t>，</w:t>
            </w:r>
            <w:r>
              <w:rPr>
                <w:rFonts w:hint="eastAsia"/>
              </w:rPr>
              <w:t>未设置收费站、生活服务区和集中停车场</w:t>
            </w:r>
            <w:r>
              <w:t>。</w:t>
            </w:r>
            <w:r>
              <w:rPr>
                <w:rFonts w:hint="eastAsia"/>
              </w:rPr>
              <w:t>因此，项目</w:t>
            </w:r>
            <w:r>
              <w:t>运营期水污染源主要是降雨冲刷路面产生的径流污水。</w:t>
            </w:r>
          </w:p>
          <w:p>
            <w:pPr>
              <w:bidi w:val="0"/>
              <w:ind w:firstLine="480" w:firstLineChars="200"/>
            </w:pPr>
            <w:r>
              <w:t>影响路面径流污染物浓度的因素众多，包括降雨量、降雨时间、与车流量有关的路面及空气污染程度、两场降雨之间的间隔时间、路面宽度等。由于各种因素的随机性强、偶然性大，所以，典型的路面雨水污染物浓度也就较难确定。根据国家环保总局华南环科所对南方地区路面径流污染情况的研究，路面雨水污染物浓度变化情况见表2</w:t>
            </w:r>
            <w:r>
              <w:rPr>
                <w:rFonts w:hint="eastAsia"/>
                <w:lang w:val="en-US" w:eastAsia="zh-CN"/>
              </w:rPr>
              <w:t>6</w:t>
            </w:r>
            <w:r>
              <w:t>，从表中可知，路面径流在降雨开始到形成径流的30分钟内雨水中的悬浮物和油类物质比较多</w:t>
            </w:r>
            <w:r>
              <w:rPr>
                <w:rFonts w:hint="eastAsia"/>
              </w:rPr>
              <w:t>，</w:t>
            </w:r>
            <w:r>
              <w:t>30分钟后，随着降雨时间的延长，污染物浓度下降较快。</w:t>
            </w:r>
          </w:p>
          <w:p>
            <w:pPr>
              <w:bidi w:val="0"/>
            </w:pPr>
            <w:r>
              <w:t>路面径流污染物排放量计算公式如下所述，路面径流计算结果，见表2</w:t>
            </w:r>
            <w:r>
              <w:rPr>
                <w:rFonts w:hint="eastAsia"/>
                <w:lang w:val="en-US" w:eastAsia="zh-CN"/>
              </w:rPr>
              <w:t>7</w:t>
            </w:r>
            <w:r>
              <w:t>。</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color w:val="000000"/>
                <w:sz w:val="24"/>
              </w:rPr>
            </w:pPr>
            <w:r>
              <w:rPr>
                <w:color w:val="000000"/>
                <w:sz w:val="24"/>
              </w:rPr>
              <w:t>E=C×H×L×B×a×10</w:t>
            </w:r>
            <w:r>
              <w:rPr>
                <w:color w:val="000000"/>
                <w:sz w:val="24"/>
                <w:vertAlign w:val="superscript"/>
              </w:rPr>
              <w:t>-6</w:t>
            </w:r>
          </w:p>
          <w:p>
            <w:pPr>
              <w:tabs>
                <w:tab w:val="left" w:pos="1280"/>
              </w:tabs>
              <w:spacing w:line="480" w:lineRule="exact"/>
              <w:ind w:firstLine="480" w:firstLineChars="200"/>
              <w:textAlignment w:val="baseline"/>
              <w:rPr>
                <w:color w:val="000000"/>
                <w:sz w:val="24"/>
                <w:szCs w:val="22"/>
              </w:rPr>
            </w:pPr>
            <w:r>
              <w:rPr>
                <w:color w:val="000000"/>
                <w:sz w:val="24"/>
                <w:szCs w:val="22"/>
              </w:rPr>
              <w:t>其中：E为每公里路面年排放强度（t/a×km）；</w:t>
            </w:r>
          </w:p>
          <w:p>
            <w:pPr>
              <w:tabs>
                <w:tab w:val="left" w:pos="1280"/>
              </w:tabs>
              <w:spacing w:line="480" w:lineRule="exact"/>
              <w:ind w:firstLine="1200" w:firstLineChars="500"/>
              <w:textAlignment w:val="baseline"/>
              <w:rPr>
                <w:color w:val="000000"/>
                <w:sz w:val="24"/>
                <w:szCs w:val="22"/>
              </w:rPr>
            </w:pPr>
            <w:r>
              <w:rPr>
                <w:color w:val="000000"/>
                <w:sz w:val="24"/>
                <w:szCs w:val="22"/>
              </w:rPr>
              <w:t>C为60分钟平均值（mg/l）；</w:t>
            </w:r>
          </w:p>
          <w:p>
            <w:pPr>
              <w:tabs>
                <w:tab w:val="left" w:pos="1280"/>
              </w:tabs>
              <w:spacing w:line="480" w:lineRule="exact"/>
              <w:ind w:firstLine="1200" w:firstLineChars="500"/>
              <w:textAlignment w:val="baseline"/>
              <w:rPr>
                <w:color w:val="000000"/>
                <w:sz w:val="24"/>
                <w:szCs w:val="22"/>
              </w:rPr>
            </w:pPr>
            <w:r>
              <w:rPr>
                <w:color w:val="000000"/>
                <w:sz w:val="24"/>
                <w:szCs w:val="22"/>
              </w:rPr>
              <w:t>H为年平均降雨量（mm）；</w:t>
            </w:r>
          </w:p>
          <w:p>
            <w:pPr>
              <w:tabs>
                <w:tab w:val="left" w:pos="1280"/>
              </w:tabs>
              <w:spacing w:line="480" w:lineRule="exact"/>
              <w:ind w:firstLine="1200" w:firstLineChars="500"/>
              <w:textAlignment w:val="baseline"/>
              <w:rPr>
                <w:color w:val="000000"/>
                <w:sz w:val="24"/>
                <w:szCs w:val="22"/>
              </w:rPr>
            </w:pPr>
            <w:r>
              <w:rPr>
                <w:color w:val="000000"/>
                <w:sz w:val="24"/>
                <w:szCs w:val="22"/>
              </w:rPr>
              <w:t>L为单位长度路面，取1km；</w:t>
            </w:r>
          </w:p>
          <w:p>
            <w:pPr>
              <w:tabs>
                <w:tab w:val="left" w:pos="1280"/>
              </w:tabs>
              <w:spacing w:line="480" w:lineRule="exact"/>
              <w:ind w:firstLine="1200" w:firstLineChars="500"/>
              <w:textAlignment w:val="baseline"/>
              <w:rPr>
                <w:color w:val="000000"/>
                <w:sz w:val="24"/>
                <w:szCs w:val="22"/>
              </w:rPr>
            </w:pPr>
            <w:r>
              <w:rPr>
                <w:color w:val="000000"/>
                <w:sz w:val="24"/>
                <w:szCs w:val="22"/>
              </w:rPr>
              <w:t>B为路（桥）面宽度，m；</w:t>
            </w:r>
          </w:p>
          <w:p>
            <w:pPr>
              <w:tabs>
                <w:tab w:val="left" w:pos="1280"/>
              </w:tabs>
              <w:spacing w:line="480" w:lineRule="exact"/>
              <w:ind w:firstLine="1200" w:firstLineChars="500"/>
              <w:textAlignment w:val="baseline"/>
              <w:rPr>
                <w:color w:val="000000"/>
                <w:sz w:val="24"/>
                <w:szCs w:val="22"/>
              </w:rPr>
            </w:pPr>
            <w:r>
              <w:rPr>
                <w:color w:val="000000"/>
                <w:sz w:val="24"/>
                <w:szCs w:val="22"/>
              </w:rPr>
              <w:t>a为径流系数，无量纲。</w:t>
            </w:r>
          </w:p>
          <w:p>
            <w:pPr>
              <w:bidi w:val="0"/>
              <w:jc w:val="center"/>
              <w:rPr>
                <w:b/>
                <w:bCs/>
              </w:rPr>
            </w:pPr>
            <w:r>
              <w:rPr>
                <w:rFonts w:hint="eastAsia"/>
                <w:b/>
                <w:bCs/>
              </w:rPr>
              <w:t>表</w:t>
            </w:r>
            <w:r>
              <w:rPr>
                <w:b/>
                <w:bCs/>
              </w:rPr>
              <w:t>2</w:t>
            </w:r>
            <w:r>
              <w:rPr>
                <w:rFonts w:hint="eastAsia"/>
                <w:b/>
                <w:bCs/>
                <w:lang w:val="en-US" w:eastAsia="zh-CN"/>
              </w:rPr>
              <w:t>6</w:t>
            </w:r>
            <w:r>
              <w:rPr>
                <w:rFonts w:hint="eastAsia"/>
                <w:b/>
                <w:bCs/>
              </w:rPr>
              <w:t xml:space="preserve"> </w:t>
            </w:r>
            <w:r>
              <w:rPr>
                <w:b/>
                <w:bCs/>
              </w:rPr>
              <w:t>路面径流污染物浓度表</w:t>
            </w:r>
          </w:p>
          <w:tbl>
            <w:tblPr>
              <w:tblStyle w:val="34"/>
              <w:tblW w:w="82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6"/>
              <w:gridCol w:w="1656"/>
              <w:gridCol w:w="1657"/>
              <w:gridCol w:w="1656"/>
              <w:gridCol w:w="16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b/>
                      <w:bCs/>
                      <w:color w:val="000000"/>
                      <w:kern w:val="0"/>
                      <w:sz w:val="21"/>
                      <w:szCs w:val="21"/>
                      <w:lang w:val="zh-CN"/>
                    </w:rPr>
                  </w:pPr>
                  <w:r>
                    <w:rPr>
                      <w:b/>
                      <w:bCs/>
                      <w:color w:val="000000"/>
                      <w:kern w:val="0"/>
                      <w:sz w:val="21"/>
                      <w:szCs w:val="21"/>
                      <w:lang w:val="zh-CN"/>
                    </w:rPr>
                    <w:t>项目</w:t>
                  </w:r>
                </w:p>
              </w:tc>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b/>
                      <w:bCs/>
                      <w:color w:val="000000"/>
                      <w:kern w:val="0"/>
                      <w:sz w:val="21"/>
                      <w:szCs w:val="21"/>
                      <w:lang w:val="zh-CN"/>
                    </w:rPr>
                  </w:pPr>
                  <w:r>
                    <w:rPr>
                      <w:b/>
                      <w:bCs/>
                      <w:color w:val="000000"/>
                      <w:kern w:val="0"/>
                      <w:sz w:val="21"/>
                      <w:szCs w:val="21"/>
                      <w:lang w:val="zh-CN"/>
                    </w:rPr>
                    <w:t>5-20分钟</w:t>
                  </w:r>
                </w:p>
              </w:tc>
              <w:tc>
                <w:tcPr>
                  <w:tcW w:w="1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b/>
                      <w:bCs/>
                      <w:color w:val="000000"/>
                      <w:kern w:val="0"/>
                      <w:sz w:val="21"/>
                      <w:szCs w:val="21"/>
                      <w:lang w:val="zh-CN"/>
                    </w:rPr>
                  </w:pPr>
                  <w:r>
                    <w:rPr>
                      <w:b/>
                      <w:bCs/>
                      <w:color w:val="000000"/>
                      <w:kern w:val="0"/>
                      <w:sz w:val="21"/>
                      <w:szCs w:val="21"/>
                      <w:lang w:val="zh-CN"/>
                    </w:rPr>
                    <w:t>20-40分钟</w:t>
                  </w:r>
                </w:p>
              </w:tc>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b/>
                      <w:bCs/>
                      <w:color w:val="000000"/>
                      <w:kern w:val="0"/>
                      <w:sz w:val="21"/>
                      <w:szCs w:val="21"/>
                      <w:lang w:val="zh-CN"/>
                    </w:rPr>
                  </w:pPr>
                  <w:r>
                    <w:rPr>
                      <w:b/>
                      <w:bCs/>
                      <w:color w:val="000000"/>
                      <w:kern w:val="0"/>
                      <w:sz w:val="21"/>
                      <w:szCs w:val="21"/>
                      <w:lang w:val="zh-CN"/>
                    </w:rPr>
                    <w:t>40-60分钟</w:t>
                  </w:r>
                </w:p>
              </w:tc>
              <w:tc>
                <w:tcPr>
                  <w:tcW w:w="1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b/>
                      <w:bCs/>
                      <w:color w:val="000000"/>
                      <w:kern w:val="0"/>
                      <w:sz w:val="21"/>
                      <w:szCs w:val="21"/>
                      <w:lang w:val="zh-CN"/>
                    </w:rPr>
                  </w:pPr>
                  <w:r>
                    <w:rPr>
                      <w:b/>
                      <w:bCs/>
                      <w:color w:val="000000"/>
                      <w:kern w:val="0"/>
                      <w:sz w:val="21"/>
                      <w:szCs w:val="21"/>
                      <w:lang w:val="zh-CN"/>
                    </w:rPr>
                    <w:t>平均值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rPr>
                  </w:pPr>
                  <w:r>
                    <w:rPr>
                      <w:color w:val="000000"/>
                      <w:kern w:val="0"/>
                      <w:sz w:val="21"/>
                      <w:szCs w:val="21"/>
                    </w:rPr>
                    <w:t>SS（mg/L）</w:t>
                  </w:r>
                </w:p>
              </w:tc>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rPr>
                  </w:pPr>
                  <w:r>
                    <w:rPr>
                      <w:color w:val="000000"/>
                      <w:kern w:val="0"/>
                      <w:sz w:val="21"/>
                      <w:szCs w:val="21"/>
                    </w:rPr>
                    <w:t>231.42-158.22</w:t>
                  </w:r>
                </w:p>
              </w:tc>
              <w:tc>
                <w:tcPr>
                  <w:tcW w:w="1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rPr>
                  </w:pPr>
                  <w:r>
                    <w:rPr>
                      <w:color w:val="000000"/>
                      <w:kern w:val="0"/>
                      <w:sz w:val="21"/>
                      <w:szCs w:val="21"/>
                    </w:rPr>
                    <w:t>158.22-90.36</w:t>
                  </w:r>
                </w:p>
              </w:tc>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rPr>
                  </w:pPr>
                  <w:r>
                    <w:rPr>
                      <w:color w:val="000000"/>
                      <w:kern w:val="0"/>
                      <w:sz w:val="21"/>
                      <w:szCs w:val="21"/>
                    </w:rPr>
                    <w:t>90.36-18.71</w:t>
                  </w:r>
                </w:p>
              </w:tc>
              <w:tc>
                <w:tcPr>
                  <w:tcW w:w="1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rPr>
                  </w:pPr>
                  <w:r>
                    <w:rPr>
                      <w:color w:val="000000"/>
                      <w:kern w:val="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rPr>
                  </w:pPr>
                  <w:r>
                    <w:rPr>
                      <w:color w:val="000000"/>
                      <w:kern w:val="0"/>
                      <w:sz w:val="21"/>
                      <w:szCs w:val="21"/>
                    </w:rPr>
                    <w:t>BOD</w:t>
                  </w:r>
                  <w:r>
                    <w:rPr>
                      <w:color w:val="000000"/>
                      <w:kern w:val="0"/>
                      <w:sz w:val="21"/>
                      <w:szCs w:val="21"/>
                      <w:vertAlign w:val="subscript"/>
                    </w:rPr>
                    <w:t>5</w:t>
                  </w:r>
                  <w:r>
                    <w:rPr>
                      <w:color w:val="000000"/>
                      <w:kern w:val="0"/>
                      <w:sz w:val="21"/>
                      <w:szCs w:val="21"/>
                    </w:rPr>
                    <w:t>（mg/L）</w:t>
                  </w:r>
                </w:p>
              </w:tc>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lang w:val="zh-CN"/>
                    </w:rPr>
                  </w:pPr>
                  <w:r>
                    <w:rPr>
                      <w:color w:val="000000"/>
                      <w:kern w:val="0"/>
                      <w:sz w:val="21"/>
                      <w:szCs w:val="21"/>
                      <w:lang w:val="zh-CN"/>
                    </w:rPr>
                    <w:t>7.34-7.30</w:t>
                  </w:r>
                </w:p>
              </w:tc>
              <w:tc>
                <w:tcPr>
                  <w:tcW w:w="1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lang w:val="zh-CN"/>
                    </w:rPr>
                  </w:pPr>
                  <w:r>
                    <w:rPr>
                      <w:color w:val="000000"/>
                      <w:kern w:val="0"/>
                      <w:sz w:val="21"/>
                      <w:szCs w:val="21"/>
                      <w:lang w:val="zh-CN"/>
                    </w:rPr>
                    <w:t>7.30-4.15</w:t>
                  </w:r>
                </w:p>
              </w:tc>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lang w:val="zh-CN"/>
                    </w:rPr>
                  </w:pPr>
                  <w:r>
                    <w:rPr>
                      <w:color w:val="000000"/>
                      <w:kern w:val="0"/>
                      <w:sz w:val="21"/>
                      <w:szCs w:val="21"/>
                      <w:lang w:val="zh-CN"/>
                    </w:rPr>
                    <w:t>4.15-1.26</w:t>
                  </w:r>
                </w:p>
              </w:tc>
              <w:tc>
                <w:tcPr>
                  <w:tcW w:w="1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lang w:val="zh-CN"/>
                    </w:rPr>
                  </w:pPr>
                  <w:r>
                    <w:rPr>
                      <w:color w:val="000000"/>
                      <w:kern w:val="0"/>
                      <w:sz w:val="21"/>
                      <w:szCs w:val="21"/>
                      <w:lang w:val="zh-CN"/>
                    </w:rPr>
                    <w:t>5.08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lang w:val="zh-CN"/>
                    </w:rPr>
                  </w:pPr>
                  <w:r>
                    <w:rPr>
                      <w:color w:val="000000"/>
                      <w:kern w:val="0"/>
                      <w:sz w:val="21"/>
                      <w:szCs w:val="21"/>
                      <w:lang w:val="zh-CN"/>
                    </w:rPr>
                    <w:t>石油类（mg/L）</w:t>
                  </w:r>
                </w:p>
              </w:tc>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lang w:val="zh-CN"/>
                    </w:rPr>
                  </w:pPr>
                  <w:r>
                    <w:rPr>
                      <w:color w:val="000000"/>
                      <w:kern w:val="0"/>
                      <w:sz w:val="21"/>
                      <w:szCs w:val="21"/>
                      <w:lang w:val="zh-CN"/>
                    </w:rPr>
                    <w:t>22.30-19.74</w:t>
                  </w:r>
                </w:p>
              </w:tc>
              <w:tc>
                <w:tcPr>
                  <w:tcW w:w="1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lang w:val="zh-CN"/>
                    </w:rPr>
                  </w:pPr>
                  <w:r>
                    <w:rPr>
                      <w:color w:val="000000"/>
                      <w:kern w:val="0"/>
                      <w:sz w:val="21"/>
                      <w:szCs w:val="21"/>
                      <w:lang w:val="zh-CN"/>
                    </w:rPr>
                    <w:t>19.74-3.12</w:t>
                  </w:r>
                </w:p>
              </w:tc>
              <w:tc>
                <w:tcPr>
                  <w:tcW w:w="1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lang w:val="zh-CN"/>
                    </w:rPr>
                  </w:pPr>
                  <w:r>
                    <w:rPr>
                      <w:color w:val="000000"/>
                      <w:kern w:val="0"/>
                      <w:sz w:val="21"/>
                      <w:szCs w:val="21"/>
                      <w:lang w:val="zh-CN"/>
                    </w:rPr>
                    <w:t>3.12-0.21</w:t>
                  </w:r>
                </w:p>
              </w:tc>
              <w:tc>
                <w:tcPr>
                  <w:tcW w:w="1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color w:val="000000"/>
                      <w:kern w:val="0"/>
                      <w:sz w:val="21"/>
                      <w:szCs w:val="21"/>
                      <w:lang w:val="zh-CN"/>
                    </w:rPr>
                  </w:pPr>
                  <w:r>
                    <w:rPr>
                      <w:color w:val="000000"/>
                      <w:kern w:val="0"/>
                      <w:sz w:val="21"/>
                      <w:szCs w:val="21"/>
                      <w:lang w:val="zh-CN"/>
                    </w:rPr>
                    <w:t>11.25</w:t>
                  </w:r>
                </w:p>
              </w:tc>
            </w:tr>
          </w:tbl>
          <w:p>
            <w:pPr>
              <w:bidi w:val="0"/>
              <w:jc w:val="center"/>
              <w:rPr>
                <w:b/>
                <w:bCs/>
              </w:rPr>
            </w:pPr>
            <w:r>
              <w:rPr>
                <w:rFonts w:hint="eastAsia"/>
                <w:b/>
                <w:bCs/>
              </w:rPr>
              <w:t>表</w:t>
            </w:r>
            <w:r>
              <w:rPr>
                <w:b/>
                <w:bCs/>
              </w:rPr>
              <w:t>2</w:t>
            </w:r>
            <w:r>
              <w:rPr>
                <w:rFonts w:hint="eastAsia"/>
                <w:b/>
                <w:bCs/>
                <w:lang w:val="en-US" w:eastAsia="zh-CN"/>
              </w:rPr>
              <w:t>7</w:t>
            </w:r>
            <w:r>
              <w:rPr>
                <w:rFonts w:hint="eastAsia"/>
                <w:b/>
                <w:bCs/>
              </w:rPr>
              <w:t xml:space="preserve"> </w:t>
            </w:r>
            <w:r>
              <w:rPr>
                <w:b/>
                <w:bCs/>
              </w:rPr>
              <w:t>路面径流污染物排放源强表</w:t>
            </w:r>
          </w:p>
          <w:tbl>
            <w:tblPr>
              <w:tblStyle w:val="34"/>
              <w:tblW w:w="75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0"/>
              <w:gridCol w:w="917"/>
              <w:gridCol w:w="1278"/>
              <w:gridCol w:w="1284"/>
              <w:gridCol w:w="1436"/>
              <w:gridCol w:w="12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val="0"/>
                      <w:color w:val="000000"/>
                      <w:sz w:val="21"/>
                      <w:szCs w:val="21"/>
                      <w:lang w:eastAsia="zh-CN"/>
                    </w:rPr>
                  </w:pPr>
                  <w:bookmarkStart w:id="19" w:name="_Hlk233945471"/>
                  <w:r>
                    <w:rPr>
                      <w:rFonts w:hint="eastAsia"/>
                      <w:b w:val="0"/>
                      <w:bCs w:val="0"/>
                      <w:color w:val="000000"/>
                      <w:sz w:val="21"/>
                      <w:szCs w:val="21"/>
                      <w:lang w:eastAsia="zh-CN"/>
                    </w:rPr>
                    <w:t>路段</w:t>
                  </w:r>
                </w:p>
              </w:tc>
              <w:tc>
                <w:tcPr>
                  <w:tcW w:w="12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val="0"/>
                      <w:bCs w:val="0"/>
                      <w:color w:val="000000"/>
                      <w:sz w:val="21"/>
                      <w:szCs w:val="21"/>
                      <w:lang w:eastAsia="zh-CN"/>
                    </w:rPr>
                  </w:pPr>
                  <w:r>
                    <w:rPr>
                      <w:rFonts w:hint="eastAsia"/>
                      <w:b w:val="0"/>
                      <w:bCs w:val="0"/>
                      <w:color w:val="000000"/>
                      <w:sz w:val="21"/>
                      <w:szCs w:val="21"/>
                      <w:lang w:eastAsia="zh-CN"/>
                    </w:rPr>
                    <w:t>马鞍路</w:t>
                  </w:r>
                </w:p>
              </w:tc>
              <w:tc>
                <w:tcPr>
                  <w:tcW w:w="1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val="0"/>
                      <w:bCs w:val="0"/>
                      <w:color w:val="000000"/>
                      <w:sz w:val="21"/>
                      <w:szCs w:val="21"/>
                      <w:lang w:eastAsia="zh-CN"/>
                    </w:rPr>
                  </w:pPr>
                  <w:r>
                    <w:rPr>
                      <w:rFonts w:hint="eastAsia"/>
                      <w:b w:val="0"/>
                      <w:bCs w:val="0"/>
                      <w:color w:val="000000"/>
                      <w:sz w:val="21"/>
                      <w:szCs w:val="21"/>
                      <w:lang w:eastAsia="zh-CN"/>
                    </w:rPr>
                    <w:t>桃园路</w:t>
                  </w:r>
                </w:p>
              </w:tc>
              <w:tc>
                <w:tcPr>
                  <w:tcW w:w="14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val="0"/>
                      <w:bCs w:val="0"/>
                      <w:color w:val="000000"/>
                      <w:sz w:val="21"/>
                      <w:szCs w:val="21"/>
                      <w:lang w:eastAsia="zh-CN"/>
                    </w:rPr>
                  </w:pPr>
                  <w:r>
                    <w:rPr>
                      <w:rFonts w:hint="eastAsia"/>
                      <w:b w:val="0"/>
                      <w:bCs w:val="0"/>
                      <w:color w:val="000000"/>
                      <w:sz w:val="21"/>
                      <w:szCs w:val="21"/>
                      <w:lang w:eastAsia="zh-CN"/>
                    </w:rPr>
                    <w:t>纬四路</w:t>
                  </w:r>
                </w:p>
              </w:tc>
              <w:tc>
                <w:tcPr>
                  <w:tcW w:w="12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val="0"/>
                      <w:color w:val="000000"/>
                      <w:sz w:val="21"/>
                      <w:szCs w:val="21"/>
                      <w:lang w:eastAsia="zh-CN"/>
                    </w:rPr>
                  </w:pPr>
                  <w:r>
                    <w:rPr>
                      <w:rFonts w:hint="eastAsia"/>
                      <w:b w:val="0"/>
                      <w:bCs w:val="0"/>
                      <w:color w:val="000000"/>
                      <w:sz w:val="21"/>
                      <w:szCs w:val="21"/>
                      <w:lang w:eastAsia="zh-CN"/>
                    </w:rPr>
                    <w:t>百合路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7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b w:val="0"/>
                      <w:bCs w:val="0"/>
                      <w:color w:val="000000"/>
                      <w:sz w:val="21"/>
                      <w:szCs w:val="21"/>
                    </w:rPr>
                  </w:pPr>
                  <w:r>
                    <w:rPr>
                      <w:rFonts w:hint="eastAsia"/>
                      <w:b w:val="0"/>
                      <w:bCs w:val="0"/>
                      <w:color w:val="000000"/>
                      <w:sz w:val="21"/>
                      <w:szCs w:val="21"/>
                    </w:rPr>
                    <w:t>污染物</w:t>
                  </w:r>
                  <w:r>
                    <w:rPr>
                      <w:b w:val="0"/>
                      <w:bCs w:val="0"/>
                      <w:color w:val="000000"/>
                      <w:sz w:val="21"/>
                      <w:szCs w:val="21"/>
                    </w:rPr>
                    <w:t>平均值（mg/L）</w:t>
                  </w:r>
                </w:p>
              </w:tc>
              <w:tc>
                <w:tcPr>
                  <w:tcW w:w="9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val="0"/>
                      <w:color w:val="000000"/>
                      <w:sz w:val="21"/>
                      <w:szCs w:val="21"/>
                    </w:rPr>
                  </w:pPr>
                  <w:r>
                    <w:rPr>
                      <w:b w:val="0"/>
                      <w:bCs w:val="0"/>
                      <w:color w:val="000000"/>
                      <w:sz w:val="21"/>
                      <w:szCs w:val="21"/>
                    </w:rPr>
                    <w:t>SS</w:t>
                  </w:r>
                </w:p>
              </w:tc>
              <w:tc>
                <w:tcPr>
                  <w:tcW w:w="5295"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val="0"/>
                      <w:color w:val="000000"/>
                      <w:sz w:val="21"/>
                      <w:szCs w:val="21"/>
                    </w:rPr>
                  </w:pPr>
                  <w:r>
                    <w:rPr>
                      <w:b w:val="0"/>
                      <w:bCs w:val="0"/>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7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val="0"/>
                      <w:color w:val="000000"/>
                      <w:sz w:val="21"/>
                      <w:szCs w:val="21"/>
                    </w:rPr>
                  </w:pPr>
                </w:p>
              </w:tc>
              <w:tc>
                <w:tcPr>
                  <w:tcW w:w="9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val="0"/>
                      <w:color w:val="000000"/>
                      <w:sz w:val="21"/>
                      <w:szCs w:val="21"/>
                    </w:rPr>
                  </w:pPr>
                  <w:r>
                    <w:rPr>
                      <w:b w:val="0"/>
                      <w:bCs w:val="0"/>
                      <w:color w:val="000000"/>
                      <w:sz w:val="21"/>
                      <w:szCs w:val="21"/>
                    </w:rPr>
                    <w:t>BOD</w:t>
                  </w:r>
                  <w:r>
                    <w:rPr>
                      <w:b w:val="0"/>
                      <w:bCs w:val="0"/>
                      <w:color w:val="000000"/>
                      <w:sz w:val="21"/>
                      <w:szCs w:val="21"/>
                      <w:vertAlign w:val="subscript"/>
                    </w:rPr>
                    <w:t>5</w:t>
                  </w:r>
                </w:p>
              </w:tc>
              <w:tc>
                <w:tcPr>
                  <w:tcW w:w="5295"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val="0"/>
                      <w:color w:val="000000"/>
                      <w:sz w:val="21"/>
                      <w:szCs w:val="21"/>
                    </w:rPr>
                  </w:pPr>
                  <w:r>
                    <w:rPr>
                      <w:b w:val="0"/>
                      <w:bCs w:val="0"/>
                      <w:color w:val="000000"/>
                      <w:sz w:val="21"/>
                      <w:szCs w:val="21"/>
                    </w:rPr>
                    <w:t>5.08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7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val="0"/>
                      <w:color w:val="000000"/>
                      <w:sz w:val="21"/>
                      <w:szCs w:val="21"/>
                    </w:rPr>
                  </w:pPr>
                </w:p>
              </w:tc>
              <w:tc>
                <w:tcPr>
                  <w:tcW w:w="9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val="0"/>
                      <w:color w:val="000000"/>
                      <w:sz w:val="21"/>
                      <w:szCs w:val="21"/>
                    </w:rPr>
                  </w:pPr>
                  <w:r>
                    <w:rPr>
                      <w:b w:val="0"/>
                      <w:bCs w:val="0"/>
                      <w:color w:val="000000"/>
                      <w:sz w:val="21"/>
                      <w:szCs w:val="21"/>
                    </w:rPr>
                    <w:t>石油类</w:t>
                  </w:r>
                </w:p>
              </w:tc>
              <w:tc>
                <w:tcPr>
                  <w:tcW w:w="5295"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val="0"/>
                      <w:color w:val="000000"/>
                      <w:sz w:val="21"/>
                      <w:szCs w:val="21"/>
                    </w:rPr>
                  </w:pPr>
                  <w:r>
                    <w:rPr>
                      <w:b w:val="0"/>
                      <w:bCs w:val="0"/>
                      <w:color w:val="000000"/>
                      <w:sz w:val="21"/>
                      <w:szCs w:val="21"/>
                    </w:rPr>
                    <w:t>11.25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val="0"/>
                      <w:bCs w:val="0"/>
                      <w:color w:val="000000"/>
                      <w:kern w:val="2"/>
                      <w:sz w:val="21"/>
                      <w:szCs w:val="21"/>
                      <w:lang w:val="en-US" w:eastAsia="zh-CN" w:bidi="ar-SA"/>
                    </w:rPr>
                  </w:pPr>
                  <w:r>
                    <w:rPr>
                      <w:b w:val="0"/>
                      <w:bCs w:val="0"/>
                      <w:color w:val="000000"/>
                      <w:sz w:val="21"/>
                      <w:szCs w:val="21"/>
                    </w:rPr>
                    <w:t>年降雨量(mm)</w:t>
                  </w:r>
                </w:p>
              </w:tc>
              <w:tc>
                <w:tcPr>
                  <w:tcW w:w="5295"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val="0"/>
                      <w:color w:val="000000"/>
                      <w:sz w:val="21"/>
                      <w:szCs w:val="21"/>
                    </w:rPr>
                  </w:pPr>
                  <w:r>
                    <w:rPr>
                      <w:b w:val="0"/>
                      <w:bCs w:val="0"/>
                      <w:color w:val="000000"/>
                      <w:sz w:val="21"/>
                      <w:szCs w:val="21"/>
                    </w:rPr>
                    <w:t>1409.5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val="0"/>
                      <w:bCs w:val="0"/>
                      <w:color w:val="000000"/>
                      <w:kern w:val="0"/>
                      <w:sz w:val="21"/>
                      <w:szCs w:val="21"/>
                      <w:lang w:val="en-US" w:eastAsia="zh-CN" w:bidi="ar-SA"/>
                    </w:rPr>
                  </w:pPr>
                  <w:r>
                    <w:rPr>
                      <w:b w:val="0"/>
                      <w:bCs w:val="0"/>
                      <w:color w:val="000000"/>
                      <w:sz w:val="21"/>
                      <w:szCs w:val="21"/>
                    </w:rPr>
                    <w:t>路面面积(m</w:t>
                  </w:r>
                  <w:r>
                    <w:rPr>
                      <w:b w:val="0"/>
                      <w:bCs w:val="0"/>
                      <w:color w:val="000000"/>
                      <w:sz w:val="21"/>
                      <w:szCs w:val="21"/>
                      <w:vertAlign w:val="superscript"/>
                    </w:rPr>
                    <w:t>2</w:t>
                  </w:r>
                  <w:r>
                    <w:rPr>
                      <w:b w:val="0"/>
                      <w:bCs w:val="0"/>
                      <w:color w:val="000000"/>
                      <w:sz w:val="21"/>
                      <w:szCs w:val="21"/>
                    </w:rPr>
                    <w:t>)</w:t>
                  </w:r>
                </w:p>
              </w:tc>
              <w:tc>
                <w:tcPr>
                  <w:tcW w:w="12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kern w:val="2"/>
                      <w:sz w:val="21"/>
                      <w:szCs w:val="21"/>
                      <w:lang w:val="en-US" w:eastAsia="zh-CN" w:bidi="ar-SA"/>
                    </w:rPr>
                    <w:t>15733.41</w:t>
                  </w:r>
                </w:p>
              </w:tc>
              <w:tc>
                <w:tcPr>
                  <w:tcW w:w="1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sz w:val="21"/>
                      <w:szCs w:val="21"/>
                      <w:lang w:val="en-US" w:eastAsia="zh-CN"/>
                    </w:rPr>
                  </w:pPr>
                  <w:r>
                    <w:rPr>
                      <w:rFonts w:hint="eastAsia"/>
                      <w:b w:val="0"/>
                      <w:bCs w:val="0"/>
                      <w:color w:val="000000"/>
                      <w:sz w:val="21"/>
                      <w:szCs w:val="21"/>
                      <w:lang w:val="en-US" w:eastAsia="zh-CN"/>
                    </w:rPr>
                    <w:t>36066.84</w:t>
                  </w:r>
                </w:p>
              </w:tc>
              <w:tc>
                <w:tcPr>
                  <w:tcW w:w="14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sz w:val="21"/>
                      <w:szCs w:val="21"/>
                      <w:lang w:val="en-US" w:eastAsia="zh-CN"/>
                    </w:rPr>
                  </w:pPr>
                  <w:r>
                    <w:rPr>
                      <w:rFonts w:hint="eastAsia"/>
                      <w:b w:val="0"/>
                      <w:bCs w:val="0"/>
                      <w:color w:val="000000"/>
                      <w:sz w:val="21"/>
                      <w:szCs w:val="21"/>
                      <w:lang w:val="en-US" w:eastAsia="zh-CN"/>
                    </w:rPr>
                    <w:t>12533.40</w:t>
                  </w:r>
                </w:p>
              </w:tc>
              <w:tc>
                <w:tcPr>
                  <w:tcW w:w="12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sz w:val="21"/>
                      <w:szCs w:val="21"/>
                      <w:lang w:val="en-US" w:eastAsia="zh-CN"/>
                    </w:rPr>
                  </w:pPr>
                  <w:r>
                    <w:rPr>
                      <w:rFonts w:hint="eastAsia"/>
                      <w:b w:val="0"/>
                      <w:bCs w:val="0"/>
                      <w:color w:val="000000"/>
                      <w:sz w:val="21"/>
                      <w:szCs w:val="21"/>
                      <w:lang w:val="en-US" w:eastAsia="zh-CN"/>
                    </w:rPr>
                    <w:t>33466.83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val="0"/>
                      <w:color w:val="000000"/>
                      <w:sz w:val="21"/>
                      <w:szCs w:val="21"/>
                    </w:rPr>
                  </w:pPr>
                  <w:r>
                    <w:rPr>
                      <w:rFonts w:hint="eastAsia"/>
                      <w:b w:val="0"/>
                      <w:bCs w:val="0"/>
                      <w:color w:val="000000"/>
                      <w:sz w:val="21"/>
                      <w:szCs w:val="21"/>
                    </w:rPr>
                    <w:t>路面宽度(m)</w:t>
                  </w:r>
                </w:p>
              </w:tc>
              <w:tc>
                <w:tcPr>
                  <w:tcW w:w="12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b w:val="0"/>
                      <w:bCs w:val="0"/>
                      <w:color w:val="000000"/>
                      <w:kern w:val="2"/>
                      <w:sz w:val="21"/>
                      <w:szCs w:val="21"/>
                      <w:lang w:val="en-US" w:eastAsia="zh-CN" w:bidi="ar-SA"/>
                    </w:rPr>
                  </w:pPr>
                  <w:r>
                    <w:rPr>
                      <w:rFonts w:hint="eastAsia" w:cs="Times New Roman"/>
                      <w:b w:val="0"/>
                      <w:bCs w:val="0"/>
                      <w:color w:val="000000"/>
                      <w:kern w:val="2"/>
                      <w:sz w:val="21"/>
                      <w:szCs w:val="21"/>
                      <w:lang w:val="en-US" w:eastAsia="zh-CN" w:bidi="ar-SA"/>
                    </w:rPr>
                    <w:t>24</w:t>
                  </w:r>
                </w:p>
              </w:tc>
              <w:tc>
                <w:tcPr>
                  <w:tcW w:w="1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val="0"/>
                      <w:bCs w:val="0"/>
                      <w:color w:val="000000"/>
                      <w:sz w:val="21"/>
                      <w:szCs w:val="21"/>
                      <w:lang w:val="en-US" w:eastAsia="zh-CN"/>
                    </w:rPr>
                  </w:pPr>
                  <w:r>
                    <w:rPr>
                      <w:rFonts w:hint="eastAsia"/>
                      <w:b w:val="0"/>
                      <w:bCs w:val="0"/>
                      <w:color w:val="000000"/>
                      <w:sz w:val="21"/>
                      <w:szCs w:val="21"/>
                      <w:lang w:val="en-US" w:eastAsia="zh-CN"/>
                    </w:rPr>
                    <w:t>40</w:t>
                  </w:r>
                </w:p>
              </w:tc>
              <w:tc>
                <w:tcPr>
                  <w:tcW w:w="14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val="0"/>
                      <w:bCs w:val="0"/>
                      <w:color w:val="000000"/>
                      <w:sz w:val="21"/>
                      <w:szCs w:val="21"/>
                      <w:lang w:val="en-US" w:eastAsia="zh-CN"/>
                    </w:rPr>
                  </w:pPr>
                  <w:r>
                    <w:rPr>
                      <w:rFonts w:hint="eastAsia"/>
                      <w:b w:val="0"/>
                      <w:bCs w:val="0"/>
                      <w:color w:val="000000"/>
                      <w:sz w:val="21"/>
                      <w:szCs w:val="21"/>
                      <w:lang w:val="en-US" w:eastAsia="zh-CN"/>
                    </w:rPr>
                    <w:t>13</w:t>
                  </w:r>
                </w:p>
              </w:tc>
              <w:tc>
                <w:tcPr>
                  <w:tcW w:w="12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val="0"/>
                      <w:bCs w:val="0"/>
                      <w:color w:val="000000"/>
                      <w:sz w:val="21"/>
                      <w:szCs w:val="21"/>
                      <w:lang w:val="en-US" w:eastAsia="zh-CN"/>
                    </w:rPr>
                  </w:pPr>
                  <w:r>
                    <w:rPr>
                      <w:rFonts w:hint="eastAsia"/>
                      <w:b w:val="0"/>
                      <w:bCs w:val="0"/>
                      <w:color w:val="000000"/>
                      <w:sz w:val="21"/>
                      <w:szCs w:val="21"/>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b w:val="0"/>
                      <w:bCs w:val="0"/>
                      <w:color w:val="000000"/>
                      <w:sz w:val="21"/>
                      <w:szCs w:val="21"/>
                      <w:lang w:eastAsia="zh-CN"/>
                    </w:rPr>
                  </w:pPr>
                  <w:r>
                    <w:rPr>
                      <w:rFonts w:hint="eastAsia"/>
                      <w:b w:val="0"/>
                      <w:bCs w:val="0"/>
                      <w:color w:val="000000"/>
                      <w:sz w:val="21"/>
                      <w:szCs w:val="21"/>
                      <w:lang w:eastAsia="zh-CN"/>
                    </w:rPr>
                    <w:t>路面长度</w:t>
                  </w:r>
                  <w:r>
                    <w:rPr>
                      <w:rFonts w:hint="eastAsia"/>
                      <w:b w:val="0"/>
                      <w:bCs w:val="0"/>
                      <w:color w:val="000000"/>
                      <w:sz w:val="21"/>
                      <w:szCs w:val="21"/>
                    </w:rPr>
                    <w:t>(</w:t>
                  </w:r>
                  <w:r>
                    <w:rPr>
                      <w:rFonts w:hint="eastAsia"/>
                      <w:b w:val="0"/>
                      <w:bCs w:val="0"/>
                      <w:color w:val="000000"/>
                      <w:sz w:val="21"/>
                      <w:szCs w:val="21"/>
                      <w:lang w:val="en-US" w:eastAsia="zh-CN"/>
                    </w:rPr>
                    <w:t>k</w:t>
                  </w:r>
                  <w:r>
                    <w:rPr>
                      <w:rFonts w:hint="eastAsia"/>
                      <w:b w:val="0"/>
                      <w:bCs w:val="0"/>
                      <w:color w:val="000000"/>
                      <w:sz w:val="21"/>
                      <w:szCs w:val="21"/>
                    </w:rPr>
                    <w:t>m)</w:t>
                  </w:r>
                </w:p>
              </w:tc>
              <w:tc>
                <w:tcPr>
                  <w:tcW w:w="12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b w:val="0"/>
                      <w:bCs w:val="0"/>
                      <w:color w:val="000000"/>
                      <w:kern w:val="2"/>
                      <w:sz w:val="21"/>
                      <w:szCs w:val="21"/>
                      <w:lang w:val="en-US" w:eastAsia="zh-CN" w:bidi="ar-SA"/>
                    </w:rPr>
                  </w:pPr>
                  <w:r>
                    <w:rPr>
                      <w:rFonts w:hint="eastAsia" w:cs="Times New Roman"/>
                      <w:b w:val="0"/>
                      <w:bCs w:val="0"/>
                      <w:color w:val="000000"/>
                      <w:kern w:val="2"/>
                      <w:sz w:val="21"/>
                      <w:szCs w:val="21"/>
                      <w:lang w:val="en-US" w:eastAsia="zh-CN" w:bidi="ar-SA"/>
                    </w:rPr>
                    <w:t>0.35</w:t>
                  </w:r>
                </w:p>
              </w:tc>
              <w:tc>
                <w:tcPr>
                  <w:tcW w:w="1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val="0"/>
                      <w:color w:val="000000"/>
                      <w:sz w:val="21"/>
                      <w:szCs w:val="21"/>
                      <w:lang w:val="en-US" w:eastAsia="zh-CN"/>
                    </w:rPr>
                  </w:pPr>
                  <w:r>
                    <w:rPr>
                      <w:rFonts w:hint="eastAsia"/>
                      <w:b w:val="0"/>
                      <w:bCs w:val="0"/>
                      <w:color w:val="000000"/>
                      <w:sz w:val="21"/>
                      <w:szCs w:val="21"/>
                      <w:lang w:val="en-US" w:eastAsia="zh-CN"/>
                    </w:rPr>
                    <w:t>0.57</w:t>
                  </w:r>
                </w:p>
              </w:tc>
              <w:tc>
                <w:tcPr>
                  <w:tcW w:w="14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val="0"/>
                      <w:color w:val="000000"/>
                      <w:sz w:val="21"/>
                      <w:szCs w:val="21"/>
                      <w:lang w:val="en-US" w:eastAsia="zh-CN"/>
                    </w:rPr>
                  </w:pPr>
                  <w:r>
                    <w:rPr>
                      <w:rFonts w:hint="eastAsia"/>
                      <w:b w:val="0"/>
                      <w:bCs w:val="0"/>
                      <w:color w:val="000000"/>
                      <w:sz w:val="21"/>
                      <w:szCs w:val="21"/>
                      <w:lang w:val="en-US" w:eastAsia="zh-CN"/>
                    </w:rPr>
                    <w:t>0.38</w:t>
                  </w:r>
                </w:p>
              </w:tc>
              <w:tc>
                <w:tcPr>
                  <w:tcW w:w="12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val="0"/>
                      <w:bCs w:val="0"/>
                      <w:color w:val="000000"/>
                      <w:sz w:val="21"/>
                      <w:szCs w:val="21"/>
                      <w:lang w:val="en-US" w:eastAsia="zh-CN"/>
                    </w:rPr>
                  </w:pPr>
                  <w:r>
                    <w:rPr>
                      <w:rFonts w:hint="eastAsia"/>
                      <w:b w:val="0"/>
                      <w:bCs w:val="0"/>
                      <w:color w:val="000000"/>
                      <w:sz w:val="21"/>
                      <w:szCs w:val="21"/>
                      <w:lang w:val="en-US" w:eastAsia="zh-CN"/>
                    </w:rPr>
                    <w:t>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val="0"/>
                      <w:bCs w:val="0"/>
                      <w:color w:val="000000"/>
                      <w:kern w:val="0"/>
                      <w:sz w:val="21"/>
                      <w:szCs w:val="21"/>
                      <w:lang w:val="en-US" w:eastAsia="zh-CN" w:bidi="ar-SA"/>
                    </w:rPr>
                  </w:pPr>
                  <w:r>
                    <w:rPr>
                      <w:b w:val="0"/>
                      <w:bCs w:val="0"/>
                      <w:color w:val="000000"/>
                      <w:sz w:val="21"/>
                      <w:szCs w:val="21"/>
                    </w:rPr>
                    <w:t>径流系数</w:t>
                  </w:r>
                </w:p>
              </w:tc>
              <w:tc>
                <w:tcPr>
                  <w:tcW w:w="5295"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val="0"/>
                      <w:color w:val="000000"/>
                      <w:sz w:val="21"/>
                      <w:szCs w:val="21"/>
                    </w:rPr>
                  </w:pPr>
                  <w:r>
                    <w:rPr>
                      <w:b w:val="0"/>
                      <w:bCs w:val="0"/>
                      <w:color w:val="000000"/>
                      <w:kern w:val="0"/>
                      <w:sz w:val="21"/>
                      <w:szCs w:val="21"/>
                    </w:rPr>
                    <w:t>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8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val="0"/>
                      <w:bCs w:val="0"/>
                      <w:color w:val="000000"/>
                      <w:kern w:val="0"/>
                      <w:sz w:val="21"/>
                      <w:szCs w:val="21"/>
                      <w:lang w:val="en-US" w:eastAsia="zh-CN" w:bidi="ar-SA"/>
                    </w:rPr>
                  </w:pPr>
                  <w:r>
                    <w:rPr>
                      <w:b w:val="0"/>
                      <w:bCs w:val="0"/>
                      <w:color w:val="000000"/>
                      <w:sz w:val="21"/>
                      <w:szCs w:val="21"/>
                    </w:rPr>
                    <w:t>径流总量(m</w:t>
                  </w:r>
                  <w:r>
                    <w:rPr>
                      <w:b w:val="0"/>
                      <w:bCs w:val="0"/>
                      <w:color w:val="000000"/>
                      <w:sz w:val="21"/>
                      <w:szCs w:val="21"/>
                      <w:vertAlign w:val="superscript"/>
                    </w:rPr>
                    <w:t>3</w:t>
                  </w:r>
                  <w:r>
                    <w:rPr>
                      <w:b w:val="0"/>
                      <w:bCs w:val="0"/>
                      <w:color w:val="000000"/>
                      <w:sz w:val="21"/>
                      <w:szCs w:val="21"/>
                    </w:rPr>
                    <w:t>)</w:t>
                  </w:r>
                </w:p>
              </w:tc>
              <w:tc>
                <w:tcPr>
                  <w:tcW w:w="12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eastAsia" w:cs="Times New Roman"/>
                      <w:b w:val="0"/>
                      <w:bCs w:val="0"/>
                      <w:color w:val="000000"/>
                      <w:kern w:val="0"/>
                      <w:sz w:val="21"/>
                      <w:szCs w:val="21"/>
                      <w:lang w:val="en-US" w:eastAsia="zh-CN" w:bidi="ar-SA"/>
                    </w:rPr>
                    <w:t>19958.62</w:t>
                  </w:r>
                </w:p>
              </w:tc>
              <w:tc>
                <w:tcPr>
                  <w:tcW w:w="1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sz w:val="21"/>
                      <w:szCs w:val="21"/>
                      <w:lang w:val="en-US" w:eastAsia="zh-CN"/>
                    </w:rPr>
                  </w:pPr>
                  <w:r>
                    <w:rPr>
                      <w:rFonts w:hint="eastAsia"/>
                      <w:b w:val="0"/>
                      <w:bCs w:val="0"/>
                      <w:color w:val="000000"/>
                      <w:sz w:val="21"/>
                      <w:szCs w:val="21"/>
                      <w:lang w:val="en-US" w:eastAsia="zh-CN"/>
                    </w:rPr>
                    <w:t>45752.59</w:t>
                  </w:r>
                </w:p>
              </w:tc>
              <w:tc>
                <w:tcPr>
                  <w:tcW w:w="14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sz w:val="21"/>
                      <w:szCs w:val="21"/>
                      <w:lang w:val="en-US" w:eastAsia="zh-CN"/>
                    </w:rPr>
                  </w:pPr>
                  <w:r>
                    <w:rPr>
                      <w:rFonts w:hint="eastAsia"/>
                      <w:b w:val="0"/>
                      <w:bCs w:val="0"/>
                      <w:color w:val="000000"/>
                      <w:sz w:val="21"/>
                      <w:szCs w:val="21"/>
                      <w:lang w:val="en-US" w:eastAsia="zh-CN"/>
                    </w:rPr>
                    <w:t>15899.24</w:t>
                  </w:r>
                </w:p>
              </w:tc>
              <w:tc>
                <w:tcPr>
                  <w:tcW w:w="12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sz w:val="21"/>
                      <w:szCs w:val="21"/>
                      <w:lang w:val="en-US" w:eastAsia="zh-CN"/>
                    </w:rPr>
                  </w:pPr>
                  <w:r>
                    <w:rPr>
                      <w:rFonts w:hint="eastAsia"/>
                      <w:b w:val="0"/>
                      <w:bCs w:val="0"/>
                      <w:color w:val="000000"/>
                      <w:sz w:val="21"/>
                      <w:szCs w:val="21"/>
                      <w:lang w:val="en-US" w:eastAsia="zh-CN"/>
                    </w:rPr>
                    <w:t>42454.35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7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szCs w:val="21"/>
                    </w:rPr>
                    <w:t>污染物</w:t>
                  </w:r>
                  <w:r>
                    <w:rPr>
                      <w:b w:val="0"/>
                      <w:bCs w:val="0"/>
                      <w:color w:val="000000"/>
                      <w:sz w:val="21"/>
                      <w:szCs w:val="21"/>
                    </w:rPr>
                    <w:t>年均产生量（t/a）</w:t>
                  </w:r>
                </w:p>
              </w:tc>
              <w:tc>
                <w:tcPr>
                  <w:tcW w:w="9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val="0"/>
                      <w:color w:val="000000"/>
                      <w:kern w:val="0"/>
                      <w:sz w:val="21"/>
                      <w:szCs w:val="21"/>
                    </w:rPr>
                  </w:pPr>
                  <w:r>
                    <w:rPr>
                      <w:b w:val="0"/>
                      <w:bCs w:val="0"/>
                      <w:color w:val="000000"/>
                      <w:sz w:val="21"/>
                      <w:szCs w:val="21"/>
                    </w:rPr>
                    <w:t>SS</w:t>
                  </w:r>
                </w:p>
              </w:tc>
              <w:tc>
                <w:tcPr>
                  <w:tcW w:w="12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eastAsia" w:cs="Times New Roman"/>
                      <w:b w:val="0"/>
                      <w:bCs w:val="0"/>
                      <w:color w:val="000000"/>
                      <w:kern w:val="0"/>
                      <w:sz w:val="21"/>
                      <w:szCs w:val="21"/>
                      <w:lang w:val="en-US" w:eastAsia="zh-CN" w:bidi="ar-SA"/>
                    </w:rPr>
                    <w:t>1.06</w:t>
                  </w:r>
                </w:p>
              </w:tc>
              <w:tc>
                <w:tcPr>
                  <w:tcW w:w="1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sz w:val="21"/>
                      <w:szCs w:val="21"/>
                      <w:lang w:val="en-US" w:eastAsia="zh-CN"/>
                    </w:rPr>
                  </w:pPr>
                  <w:r>
                    <w:rPr>
                      <w:rFonts w:hint="eastAsia"/>
                      <w:b w:val="0"/>
                      <w:bCs w:val="0"/>
                      <w:color w:val="000000"/>
                      <w:sz w:val="21"/>
                      <w:szCs w:val="21"/>
                      <w:lang w:val="en-US" w:eastAsia="zh-CN"/>
                    </w:rPr>
                    <w:t>2.89</w:t>
                  </w:r>
                </w:p>
              </w:tc>
              <w:tc>
                <w:tcPr>
                  <w:tcW w:w="14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sz w:val="21"/>
                      <w:szCs w:val="21"/>
                      <w:lang w:val="en-US" w:eastAsia="zh-CN"/>
                    </w:rPr>
                  </w:pPr>
                  <w:r>
                    <w:rPr>
                      <w:rFonts w:hint="eastAsia"/>
                      <w:b w:val="0"/>
                      <w:bCs w:val="0"/>
                      <w:color w:val="000000"/>
                      <w:sz w:val="21"/>
                      <w:szCs w:val="21"/>
                      <w:lang w:val="en-US" w:eastAsia="zh-CN"/>
                    </w:rPr>
                    <w:t>0.63</w:t>
                  </w:r>
                </w:p>
              </w:tc>
              <w:tc>
                <w:tcPr>
                  <w:tcW w:w="12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b w:val="0"/>
                      <w:bCs w:val="0"/>
                      <w:color w:val="000000"/>
                      <w:sz w:val="21"/>
                      <w:szCs w:val="21"/>
                      <w:lang w:val="en-US" w:eastAsia="zh-CN"/>
                    </w:rPr>
                  </w:pPr>
                  <w:r>
                    <w:rPr>
                      <w:rFonts w:hint="eastAsia"/>
                      <w:b w:val="0"/>
                      <w:bCs w:val="0"/>
                      <w:color w:val="000000"/>
                      <w:sz w:val="21"/>
                      <w:szCs w:val="21"/>
                      <w:lang w:val="en-US" w:eastAsia="zh-CN"/>
                    </w:rPr>
                    <w:t>3.77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7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000000"/>
                      <w:kern w:val="2"/>
                      <w:sz w:val="21"/>
                      <w:szCs w:val="21"/>
                      <w:lang w:val="en-US" w:eastAsia="zh-CN" w:bidi="ar-SA"/>
                    </w:rPr>
                  </w:pPr>
                </w:p>
              </w:tc>
              <w:tc>
                <w:tcPr>
                  <w:tcW w:w="9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kern w:val="0"/>
                      <w:sz w:val="21"/>
                      <w:szCs w:val="21"/>
                    </w:rPr>
                  </w:pPr>
                  <w:r>
                    <w:rPr>
                      <w:color w:val="000000"/>
                      <w:sz w:val="21"/>
                      <w:szCs w:val="21"/>
                    </w:rPr>
                    <w:t>BOD</w:t>
                  </w:r>
                  <w:r>
                    <w:rPr>
                      <w:color w:val="000000"/>
                      <w:sz w:val="21"/>
                      <w:szCs w:val="21"/>
                      <w:vertAlign w:val="subscript"/>
                    </w:rPr>
                    <w:t>5</w:t>
                  </w:r>
                </w:p>
              </w:tc>
              <w:tc>
                <w:tcPr>
                  <w:tcW w:w="12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0"/>
                      <w:sz w:val="21"/>
                      <w:szCs w:val="21"/>
                      <w:lang w:val="en-US" w:eastAsia="zh-CN" w:bidi="ar-SA"/>
                    </w:rPr>
                  </w:pPr>
                  <w:r>
                    <w:rPr>
                      <w:rFonts w:hint="eastAsia" w:cs="Times New Roman"/>
                      <w:color w:val="000000"/>
                      <w:kern w:val="0"/>
                      <w:sz w:val="21"/>
                      <w:szCs w:val="21"/>
                      <w:lang w:val="en-US" w:eastAsia="zh-CN" w:bidi="ar-SA"/>
                    </w:rPr>
                    <w:t>0.054</w:t>
                  </w:r>
                </w:p>
              </w:tc>
              <w:tc>
                <w:tcPr>
                  <w:tcW w:w="1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0.15</w:t>
                  </w:r>
                </w:p>
              </w:tc>
              <w:tc>
                <w:tcPr>
                  <w:tcW w:w="14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0.031</w:t>
                  </w:r>
                </w:p>
              </w:tc>
              <w:tc>
                <w:tcPr>
                  <w:tcW w:w="12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0.19</w:t>
                  </w:r>
                </w:p>
              </w:tc>
            </w:tr>
            <w:bookmarkEnd w:id="19"/>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7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b/>
                      <w:bCs/>
                      <w:color w:val="000000"/>
                      <w:kern w:val="2"/>
                      <w:sz w:val="21"/>
                      <w:szCs w:val="21"/>
                      <w:lang w:val="en-US" w:eastAsia="zh-CN" w:bidi="ar-SA"/>
                    </w:rPr>
                  </w:pPr>
                </w:p>
              </w:tc>
              <w:tc>
                <w:tcPr>
                  <w:tcW w:w="9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olor w:val="000000"/>
                      <w:sz w:val="21"/>
                      <w:szCs w:val="21"/>
                    </w:rPr>
                  </w:pPr>
                  <w:r>
                    <w:rPr>
                      <w:color w:val="000000"/>
                      <w:sz w:val="21"/>
                      <w:szCs w:val="21"/>
                    </w:rPr>
                    <w:t>石油类</w:t>
                  </w:r>
                </w:p>
              </w:tc>
              <w:tc>
                <w:tcPr>
                  <w:tcW w:w="12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0.12</w:t>
                  </w:r>
                </w:p>
              </w:tc>
              <w:tc>
                <w:tcPr>
                  <w:tcW w:w="1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0.33</w:t>
                  </w:r>
                </w:p>
              </w:tc>
              <w:tc>
                <w:tcPr>
                  <w:tcW w:w="14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0.070</w:t>
                  </w:r>
                </w:p>
              </w:tc>
              <w:tc>
                <w:tcPr>
                  <w:tcW w:w="12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000000"/>
                      <w:sz w:val="21"/>
                      <w:szCs w:val="21"/>
                      <w:lang w:val="en-US" w:eastAsia="zh-CN"/>
                    </w:rPr>
                  </w:pPr>
                  <w:r>
                    <w:rPr>
                      <w:rFonts w:hint="eastAsia"/>
                      <w:color w:val="000000"/>
                      <w:sz w:val="21"/>
                      <w:szCs w:val="21"/>
                      <w:lang w:val="en-US" w:eastAsia="zh-CN"/>
                    </w:rPr>
                    <w:t>0.42</w:t>
                  </w:r>
                </w:p>
              </w:tc>
            </w:tr>
          </w:tbl>
          <w:p>
            <w:pPr>
              <w:tabs>
                <w:tab w:val="left" w:pos="1280"/>
              </w:tabs>
              <w:ind w:firstLine="482" w:firstLineChars="200"/>
              <w:textAlignment w:val="baseline"/>
              <w:rPr>
                <w:b/>
                <w:bCs/>
                <w:sz w:val="24"/>
              </w:rPr>
            </w:pPr>
            <w:r>
              <w:rPr>
                <w:b/>
                <w:bCs/>
                <w:sz w:val="24"/>
              </w:rPr>
              <w:t>2.</w:t>
            </w:r>
            <w:r>
              <w:rPr>
                <w:rFonts w:hint="eastAsia"/>
                <w:b/>
                <w:bCs/>
                <w:sz w:val="24"/>
                <w:lang w:val="en-US" w:eastAsia="zh-CN"/>
              </w:rPr>
              <w:t>2</w:t>
            </w:r>
            <w:r>
              <w:rPr>
                <w:b/>
                <w:bCs/>
                <w:sz w:val="24"/>
              </w:rPr>
              <w:t>运营期大气污染源分析</w:t>
            </w:r>
          </w:p>
          <w:p>
            <w:pPr>
              <w:tabs>
                <w:tab w:val="left" w:pos="1280"/>
              </w:tabs>
              <w:ind w:firstLine="480" w:firstLineChars="200"/>
              <w:textAlignment w:val="baseline"/>
              <w:rPr>
                <w:sz w:val="24"/>
              </w:rPr>
            </w:pPr>
            <w:r>
              <w:rPr>
                <w:sz w:val="24"/>
              </w:rPr>
              <w:t>运营期废气主要包括车辆运输产生的汽车尾气及行驶过程产生的道路扬尘。</w:t>
            </w:r>
          </w:p>
          <w:p>
            <w:pPr>
              <w:tabs>
                <w:tab w:val="left" w:pos="1280"/>
              </w:tabs>
              <w:ind w:firstLine="480" w:firstLineChars="200"/>
              <w:textAlignment w:val="baseline"/>
              <w:rPr>
                <w:sz w:val="24"/>
              </w:rPr>
            </w:pPr>
            <w:r>
              <w:rPr>
                <w:sz w:val="24"/>
              </w:rPr>
              <w:t>（1）汽车尾气</w:t>
            </w:r>
          </w:p>
          <w:p>
            <w:pPr>
              <w:tabs>
                <w:tab w:val="left" w:pos="1280"/>
              </w:tabs>
              <w:ind w:firstLine="480" w:firstLineChars="200"/>
              <w:textAlignment w:val="baseline"/>
              <w:rPr>
                <w:b/>
                <w:bCs/>
                <w:sz w:val="24"/>
              </w:rPr>
            </w:pPr>
            <w:r>
              <w:rPr>
                <w:sz w:val="24"/>
              </w:rPr>
              <w:t>机动车在行驶时排放尾气，各类型机动车在不同行驶速度下的台驾模拟试验表明，不同类型机动车的尾气污染物排放有不同的规律。</w:t>
            </w:r>
            <w:r>
              <w:rPr>
                <w:rFonts w:hint="eastAsia"/>
                <w:sz w:val="24"/>
              </w:rPr>
              <w:t>参照</w:t>
            </w:r>
            <w:r>
              <w:rPr>
                <w:sz w:val="24"/>
              </w:rPr>
              <w:t>《公路建设项目环境影响评价规范》（JTGB03-2006）中推荐的</w:t>
            </w:r>
            <w:r>
              <w:rPr>
                <w:rFonts w:hint="eastAsia"/>
                <w:sz w:val="24"/>
              </w:rPr>
              <w:t>机动</w:t>
            </w:r>
            <w:r>
              <w:rPr>
                <w:sz w:val="24"/>
              </w:rPr>
              <w:t>车尾气污染物排放因子，</w:t>
            </w:r>
            <w:r>
              <w:rPr>
                <w:rFonts w:hint="eastAsia"/>
                <w:sz w:val="24"/>
              </w:rPr>
              <w:t>见</w:t>
            </w:r>
            <w:r>
              <w:rPr>
                <w:sz w:val="24"/>
              </w:rPr>
              <w:t>表2</w:t>
            </w:r>
            <w:r>
              <w:rPr>
                <w:rFonts w:hint="eastAsia"/>
                <w:sz w:val="24"/>
                <w:lang w:val="en-US" w:eastAsia="zh-CN"/>
              </w:rPr>
              <w:t>8</w:t>
            </w:r>
            <w:r>
              <w:rPr>
                <w:sz w:val="24"/>
              </w:rPr>
              <w:t>。</w:t>
            </w:r>
          </w:p>
          <w:p>
            <w:pPr>
              <w:tabs>
                <w:tab w:val="left" w:pos="1280"/>
              </w:tabs>
              <w:ind w:firstLine="482" w:firstLineChars="200"/>
              <w:jc w:val="center"/>
              <w:textAlignment w:val="baseline"/>
              <w:rPr>
                <w:b/>
                <w:bCs/>
                <w:sz w:val="21"/>
                <w:szCs w:val="21"/>
              </w:rPr>
            </w:pPr>
            <w:r>
              <w:rPr>
                <w:b/>
                <w:bCs/>
                <w:sz w:val="24"/>
              </w:rPr>
              <w:t>表</w:t>
            </w:r>
            <w:r>
              <w:rPr>
                <w:rFonts w:hint="eastAsia"/>
                <w:b/>
                <w:bCs/>
                <w:sz w:val="24"/>
              </w:rPr>
              <w:t>2</w:t>
            </w:r>
            <w:r>
              <w:rPr>
                <w:rFonts w:hint="eastAsia"/>
                <w:b/>
                <w:bCs/>
                <w:sz w:val="24"/>
                <w:lang w:val="en-US" w:eastAsia="zh-CN"/>
              </w:rPr>
              <w:t>8</w:t>
            </w:r>
            <w:r>
              <w:rPr>
                <w:rFonts w:hint="eastAsia"/>
                <w:b/>
                <w:bCs/>
                <w:sz w:val="24"/>
              </w:rPr>
              <w:t xml:space="preserve">    </w:t>
            </w:r>
            <w:r>
              <w:rPr>
                <w:b/>
                <w:bCs/>
                <w:sz w:val="24"/>
              </w:rPr>
              <w:t>车辆单车排放因子推荐值（g/km·辆）</w:t>
            </w:r>
          </w:p>
          <w:tbl>
            <w:tblPr>
              <w:tblStyle w:val="35"/>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874"/>
              <w:gridCol w:w="794"/>
              <w:gridCol w:w="794"/>
              <w:gridCol w:w="794"/>
              <w:gridCol w:w="794"/>
              <w:gridCol w:w="794"/>
              <w:gridCol w:w="794"/>
              <w:gridCol w:w="794"/>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平均车速（km/h）</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30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40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50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60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70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80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90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小型车</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CO</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54.64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41.30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31.34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23.68</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17.90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14.76</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10.24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THC</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10.41</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9.09</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8.14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6.70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6.06</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5.30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4.66</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NO2</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0.05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0.92</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1.56</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2.09</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2.60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3.26</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3.39</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中型车</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CO</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40.45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34.48</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30.18</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26.19</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24.76</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25.47</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28.55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THC</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21.19</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17.21</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15.21</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12.42</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11.02</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10.10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9.42</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NO2</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2.07</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4.03</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4.75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5.54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6.34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7.30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7.74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大型车</w:t>
                  </w: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CO</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6.91</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5.84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5.25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4.48</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4.10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4.01</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4.23</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THC</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2.80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2.33</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2.08</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1.79</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1.58</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1.45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1.38</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p>
              </w:tc>
              <w:tc>
                <w:tcPr>
                  <w:tcW w:w="87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NO2</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6.64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val="0"/>
                      <w:bCs/>
                      <w:sz w:val="21"/>
                    </w:rPr>
                  </w:pPr>
                  <w:r>
                    <w:rPr>
                      <w:b w:val="0"/>
                      <w:bCs/>
                      <w:sz w:val="21"/>
                    </w:rPr>
                    <w:t>8.53</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9.19</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9.22</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9.77</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12.94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13.76</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rPr>
                  </w:pPr>
                  <w:r>
                    <w:rPr>
                      <w:sz w:val="21"/>
                    </w:rPr>
                    <w:t>16.17</w:t>
                  </w:r>
                </w:p>
              </w:tc>
            </w:tr>
          </w:tbl>
          <w:p>
            <w:pPr>
              <w:tabs>
                <w:tab w:val="left" w:pos="1280"/>
              </w:tabs>
              <w:ind w:firstLine="480" w:firstLineChars="200"/>
              <w:textAlignment w:val="baseline"/>
              <w:rPr>
                <w:sz w:val="24"/>
              </w:rPr>
            </w:pPr>
            <w:r>
              <w:rPr>
                <w:sz w:val="24"/>
              </w:rPr>
              <w:t>根据本项目交通车流量预测和</w:t>
            </w:r>
            <w:r>
              <w:rPr>
                <w:rFonts w:hint="eastAsia"/>
                <w:sz w:val="24"/>
              </w:rPr>
              <w:t>参照</w:t>
            </w:r>
            <w:r>
              <w:rPr>
                <w:sz w:val="24"/>
              </w:rPr>
              <w:t>《公路建设项目环境影响评价规范》（JTGB03-2006），计算机动车尾气污染物排放源强。</w:t>
            </w:r>
          </w:p>
          <w:p>
            <w:pPr>
              <w:tabs>
                <w:tab w:val="left" w:pos="1280"/>
              </w:tabs>
              <w:ind w:firstLine="480" w:firstLineChars="200"/>
              <w:textAlignment w:val="baseline"/>
              <w:rPr>
                <w:sz w:val="24"/>
              </w:rPr>
            </w:pPr>
            <w:r>
              <w:rPr>
                <w:sz w:val="24"/>
              </w:rPr>
              <w:t>推荐公式：</w:t>
            </w:r>
            <w:r>
              <w:rPr>
                <w:position w:val="-16"/>
                <w:sz w:val="24"/>
              </w:rPr>
              <w:object>
                <v:shape id="_x0000_i1026" o:spt="75" type="#_x0000_t75" style="height:22.75pt;width:106.1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pPr>
              <w:tabs>
                <w:tab w:val="left" w:pos="1280"/>
              </w:tabs>
              <w:ind w:firstLine="480" w:firstLineChars="200"/>
              <w:textAlignment w:val="baseline"/>
              <w:rPr>
                <w:sz w:val="24"/>
              </w:rPr>
            </w:pPr>
            <w:r>
              <w:rPr>
                <w:sz w:val="24"/>
              </w:rPr>
              <w:t>式中：Q</w:t>
            </w:r>
            <w:r>
              <w:rPr>
                <w:rFonts w:hint="eastAsia"/>
                <w:sz w:val="24"/>
                <w:vertAlign w:val="subscript"/>
                <w:lang w:val="en-US" w:eastAsia="zh-CN"/>
              </w:rPr>
              <w:t xml:space="preserve"> </w:t>
            </w:r>
            <w:r>
              <w:rPr>
                <w:sz w:val="24"/>
                <w:vertAlign w:val="subscript"/>
              </w:rPr>
              <w:t>j</w:t>
            </w:r>
            <w:r>
              <w:rPr>
                <w:sz w:val="24"/>
              </w:rPr>
              <w:t>—j类气态污染物排放源强度，mg/s·m；</w:t>
            </w:r>
          </w:p>
          <w:p>
            <w:pPr>
              <w:tabs>
                <w:tab w:val="left" w:pos="1280"/>
              </w:tabs>
              <w:ind w:firstLine="480" w:firstLineChars="200"/>
              <w:textAlignment w:val="baseline"/>
              <w:rPr>
                <w:sz w:val="24"/>
              </w:rPr>
            </w:pPr>
            <w:r>
              <w:rPr>
                <w:sz w:val="24"/>
              </w:rPr>
              <w:t xml:space="preserve">      A</w:t>
            </w:r>
            <w:r>
              <w:rPr>
                <w:rFonts w:hint="eastAsia"/>
                <w:sz w:val="24"/>
                <w:vertAlign w:val="subscript"/>
                <w:lang w:val="en-US" w:eastAsia="zh-CN"/>
              </w:rPr>
              <w:t xml:space="preserve"> </w:t>
            </w:r>
            <w:r>
              <w:rPr>
                <w:sz w:val="24"/>
                <w:vertAlign w:val="subscript"/>
              </w:rPr>
              <w:t>i</w:t>
            </w:r>
            <w:r>
              <w:rPr>
                <w:sz w:val="24"/>
              </w:rPr>
              <w:t>—i型车预测年的小时交通量，辆/h；</w:t>
            </w:r>
          </w:p>
          <w:p>
            <w:pPr>
              <w:tabs>
                <w:tab w:val="left" w:pos="1280"/>
              </w:tabs>
              <w:ind w:firstLine="480" w:firstLineChars="200"/>
              <w:textAlignment w:val="baseline"/>
              <w:rPr>
                <w:sz w:val="24"/>
              </w:rPr>
            </w:pPr>
            <w:r>
              <w:rPr>
                <w:sz w:val="24"/>
              </w:rPr>
              <w:t xml:space="preserve">      E</w:t>
            </w:r>
            <w:r>
              <w:rPr>
                <w:rFonts w:hint="eastAsia"/>
                <w:sz w:val="24"/>
                <w:vertAlign w:val="subscript"/>
                <w:lang w:val="en-US" w:eastAsia="zh-CN"/>
              </w:rPr>
              <w:t xml:space="preserve"> </w:t>
            </w:r>
            <w:r>
              <w:rPr>
                <w:sz w:val="24"/>
                <w:vertAlign w:val="subscript"/>
              </w:rPr>
              <w:t>i</w:t>
            </w:r>
            <w:r>
              <w:rPr>
                <w:rFonts w:hint="eastAsia"/>
                <w:sz w:val="24"/>
                <w:vertAlign w:val="subscript"/>
                <w:lang w:val="en-US" w:eastAsia="zh-CN"/>
              </w:rPr>
              <w:t xml:space="preserve"> </w:t>
            </w:r>
            <w:r>
              <w:rPr>
                <w:sz w:val="24"/>
                <w:vertAlign w:val="subscript"/>
              </w:rPr>
              <w:t>j</w:t>
            </w:r>
            <w:r>
              <w:rPr>
                <w:sz w:val="24"/>
              </w:rPr>
              <w:t>—运行工况下i型车j类污染物在预测年的单车排放因子，mg/m辆·m。</w:t>
            </w:r>
          </w:p>
          <w:p>
            <w:pPr>
              <w:tabs>
                <w:tab w:val="left" w:pos="1280"/>
              </w:tabs>
              <w:ind w:firstLine="480" w:firstLineChars="200"/>
              <w:textAlignment w:val="baseline"/>
              <w:rPr>
                <w:sz w:val="24"/>
              </w:rPr>
            </w:pPr>
            <w:r>
              <w:rPr>
                <w:sz w:val="24"/>
              </w:rPr>
              <w:t>根据交通车流量预测，计算机动车尾气污染物排放源强，详见表2</w:t>
            </w:r>
            <w:r>
              <w:rPr>
                <w:rFonts w:hint="eastAsia"/>
                <w:sz w:val="24"/>
                <w:lang w:val="en-US" w:eastAsia="zh-CN"/>
              </w:rPr>
              <w:t>9</w:t>
            </w:r>
            <w:r>
              <w:rPr>
                <w:sz w:val="24"/>
              </w:rPr>
              <w:t>。</w:t>
            </w:r>
          </w:p>
          <w:p>
            <w:pPr>
              <w:tabs>
                <w:tab w:val="left" w:pos="1280"/>
              </w:tabs>
              <w:jc w:val="center"/>
              <w:textAlignment w:val="baseline"/>
              <w:rPr>
                <w:b/>
                <w:bCs/>
                <w:sz w:val="24"/>
              </w:rPr>
            </w:pPr>
            <w:r>
              <w:rPr>
                <w:b/>
                <w:sz w:val="24"/>
              </w:rPr>
              <w:t>表2</w:t>
            </w:r>
            <w:r>
              <w:rPr>
                <w:rFonts w:hint="eastAsia"/>
                <w:b/>
                <w:sz w:val="24"/>
                <w:lang w:val="en-US" w:eastAsia="zh-CN"/>
              </w:rPr>
              <w:t>9</w:t>
            </w:r>
            <w:r>
              <w:rPr>
                <w:b/>
                <w:sz w:val="24"/>
              </w:rPr>
              <w:t xml:space="preserve"> 机动车尾气昼间日均小时车流量污染物排放  单位</w:t>
            </w:r>
            <w:r>
              <w:rPr>
                <w:b/>
                <w:bCs/>
                <w:sz w:val="24"/>
              </w:rPr>
              <w:t>：mg/（s·m）</w:t>
            </w:r>
          </w:p>
          <w:tbl>
            <w:tblPr>
              <w:tblStyle w:val="34"/>
              <w:tblW w:w="7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702"/>
              <w:gridCol w:w="1710"/>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restart"/>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hint="eastAsia" w:eastAsia="宋体"/>
                      <w:sz w:val="21"/>
                      <w:szCs w:val="21"/>
                      <w:lang w:eastAsia="zh-CN"/>
                    </w:rPr>
                  </w:pPr>
                  <w:r>
                    <w:rPr>
                      <w:rFonts w:hint="eastAsia"/>
                      <w:sz w:val="21"/>
                      <w:szCs w:val="21"/>
                      <w:lang w:eastAsia="zh-CN"/>
                    </w:rPr>
                    <w:t>路段</w:t>
                  </w:r>
                </w:p>
              </w:tc>
              <w:tc>
                <w:tcPr>
                  <w:tcW w:w="1304" w:type="dxa"/>
                  <w:vMerge w:val="restart"/>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r>
                    <w:rPr>
                      <w:sz w:val="21"/>
                      <w:szCs w:val="21"/>
                    </w:rPr>
                    <w:t>污染物</w:t>
                  </w:r>
                </w:p>
              </w:tc>
              <w:tc>
                <w:tcPr>
                  <w:tcW w:w="510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rPr>
                      <w:sz w:val="21"/>
                      <w:szCs w:val="21"/>
                    </w:rPr>
                  </w:pPr>
                  <w:r>
                    <w:rPr>
                      <w:kern w:val="0"/>
                      <w:sz w:val="21"/>
                      <w:szCs w:val="21"/>
                    </w:rPr>
                    <w:t>预测年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702"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rPr>
                      <w:sz w:val="21"/>
                      <w:szCs w:val="21"/>
                    </w:rPr>
                  </w:pPr>
                  <w:r>
                    <w:rPr>
                      <w:kern w:val="0"/>
                      <w:sz w:val="21"/>
                      <w:szCs w:val="21"/>
                    </w:rPr>
                    <w:t>202</w:t>
                  </w:r>
                  <w:r>
                    <w:rPr>
                      <w:rFonts w:hint="eastAsia"/>
                      <w:kern w:val="0"/>
                      <w:sz w:val="21"/>
                      <w:szCs w:val="21"/>
                      <w:lang w:val="en-US" w:eastAsia="zh-CN"/>
                    </w:rPr>
                    <w:t>4</w:t>
                  </w:r>
                  <w:r>
                    <w:rPr>
                      <w:kern w:val="0"/>
                      <w:sz w:val="21"/>
                      <w:szCs w:val="21"/>
                    </w:rPr>
                    <w:t>年</w:t>
                  </w:r>
                </w:p>
              </w:tc>
              <w:tc>
                <w:tcPr>
                  <w:tcW w:w="1710"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rPr>
                      <w:sz w:val="21"/>
                      <w:szCs w:val="21"/>
                    </w:rPr>
                  </w:pPr>
                  <w:r>
                    <w:rPr>
                      <w:kern w:val="0"/>
                      <w:sz w:val="21"/>
                      <w:szCs w:val="21"/>
                    </w:rPr>
                    <w:t>20</w:t>
                  </w:r>
                  <w:r>
                    <w:rPr>
                      <w:rFonts w:hint="eastAsia"/>
                      <w:kern w:val="0"/>
                      <w:sz w:val="21"/>
                      <w:szCs w:val="21"/>
                      <w:lang w:val="en-US" w:eastAsia="zh-CN"/>
                    </w:rPr>
                    <w:t>30</w:t>
                  </w:r>
                  <w:r>
                    <w:rPr>
                      <w:kern w:val="0"/>
                      <w:sz w:val="21"/>
                      <w:szCs w:val="21"/>
                    </w:rPr>
                    <w:t>年</w:t>
                  </w:r>
                </w:p>
              </w:tc>
              <w:tc>
                <w:tcPr>
                  <w:tcW w:w="1694" w:type="dxa"/>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center"/>
                    <w:rPr>
                      <w:sz w:val="21"/>
                      <w:szCs w:val="21"/>
                    </w:rPr>
                  </w:pPr>
                  <w:r>
                    <w:rPr>
                      <w:kern w:val="0"/>
                      <w:sz w:val="21"/>
                      <w:szCs w:val="21"/>
                    </w:rPr>
                    <w:t>203</w:t>
                  </w:r>
                  <w:r>
                    <w:rPr>
                      <w:rFonts w:hint="eastAsia"/>
                      <w:kern w:val="0"/>
                      <w:sz w:val="21"/>
                      <w:szCs w:val="21"/>
                      <w:lang w:val="en-US" w:eastAsia="zh-CN"/>
                    </w:rPr>
                    <w:t>8</w:t>
                  </w:r>
                  <w:r>
                    <w:rPr>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restart"/>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hint="eastAsia" w:eastAsia="宋体"/>
                      <w:sz w:val="21"/>
                      <w:szCs w:val="21"/>
                      <w:lang w:eastAsia="zh-CN"/>
                    </w:rPr>
                  </w:pPr>
                  <w:r>
                    <w:rPr>
                      <w:rFonts w:hint="eastAsia"/>
                      <w:sz w:val="21"/>
                      <w:szCs w:val="21"/>
                      <w:lang w:eastAsia="zh-CN"/>
                    </w:rPr>
                    <w:t>马鞍路</w:t>
                  </w:r>
                </w:p>
              </w:tc>
              <w:tc>
                <w:tcPr>
                  <w:tcW w:w="1304" w:type="dxa"/>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r>
                    <w:rPr>
                      <w:sz w:val="21"/>
                      <w:szCs w:val="21"/>
                    </w:rPr>
                    <w:t>CO</w:t>
                  </w:r>
                </w:p>
              </w:tc>
              <w:tc>
                <w:tcPr>
                  <w:tcW w:w="170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3.185</w:t>
                  </w:r>
                </w:p>
              </w:tc>
              <w:tc>
                <w:tcPr>
                  <w:tcW w:w="171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4.259</w:t>
                  </w:r>
                </w:p>
              </w:tc>
              <w:tc>
                <w:tcPr>
                  <w:tcW w:w="169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304" w:type="dxa"/>
                  <w:tcBorders>
                    <w:bottom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r>
                    <w:rPr>
                      <w:sz w:val="21"/>
                      <w:szCs w:val="21"/>
                    </w:rPr>
                    <w:t>THC</w:t>
                  </w:r>
                </w:p>
              </w:tc>
              <w:tc>
                <w:tcPr>
                  <w:tcW w:w="170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1.006</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1.302</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r>
                    <w:rPr>
                      <w:sz w:val="21"/>
                      <w:szCs w:val="21"/>
                    </w:rPr>
                    <w:t>NO</w:t>
                  </w:r>
                  <w:r>
                    <w:rPr>
                      <w:sz w:val="21"/>
                      <w:szCs w:val="21"/>
                      <w:vertAlign w:val="subscript"/>
                    </w:rPr>
                    <w:t>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0.391</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0.459</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restart"/>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hint="eastAsia" w:eastAsia="宋体"/>
                      <w:sz w:val="21"/>
                      <w:szCs w:val="21"/>
                      <w:lang w:eastAsia="zh-CN"/>
                    </w:rPr>
                  </w:pPr>
                  <w:r>
                    <w:rPr>
                      <w:rFonts w:hint="eastAsia"/>
                      <w:sz w:val="21"/>
                      <w:szCs w:val="21"/>
                      <w:lang w:eastAsia="zh-CN"/>
                    </w:rPr>
                    <w:t>桃园路</w:t>
                  </w: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ascii="Times New Roman" w:hAnsi="Times New Roman" w:eastAsia="宋体" w:cs="Times New Roman"/>
                      <w:kern w:val="2"/>
                      <w:sz w:val="21"/>
                      <w:szCs w:val="21"/>
                      <w:lang w:val="en-US" w:eastAsia="zh-CN" w:bidi="ar-SA"/>
                    </w:rPr>
                  </w:pPr>
                  <w:r>
                    <w:rPr>
                      <w:sz w:val="21"/>
                      <w:szCs w:val="21"/>
                    </w:rPr>
                    <w:t>CO</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5.519</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7.841</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8.430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ascii="Times New Roman" w:hAnsi="Times New Roman" w:eastAsia="宋体" w:cs="Times New Roman"/>
                      <w:kern w:val="2"/>
                      <w:sz w:val="21"/>
                      <w:szCs w:val="21"/>
                      <w:lang w:val="en-US" w:eastAsia="zh-CN" w:bidi="ar-SA"/>
                    </w:rPr>
                  </w:pPr>
                  <w:r>
                    <w:rPr>
                      <w:sz w:val="21"/>
                      <w:szCs w:val="21"/>
                    </w:rPr>
                    <w:t>THC</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1.826</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2.618</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3.032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ascii="Times New Roman" w:hAnsi="Times New Roman" w:eastAsia="宋体" w:cs="Times New Roman"/>
                      <w:kern w:val="2"/>
                      <w:sz w:val="21"/>
                      <w:szCs w:val="21"/>
                      <w:lang w:val="en-US" w:eastAsia="zh-CN" w:bidi="ar-SA"/>
                    </w:rPr>
                  </w:pPr>
                  <w:r>
                    <w:rPr>
                      <w:sz w:val="21"/>
                      <w:szCs w:val="21"/>
                    </w:rPr>
                    <w:t>NO</w:t>
                  </w:r>
                  <w:r>
                    <w:rPr>
                      <w:sz w:val="21"/>
                      <w:szCs w:val="21"/>
                      <w:vertAlign w:val="subscript"/>
                    </w:rPr>
                    <w:t>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0.602</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0.876</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restart"/>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hint="eastAsia" w:eastAsia="宋体"/>
                      <w:sz w:val="21"/>
                      <w:szCs w:val="21"/>
                      <w:lang w:eastAsia="zh-CN"/>
                    </w:rPr>
                  </w:pPr>
                  <w:r>
                    <w:rPr>
                      <w:rFonts w:hint="eastAsia"/>
                      <w:sz w:val="21"/>
                      <w:szCs w:val="21"/>
                      <w:lang w:eastAsia="zh-CN"/>
                    </w:rPr>
                    <w:t>纬四路</w:t>
                  </w: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ascii="Times New Roman" w:hAnsi="Times New Roman" w:eastAsia="宋体" w:cs="Times New Roman"/>
                      <w:kern w:val="2"/>
                      <w:sz w:val="21"/>
                      <w:szCs w:val="21"/>
                      <w:lang w:val="en-US" w:eastAsia="zh-CN" w:bidi="ar-SA"/>
                    </w:rPr>
                  </w:pPr>
                  <w:r>
                    <w:rPr>
                      <w:sz w:val="21"/>
                      <w:szCs w:val="21"/>
                    </w:rPr>
                    <w:t>CO</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lang w:val="en-US" w:eastAsia="zh-CN"/>
                    </w:rPr>
                  </w:pPr>
                  <w:r>
                    <w:rPr>
                      <w:rFonts w:hint="eastAsia"/>
                      <w:sz w:val="21"/>
                      <w:szCs w:val="21"/>
                      <w:lang w:val="en-US" w:eastAsia="zh-CN"/>
                    </w:rPr>
                    <w:t>1.378</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lang w:val="en-US" w:eastAsia="zh-CN"/>
                    </w:rPr>
                  </w:pPr>
                  <w:r>
                    <w:rPr>
                      <w:rFonts w:hint="eastAsia"/>
                      <w:sz w:val="21"/>
                      <w:szCs w:val="21"/>
                      <w:lang w:val="en-US" w:eastAsia="zh-CN"/>
                    </w:rPr>
                    <w:t>2.099</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2.756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ascii="Times New Roman" w:hAnsi="Times New Roman" w:eastAsia="宋体" w:cs="Times New Roman"/>
                      <w:kern w:val="2"/>
                      <w:sz w:val="21"/>
                      <w:szCs w:val="21"/>
                      <w:lang w:val="en-US" w:eastAsia="zh-CN" w:bidi="ar-SA"/>
                    </w:rPr>
                  </w:pPr>
                  <w:r>
                    <w:rPr>
                      <w:sz w:val="21"/>
                      <w:szCs w:val="21"/>
                    </w:rPr>
                    <w:t>THC</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lang w:val="en-US" w:eastAsia="zh-CN"/>
                    </w:rPr>
                  </w:pPr>
                  <w:r>
                    <w:rPr>
                      <w:rFonts w:hint="eastAsia"/>
                      <w:sz w:val="21"/>
                      <w:szCs w:val="21"/>
                      <w:lang w:val="en-US" w:eastAsia="zh-CN"/>
                    </w:rPr>
                    <w:t>0.205</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lang w:val="en-US" w:eastAsia="zh-CN"/>
                    </w:rPr>
                  </w:pPr>
                  <w:r>
                    <w:rPr>
                      <w:rFonts w:hint="eastAsia"/>
                      <w:sz w:val="21"/>
                      <w:szCs w:val="21"/>
                      <w:lang w:val="en-US" w:eastAsia="zh-CN"/>
                    </w:rPr>
                    <w:t>0.365</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lang w:val="en-US" w:eastAsia="zh-CN"/>
                    </w:rPr>
                  </w:pPr>
                  <w:r>
                    <w:rPr>
                      <w:rFonts w:hint="eastAsia"/>
                      <w:sz w:val="21"/>
                      <w:szCs w:val="21"/>
                      <w:lang w:val="en-US" w:eastAsia="zh-CN"/>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ascii="Times New Roman" w:hAnsi="Times New Roman" w:eastAsia="宋体" w:cs="Times New Roman"/>
                      <w:kern w:val="2"/>
                      <w:sz w:val="21"/>
                      <w:szCs w:val="21"/>
                      <w:lang w:val="en-US" w:eastAsia="zh-CN" w:bidi="ar-SA"/>
                    </w:rPr>
                  </w:pPr>
                  <w:r>
                    <w:rPr>
                      <w:sz w:val="21"/>
                      <w:szCs w:val="21"/>
                    </w:rPr>
                    <w:t>NO</w:t>
                  </w:r>
                  <w:r>
                    <w:rPr>
                      <w:sz w:val="21"/>
                      <w:szCs w:val="21"/>
                      <w:vertAlign w:val="subscript"/>
                    </w:rPr>
                    <w:t>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0.016</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0.029</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eastAsia"/>
                      <w:sz w:val="21"/>
                      <w:szCs w:val="21"/>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restart"/>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hint="eastAsia" w:eastAsia="宋体"/>
                      <w:sz w:val="21"/>
                      <w:szCs w:val="21"/>
                      <w:lang w:eastAsia="zh-CN"/>
                    </w:rPr>
                  </w:pPr>
                  <w:r>
                    <w:rPr>
                      <w:rFonts w:hint="eastAsia"/>
                      <w:sz w:val="21"/>
                      <w:szCs w:val="21"/>
                      <w:lang w:eastAsia="zh-CN"/>
                    </w:rPr>
                    <w:t>百合路</w:t>
                  </w: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ascii="Times New Roman" w:hAnsi="Times New Roman" w:eastAsia="宋体" w:cs="Times New Roman"/>
                      <w:kern w:val="2"/>
                      <w:sz w:val="21"/>
                      <w:szCs w:val="21"/>
                      <w:lang w:val="en-US" w:eastAsia="zh-CN" w:bidi="ar-SA"/>
                    </w:rPr>
                  </w:pPr>
                  <w:r>
                    <w:rPr>
                      <w:sz w:val="21"/>
                      <w:szCs w:val="21"/>
                    </w:rPr>
                    <w:t>CO</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3.823</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4.467</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5.351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ascii="Times New Roman" w:hAnsi="Times New Roman" w:eastAsia="宋体" w:cs="Times New Roman"/>
                      <w:kern w:val="2"/>
                      <w:sz w:val="21"/>
                      <w:szCs w:val="21"/>
                      <w:lang w:val="en-US" w:eastAsia="zh-CN" w:bidi="ar-SA"/>
                    </w:rPr>
                  </w:pPr>
                  <w:r>
                    <w:rPr>
                      <w:sz w:val="21"/>
                      <w:szCs w:val="21"/>
                    </w:rPr>
                    <w:t>THC</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1.223</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1.897</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dxa"/>
                  <w:vMerge w:val="continue"/>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sz w:val="21"/>
                      <w:szCs w:val="21"/>
                    </w:rPr>
                  </w:pPr>
                </w:p>
              </w:tc>
              <w:tc>
                <w:tcPr>
                  <w:tcW w:w="1304" w:type="dxa"/>
                  <w:tcBorders>
                    <w:right w:val="single" w:color="auto" w:sz="4" w:space="0"/>
                  </w:tcBorders>
                  <w:vAlign w:val="center"/>
                </w:tcPr>
                <w:p>
                  <w:pPr>
                    <w:keepNext w:val="0"/>
                    <w:keepLines w:val="0"/>
                    <w:pageBreakBefore w:val="0"/>
                    <w:widowControl w:val="0"/>
                    <w:tabs>
                      <w:tab w:val="left" w:pos="1280"/>
                    </w:tabs>
                    <w:kinsoku/>
                    <w:wordWrap/>
                    <w:overflowPunct/>
                    <w:topLinePunct w:val="0"/>
                    <w:autoSpaceDE/>
                    <w:autoSpaceDN/>
                    <w:bidi w:val="0"/>
                    <w:spacing w:line="340" w:lineRule="exact"/>
                    <w:jc w:val="center"/>
                    <w:textAlignment w:val="baseline"/>
                    <w:rPr>
                      <w:rFonts w:ascii="Times New Roman" w:hAnsi="Times New Roman" w:eastAsia="宋体" w:cs="Times New Roman"/>
                      <w:kern w:val="2"/>
                      <w:sz w:val="21"/>
                      <w:szCs w:val="21"/>
                      <w:lang w:val="en-US" w:eastAsia="zh-CN" w:bidi="ar-SA"/>
                    </w:rPr>
                  </w:pPr>
                  <w:r>
                    <w:rPr>
                      <w:sz w:val="21"/>
                      <w:szCs w:val="21"/>
                    </w:rPr>
                    <w:t>NO</w:t>
                  </w:r>
                  <w:r>
                    <w:rPr>
                      <w:sz w:val="21"/>
                      <w:szCs w:val="21"/>
                      <w:vertAlign w:val="subscript"/>
                    </w:rPr>
                    <w:t>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0.414</w:t>
                  </w:r>
                </w:p>
              </w:tc>
              <w:tc>
                <w:tcPr>
                  <w:tcW w:w="17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0.528</w:t>
                  </w:r>
                </w:p>
              </w:tc>
              <w:tc>
                <w:tcPr>
                  <w:tcW w:w="1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0.677</w:t>
                  </w:r>
                </w:p>
              </w:tc>
            </w:tr>
          </w:tbl>
          <w:p>
            <w:pPr>
              <w:tabs>
                <w:tab w:val="left" w:pos="1280"/>
              </w:tabs>
              <w:ind w:firstLine="480" w:firstLineChars="200"/>
              <w:textAlignment w:val="baseline"/>
              <w:rPr>
                <w:sz w:val="24"/>
              </w:rPr>
            </w:pPr>
            <w:r>
              <w:rPr>
                <w:sz w:val="24"/>
              </w:rPr>
              <w:t>（2）道路扬尘</w:t>
            </w:r>
          </w:p>
          <w:p>
            <w:pPr>
              <w:tabs>
                <w:tab w:val="left" w:pos="1280"/>
              </w:tabs>
              <w:ind w:firstLine="480" w:firstLineChars="200"/>
              <w:textAlignment w:val="baseline"/>
              <w:rPr>
                <w:sz w:val="24"/>
              </w:rPr>
            </w:pPr>
            <w:r>
              <w:rPr>
                <w:sz w:val="24"/>
              </w:rPr>
              <w:t>项目行驶汽车的轮胎接触路面而使路面积尘扬起，从而产生二次扬尘污染，保持路面状况良好，则该部分粉尘产生量极小。</w:t>
            </w:r>
          </w:p>
          <w:p>
            <w:pPr>
              <w:tabs>
                <w:tab w:val="left" w:pos="1280"/>
              </w:tabs>
              <w:ind w:firstLine="482" w:firstLineChars="200"/>
              <w:textAlignment w:val="baseline"/>
              <w:rPr>
                <w:b/>
                <w:bCs/>
                <w:sz w:val="24"/>
              </w:rPr>
            </w:pPr>
            <w:r>
              <w:rPr>
                <w:b/>
                <w:bCs/>
                <w:sz w:val="24"/>
              </w:rPr>
              <w:t>2.3运营期噪声污染源分析</w:t>
            </w:r>
          </w:p>
          <w:p>
            <w:pPr>
              <w:tabs>
                <w:tab w:val="left" w:pos="1280"/>
              </w:tabs>
              <w:ind w:firstLine="480" w:firstLineChars="200"/>
              <w:textAlignment w:val="baseline"/>
              <w:rPr>
                <w:sz w:val="24"/>
              </w:rPr>
            </w:pPr>
            <w:r>
              <w:rPr>
                <w:sz w:val="24"/>
              </w:rPr>
              <w:t>（1）噪声源及其特性</w:t>
            </w:r>
          </w:p>
          <w:p>
            <w:pPr>
              <w:tabs>
                <w:tab w:val="left" w:pos="1280"/>
              </w:tabs>
              <w:ind w:firstLine="480" w:firstLineChars="200"/>
              <w:textAlignment w:val="baseline"/>
              <w:rPr>
                <w:sz w:val="24"/>
              </w:rPr>
            </w:pPr>
            <w:r>
              <w:rPr>
                <w:sz w:val="24"/>
              </w:rPr>
              <w:t>项目运营后的噪声主要是道路上行驶的机动车辆产生的交通噪声，主要由发动机噪声、冷却系统噪声、排气噪声、车体振动噪声、传动机械噪声、制动机械噪声等组成，其中发动机噪声是主要的噪声源。交通噪声的大小与车速、车流量、机动车类型、道路结构、道路表面覆盖物、道路两侧建筑物、地形等多因素有关。</w:t>
            </w:r>
          </w:p>
          <w:p>
            <w:pPr>
              <w:tabs>
                <w:tab w:val="left" w:pos="1280"/>
              </w:tabs>
              <w:ind w:firstLine="480" w:firstLineChars="200"/>
              <w:textAlignment w:val="baseline"/>
              <w:rPr>
                <w:sz w:val="24"/>
              </w:rPr>
            </w:pPr>
            <w:r>
              <w:rPr>
                <w:sz w:val="24"/>
              </w:rPr>
              <w:t>（</w:t>
            </w:r>
            <w:r>
              <w:rPr>
                <w:rFonts w:hint="eastAsia"/>
                <w:sz w:val="24"/>
              </w:rPr>
              <w:t>2</w:t>
            </w:r>
            <w:r>
              <w:rPr>
                <w:sz w:val="24"/>
              </w:rPr>
              <w:t>）噪声源强分析</w:t>
            </w:r>
          </w:p>
          <w:p>
            <w:pPr>
              <w:tabs>
                <w:tab w:val="left" w:pos="1280"/>
              </w:tabs>
              <w:ind w:firstLine="480" w:firstLineChars="200"/>
              <w:textAlignment w:val="baseline"/>
              <w:rPr>
                <w:sz w:val="24"/>
              </w:rPr>
            </w:pPr>
            <w:r>
              <w:rPr>
                <w:sz w:val="24"/>
              </w:rPr>
              <w:t>本项目声环境影响评价执行《环境影响评价技术导则  声环境》(HJ 2.4-2009)推荐的公式进行计算。本项目各个预测年各型车的车速和单车行驶辐射噪声级计算如下。</w:t>
            </w:r>
          </w:p>
          <w:p>
            <w:pPr>
              <w:tabs>
                <w:tab w:val="left" w:pos="1280"/>
              </w:tabs>
              <w:ind w:firstLine="480" w:firstLineChars="200"/>
              <w:textAlignment w:val="baseline"/>
              <w:rPr>
                <w:sz w:val="24"/>
              </w:rPr>
            </w:pPr>
            <w:r>
              <w:rPr>
                <w:rFonts w:hint="eastAsia" w:ascii="宋体" w:hAnsi="宋体" w:cs="宋体"/>
                <w:sz w:val="24"/>
              </w:rPr>
              <w:t>①</w:t>
            </w:r>
            <w:r>
              <w:rPr>
                <w:sz w:val="24"/>
              </w:rPr>
              <w:t>车速计算</w:t>
            </w:r>
          </w:p>
          <w:p>
            <w:pPr>
              <w:spacing w:line="240" w:lineRule="auto"/>
              <w:jc w:val="center"/>
            </w:pPr>
            <w:r>
              <w:rPr>
                <w:position w:val="-30"/>
              </w:rPr>
              <w:object>
                <v:shape id="_x0000_i1027" o:spt="75" type="#_x0000_t75" style="height:28.35pt;width:131.55pt;" o:ole="t" filled="f" o:preferrelative="t" stroked="f" coordsize="21600,21600">
                  <v:path/>
                  <v:fill on="f" focussize="0,0"/>
                  <v:stroke on="f"/>
                  <v:imagedata r:id="rId24" croptop="4218f" cropright="-1373f" o:title=""/>
                  <o:lock v:ext="edit" aspectratio="t"/>
                  <w10:wrap type="none"/>
                  <w10:anchorlock/>
                </v:shape>
                <o:OLEObject Type="Embed" ProgID="Equation.3" ShapeID="_x0000_i1027" DrawAspect="Content" ObjectID="_1468075727" r:id="rId23">
                  <o:LockedField>false</o:LockedField>
                </o:OLEObject>
              </w:object>
            </w:r>
          </w:p>
          <w:p>
            <w:pPr>
              <w:snapToGrid w:val="0"/>
              <w:spacing w:line="240" w:lineRule="auto"/>
              <w:ind w:firstLine="480" w:firstLineChars="200"/>
              <w:jc w:val="both"/>
              <w:rPr>
                <w:rFonts w:ascii="Times New Roman" w:eastAsia="宋体"/>
              </w:rPr>
            </w:pPr>
            <w:r>
              <w:rPr>
                <w:rFonts w:ascii="Times New Roman" w:eastAsia="宋体"/>
              </w:rPr>
              <w:t>U</w:t>
            </w:r>
            <w:r>
              <w:rPr>
                <w:rFonts w:hint="eastAsia" w:ascii="Times New Roman"/>
                <w:vertAlign w:val="subscript"/>
                <w:lang w:val="en-US" w:eastAsia="zh-CN"/>
              </w:rPr>
              <w:t xml:space="preserve"> </w:t>
            </w:r>
            <w:r>
              <w:rPr>
                <w:rFonts w:ascii="Times New Roman" w:eastAsia="宋体"/>
              </w:rPr>
              <w:t>i——该车型的当量车数；</w:t>
            </w:r>
          </w:p>
          <w:p>
            <w:pPr>
              <w:adjustRightInd w:val="0"/>
              <w:snapToGrid w:val="0"/>
              <w:ind w:firstLine="480" w:firstLineChars="200"/>
              <w:rPr>
                <w:sz w:val="24"/>
              </w:rPr>
            </w:pPr>
            <w:r>
              <w:rPr>
                <w:sz w:val="24"/>
              </w:rPr>
              <w:t>k</w:t>
            </w:r>
            <w:r>
              <w:rPr>
                <w:sz w:val="24"/>
                <w:vertAlign w:val="subscript"/>
              </w:rPr>
              <w:t>1</w:t>
            </w:r>
            <w:r>
              <w:rPr>
                <w:sz w:val="24"/>
              </w:rPr>
              <w:t>、k</w:t>
            </w:r>
            <w:r>
              <w:rPr>
                <w:sz w:val="24"/>
                <w:vertAlign w:val="subscript"/>
              </w:rPr>
              <w:t>2</w:t>
            </w:r>
            <w:r>
              <w:rPr>
                <w:sz w:val="24"/>
              </w:rPr>
              <w:t>、k</w:t>
            </w:r>
            <w:r>
              <w:rPr>
                <w:sz w:val="24"/>
                <w:vertAlign w:val="subscript"/>
              </w:rPr>
              <w:t>3</w:t>
            </w:r>
            <w:r>
              <w:rPr>
                <w:sz w:val="24"/>
              </w:rPr>
              <w:t>、k</w:t>
            </w:r>
            <w:r>
              <w:rPr>
                <w:sz w:val="24"/>
                <w:vertAlign w:val="subscript"/>
              </w:rPr>
              <w:t>4</w:t>
            </w:r>
            <w:r>
              <w:rPr>
                <w:sz w:val="24"/>
              </w:rPr>
              <w:t>分别为系数，见（JTGB03-2006）表C.1.1-1。</w:t>
            </w:r>
          </w:p>
          <w:p>
            <w:pPr>
              <w:tabs>
                <w:tab w:val="left" w:pos="1280"/>
              </w:tabs>
              <w:ind w:firstLine="480" w:firstLineChars="200"/>
              <w:textAlignment w:val="baseline"/>
              <w:rPr>
                <w:sz w:val="24"/>
              </w:rPr>
            </w:pPr>
            <w:r>
              <w:rPr>
                <w:sz w:val="24"/>
              </w:rPr>
              <w:t>当设计车速小于120km/h时，上述公式计算所得平均车速按比例递减。</w:t>
            </w:r>
          </w:p>
          <w:p>
            <w:pPr>
              <w:tabs>
                <w:tab w:val="left" w:pos="1280"/>
              </w:tabs>
              <w:ind w:firstLine="480" w:firstLineChars="200"/>
              <w:textAlignment w:val="baseline"/>
              <w:rPr>
                <w:sz w:val="24"/>
              </w:rPr>
            </w:pPr>
            <w:r>
              <w:rPr>
                <w:rFonts w:hint="eastAsia"/>
                <w:sz w:val="24"/>
              </w:rPr>
              <w:t>由上式计算出拟建道路营运期小、中、大型车车速预测结果见表</w:t>
            </w:r>
            <w:r>
              <w:rPr>
                <w:rFonts w:hint="eastAsia"/>
                <w:sz w:val="24"/>
                <w:lang w:val="en-US" w:eastAsia="zh-CN"/>
              </w:rPr>
              <w:t>30</w:t>
            </w:r>
            <w:r>
              <w:rPr>
                <w:rFonts w:hint="eastAsia"/>
                <w:sz w:val="24"/>
              </w:rPr>
              <w:t>。</w:t>
            </w:r>
          </w:p>
          <w:p>
            <w:pPr>
              <w:widowControl/>
              <w:numPr>
                <w:ilvl w:val="4"/>
                <w:numId w:val="0"/>
              </w:numPr>
              <w:tabs>
                <w:tab w:val="left" w:pos="709"/>
              </w:tabs>
              <w:ind w:left="142"/>
              <w:jc w:val="center"/>
              <w:rPr>
                <w:b/>
                <w:kern w:val="0"/>
                <w:sz w:val="24"/>
              </w:rPr>
            </w:pPr>
            <w:r>
              <w:rPr>
                <w:b/>
                <w:kern w:val="0"/>
                <w:sz w:val="24"/>
              </w:rPr>
              <w:t>表</w:t>
            </w:r>
            <w:r>
              <w:rPr>
                <w:rFonts w:hint="eastAsia"/>
                <w:b/>
                <w:kern w:val="0"/>
                <w:sz w:val="24"/>
                <w:lang w:val="en-US" w:eastAsia="zh-CN"/>
              </w:rPr>
              <w:t>30</w:t>
            </w:r>
            <w:r>
              <w:rPr>
                <w:b/>
                <w:kern w:val="0"/>
                <w:sz w:val="24"/>
              </w:rPr>
              <w:t xml:space="preserve">  </w:t>
            </w:r>
            <w:r>
              <w:rPr>
                <w:rFonts w:hint="eastAsia"/>
                <w:b/>
                <w:kern w:val="0"/>
                <w:sz w:val="24"/>
              </w:rPr>
              <w:t xml:space="preserve">营运期各车型车速预测结果   </w:t>
            </w:r>
            <w:r>
              <w:rPr>
                <w:b/>
                <w:kern w:val="0"/>
                <w:sz w:val="24"/>
              </w:rPr>
              <w:t>（单位：km/h）</w:t>
            </w:r>
          </w:p>
          <w:tbl>
            <w:tblPr>
              <w:tblStyle w:val="34"/>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0"/>
              <w:gridCol w:w="850"/>
              <w:gridCol w:w="1132"/>
              <w:gridCol w:w="1125"/>
              <w:gridCol w:w="1185"/>
              <w:gridCol w:w="1185"/>
              <w:gridCol w:w="124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路段</w:t>
                  </w: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预测年</w:t>
                  </w:r>
                </w:p>
              </w:tc>
              <w:tc>
                <w:tcPr>
                  <w:tcW w:w="2257" w:type="dxa"/>
                  <w:gridSpan w:val="2"/>
                  <w:shd w:val="clear" w:color="auto" w:fill="auto"/>
                  <w:vAlign w:val="center"/>
                </w:tcPr>
                <w:p>
                  <w:pPr>
                    <w:keepNext w:val="0"/>
                    <w:keepLines w:val="0"/>
                    <w:pageBreakBefore w:val="0"/>
                    <w:kinsoku/>
                    <w:wordWrap/>
                    <w:overflowPunct/>
                    <w:topLinePunct w:val="0"/>
                    <w:autoSpaceDE/>
                    <w:autoSpaceDN/>
                    <w:bidi w:val="0"/>
                    <w:adjustRightInd w:val="0"/>
                    <w:snapToGrid w:val="0"/>
                    <w:spacing w:line="340" w:lineRule="exact"/>
                    <w:jc w:val="center"/>
                    <w:rPr>
                      <w:kern w:val="0"/>
                      <w:sz w:val="21"/>
                      <w:szCs w:val="21"/>
                      <w:lang w:bidi="ar"/>
                    </w:rPr>
                  </w:pPr>
                  <w:r>
                    <w:rPr>
                      <w:kern w:val="0"/>
                      <w:sz w:val="21"/>
                      <w:szCs w:val="21"/>
                    </w:rPr>
                    <w:t>202</w:t>
                  </w:r>
                  <w:r>
                    <w:rPr>
                      <w:rFonts w:hint="eastAsia"/>
                      <w:kern w:val="0"/>
                      <w:sz w:val="21"/>
                      <w:szCs w:val="21"/>
                      <w:lang w:val="en-US" w:eastAsia="zh-CN"/>
                    </w:rPr>
                    <w:t>4</w:t>
                  </w:r>
                  <w:r>
                    <w:rPr>
                      <w:kern w:val="0"/>
                      <w:sz w:val="21"/>
                      <w:szCs w:val="21"/>
                    </w:rPr>
                    <w:t>年</w:t>
                  </w:r>
                </w:p>
              </w:tc>
              <w:tc>
                <w:tcPr>
                  <w:tcW w:w="2370" w:type="dxa"/>
                  <w:gridSpan w:val="2"/>
                  <w:shd w:val="clear" w:color="auto" w:fill="auto"/>
                  <w:vAlign w:val="center"/>
                </w:tcPr>
                <w:p>
                  <w:pPr>
                    <w:keepNext w:val="0"/>
                    <w:keepLines w:val="0"/>
                    <w:pageBreakBefore w:val="0"/>
                    <w:kinsoku/>
                    <w:wordWrap/>
                    <w:overflowPunct/>
                    <w:topLinePunct w:val="0"/>
                    <w:autoSpaceDE/>
                    <w:autoSpaceDN/>
                    <w:bidi w:val="0"/>
                    <w:adjustRightInd w:val="0"/>
                    <w:snapToGrid w:val="0"/>
                    <w:spacing w:line="340" w:lineRule="exact"/>
                    <w:jc w:val="center"/>
                    <w:rPr>
                      <w:kern w:val="0"/>
                      <w:sz w:val="21"/>
                      <w:szCs w:val="21"/>
                      <w:lang w:bidi="ar"/>
                    </w:rPr>
                  </w:pPr>
                  <w:r>
                    <w:rPr>
                      <w:kern w:val="0"/>
                      <w:sz w:val="21"/>
                      <w:szCs w:val="21"/>
                    </w:rPr>
                    <w:t>20</w:t>
                  </w:r>
                  <w:r>
                    <w:rPr>
                      <w:rFonts w:hint="eastAsia"/>
                      <w:kern w:val="0"/>
                      <w:sz w:val="21"/>
                      <w:szCs w:val="21"/>
                      <w:lang w:val="en-US" w:eastAsia="zh-CN"/>
                    </w:rPr>
                    <w:t>30</w:t>
                  </w:r>
                  <w:r>
                    <w:rPr>
                      <w:kern w:val="0"/>
                      <w:sz w:val="21"/>
                      <w:szCs w:val="21"/>
                    </w:rPr>
                    <w:t>年</w:t>
                  </w:r>
                </w:p>
              </w:tc>
              <w:tc>
                <w:tcPr>
                  <w:tcW w:w="2370" w:type="dxa"/>
                  <w:gridSpan w:val="2"/>
                  <w:shd w:val="clear" w:color="auto" w:fill="auto"/>
                  <w:vAlign w:val="center"/>
                </w:tcPr>
                <w:p>
                  <w:pPr>
                    <w:keepNext w:val="0"/>
                    <w:keepLines w:val="0"/>
                    <w:pageBreakBefore w:val="0"/>
                    <w:kinsoku/>
                    <w:wordWrap/>
                    <w:overflowPunct/>
                    <w:topLinePunct w:val="0"/>
                    <w:autoSpaceDE/>
                    <w:autoSpaceDN/>
                    <w:bidi w:val="0"/>
                    <w:adjustRightInd w:val="0"/>
                    <w:snapToGrid w:val="0"/>
                    <w:spacing w:line="340" w:lineRule="exact"/>
                    <w:jc w:val="center"/>
                    <w:rPr>
                      <w:kern w:val="0"/>
                      <w:sz w:val="21"/>
                      <w:szCs w:val="21"/>
                      <w:lang w:bidi="ar"/>
                    </w:rPr>
                  </w:pPr>
                  <w:r>
                    <w:rPr>
                      <w:kern w:val="0"/>
                      <w:sz w:val="21"/>
                      <w:szCs w:val="21"/>
                    </w:rPr>
                    <w:t>203</w:t>
                  </w:r>
                  <w:r>
                    <w:rPr>
                      <w:rFonts w:hint="eastAsia"/>
                      <w:kern w:val="0"/>
                      <w:sz w:val="21"/>
                      <w:szCs w:val="21"/>
                      <w:lang w:val="en-US" w:eastAsia="zh-CN"/>
                    </w:rPr>
                    <w:t>8</w:t>
                  </w:r>
                  <w:r>
                    <w:rPr>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车型</w:t>
                  </w:r>
                </w:p>
              </w:tc>
              <w:tc>
                <w:tcPr>
                  <w:tcW w:w="1132"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昼间</w:t>
                  </w:r>
                </w:p>
              </w:tc>
              <w:tc>
                <w:tcPr>
                  <w:tcW w:w="1125"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夜间</w:t>
                  </w:r>
                </w:p>
              </w:tc>
              <w:tc>
                <w:tcPr>
                  <w:tcW w:w="1185"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昼间</w:t>
                  </w:r>
                </w:p>
              </w:tc>
              <w:tc>
                <w:tcPr>
                  <w:tcW w:w="1185"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夜间</w:t>
                  </w:r>
                </w:p>
              </w:tc>
              <w:tc>
                <w:tcPr>
                  <w:tcW w:w="1245"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昼间</w:t>
                  </w:r>
                </w:p>
              </w:tc>
              <w:tc>
                <w:tcPr>
                  <w:tcW w:w="1125"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马鞍路</w:t>
                  </w: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小型车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32.64</w:t>
                  </w:r>
                </w:p>
              </w:tc>
              <w:tc>
                <w:tcPr>
                  <w:tcW w:w="11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33.83</w:t>
                  </w:r>
                </w:p>
              </w:tc>
              <w:tc>
                <w:tcPr>
                  <w:tcW w:w="11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32.28</w:t>
                  </w:r>
                </w:p>
              </w:tc>
              <w:tc>
                <w:tcPr>
                  <w:tcW w:w="11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33.79</w:t>
                  </w:r>
                </w:p>
              </w:tc>
              <w:tc>
                <w:tcPr>
                  <w:tcW w:w="124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31.95</w:t>
                  </w:r>
                </w:p>
              </w:tc>
              <w:tc>
                <w:tcPr>
                  <w:tcW w:w="11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中型车</w:t>
                  </w:r>
                </w:p>
              </w:tc>
              <w:tc>
                <w:tcPr>
                  <w:tcW w:w="113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24.67</w:t>
                  </w:r>
                </w:p>
              </w:tc>
              <w:tc>
                <w:tcPr>
                  <w:tcW w:w="11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23.58</w:t>
                  </w:r>
                </w:p>
              </w:tc>
              <w:tc>
                <w:tcPr>
                  <w:tcW w:w="11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24.78</w:t>
                  </w:r>
                </w:p>
              </w:tc>
              <w:tc>
                <w:tcPr>
                  <w:tcW w:w="118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23.66</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24.83</w:t>
                  </w:r>
                </w:p>
              </w:tc>
              <w:tc>
                <w:tcPr>
                  <w:tcW w:w="11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大型车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24.49</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23.61</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24.60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23.67</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24.67</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桃园路</w:t>
                  </w: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小型车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49.06</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50.75</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47.64</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50.60</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46.67</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50.50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中型车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36.95</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35.32</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37.27</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35.63</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37.29</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大型车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36.72</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35.41</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37.06</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35.64</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37.14</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纬四路</w:t>
                  </w: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小型车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25.29</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25.47</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25.13</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25.45</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24.96</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中型车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17.84</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17.41</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18.06</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17.48</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18.23</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大型车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17.82</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17.51</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18.00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17.56</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18.13</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百合路</w:t>
                  </w: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小型车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32.81</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33.85</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32.55</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33.82</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32.35</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33.80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中型车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24.57</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23.52</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24.68</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23.58</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24.74</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50"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85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大型车</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24.44</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23.58</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24.54</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23.63</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24.59</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23.67</w:t>
                  </w:r>
                </w:p>
              </w:tc>
            </w:tr>
          </w:tbl>
          <w:p>
            <w:pPr>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单车行驶辐射噪声级（L</w:t>
            </w:r>
            <w:r>
              <w:rPr>
                <w:rFonts w:hint="eastAsia"/>
                <w:sz w:val="24"/>
                <w:vertAlign w:val="subscript"/>
                <w:lang w:val="en-US" w:eastAsia="zh-CN"/>
              </w:rPr>
              <w:t xml:space="preserve"> </w:t>
            </w:r>
            <w:r>
              <w:rPr>
                <w:sz w:val="24"/>
              </w:rPr>
              <w:t>oi）计算</w:t>
            </w:r>
          </w:p>
          <w:p>
            <w:pPr>
              <w:ind w:firstLine="480" w:firstLineChars="200"/>
              <w:rPr>
                <w:sz w:val="24"/>
              </w:rPr>
            </w:pPr>
            <w:r>
              <w:rPr>
                <w:sz w:val="24"/>
              </w:rPr>
              <w:t>第i种车型车辆在参照点（7.5m处）的平均辐射噪声级L</w:t>
            </w:r>
            <w:r>
              <w:rPr>
                <w:rFonts w:hint="eastAsia"/>
                <w:sz w:val="24"/>
                <w:vertAlign w:val="subscript"/>
                <w:lang w:val="en-US" w:eastAsia="zh-CN"/>
              </w:rPr>
              <w:t xml:space="preserve"> </w:t>
            </w:r>
            <w:r>
              <w:rPr>
                <w:sz w:val="24"/>
              </w:rPr>
              <w:t>oi</w:t>
            </w:r>
          </w:p>
          <w:p>
            <w:pPr>
              <w:ind w:firstLine="480" w:firstLineChars="200"/>
              <w:rPr>
                <w:sz w:val="24"/>
              </w:rPr>
            </w:pPr>
            <w:r>
              <w:rPr>
                <w:sz w:val="24"/>
              </w:rPr>
              <w:t>按下式计算：</w:t>
            </w:r>
          </w:p>
          <w:p>
            <w:pPr>
              <w:ind w:firstLine="480" w:firstLineChars="200"/>
              <w:rPr>
                <w:sz w:val="24"/>
              </w:rPr>
            </w:pPr>
            <w:r>
              <w:rPr>
                <w:sz w:val="24"/>
              </w:rPr>
              <w:t>小型车：L</w:t>
            </w:r>
            <w:r>
              <w:rPr>
                <w:sz w:val="24"/>
                <w:vertAlign w:val="subscript"/>
              </w:rPr>
              <w:t>OS</w:t>
            </w:r>
            <w:r>
              <w:rPr>
                <w:sz w:val="24"/>
              </w:rPr>
              <w:t>=12.6+34.73lgV</w:t>
            </w:r>
            <w:r>
              <w:rPr>
                <w:sz w:val="24"/>
                <w:vertAlign w:val="subscript"/>
              </w:rPr>
              <w:t>S</w:t>
            </w:r>
            <w:r>
              <w:rPr>
                <w:sz w:val="24"/>
              </w:rPr>
              <w:t>+</w:t>
            </w:r>
            <w:r>
              <w:rPr>
                <w:rFonts w:ascii="Cambria Math" w:hAnsi="Cambria Math" w:cs="Cambria Math"/>
                <w:sz w:val="24"/>
              </w:rPr>
              <w:t>△</w:t>
            </w:r>
            <w:r>
              <w:rPr>
                <w:sz w:val="24"/>
              </w:rPr>
              <w:t>L</w:t>
            </w:r>
            <w:r>
              <w:rPr>
                <w:sz w:val="24"/>
                <w:vertAlign w:val="subscript"/>
              </w:rPr>
              <w:t>路面</w:t>
            </w:r>
          </w:p>
          <w:p>
            <w:pPr>
              <w:ind w:firstLine="480" w:firstLineChars="200"/>
              <w:rPr>
                <w:sz w:val="24"/>
              </w:rPr>
            </w:pPr>
            <w:r>
              <w:rPr>
                <w:sz w:val="24"/>
              </w:rPr>
              <w:t>中型车：L</w:t>
            </w:r>
            <w:r>
              <w:rPr>
                <w:sz w:val="24"/>
                <w:vertAlign w:val="subscript"/>
              </w:rPr>
              <w:t>ON</w:t>
            </w:r>
            <w:r>
              <w:rPr>
                <w:sz w:val="24"/>
              </w:rPr>
              <w:t>=8.8+40.48lgV</w:t>
            </w:r>
            <w:r>
              <w:rPr>
                <w:sz w:val="24"/>
                <w:vertAlign w:val="subscript"/>
              </w:rPr>
              <w:t>M</w:t>
            </w:r>
            <w:r>
              <w:rPr>
                <w:sz w:val="24"/>
              </w:rPr>
              <w:t>+</w:t>
            </w:r>
            <w:r>
              <w:rPr>
                <w:rFonts w:ascii="Cambria Math" w:hAnsi="Cambria Math" w:cs="Cambria Math"/>
                <w:sz w:val="24"/>
              </w:rPr>
              <w:t>△</w:t>
            </w:r>
            <w:r>
              <w:rPr>
                <w:sz w:val="24"/>
              </w:rPr>
              <w:t>L</w:t>
            </w:r>
            <w:r>
              <w:rPr>
                <w:sz w:val="24"/>
                <w:vertAlign w:val="subscript"/>
              </w:rPr>
              <w:t>纵坡</w:t>
            </w:r>
          </w:p>
          <w:p>
            <w:pPr>
              <w:ind w:firstLine="480" w:firstLineChars="200"/>
              <w:rPr>
                <w:sz w:val="24"/>
              </w:rPr>
            </w:pPr>
            <w:r>
              <w:rPr>
                <w:sz w:val="24"/>
              </w:rPr>
              <w:t>大型车：L</w:t>
            </w:r>
            <w:r>
              <w:rPr>
                <w:sz w:val="24"/>
                <w:vertAlign w:val="subscript"/>
              </w:rPr>
              <w:t>OL</w:t>
            </w:r>
            <w:r>
              <w:rPr>
                <w:sz w:val="24"/>
              </w:rPr>
              <w:t>=22.0+36.32lgV</w:t>
            </w:r>
            <w:r>
              <w:rPr>
                <w:sz w:val="24"/>
                <w:vertAlign w:val="subscript"/>
              </w:rPr>
              <w:t>L</w:t>
            </w:r>
            <w:r>
              <w:rPr>
                <w:sz w:val="24"/>
              </w:rPr>
              <w:t>+</w:t>
            </w:r>
            <w:r>
              <w:rPr>
                <w:rFonts w:ascii="Cambria Math" w:hAnsi="Cambria Math" w:cs="Cambria Math"/>
                <w:sz w:val="24"/>
              </w:rPr>
              <w:t>△</w:t>
            </w:r>
            <w:r>
              <w:rPr>
                <w:sz w:val="24"/>
              </w:rPr>
              <w:t>L</w:t>
            </w:r>
            <w:r>
              <w:rPr>
                <w:sz w:val="24"/>
                <w:vertAlign w:val="subscript"/>
              </w:rPr>
              <w:t>纵坡</w:t>
            </w:r>
          </w:p>
          <w:p>
            <w:pPr>
              <w:ind w:firstLine="480" w:firstLineChars="200"/>
              <w:rPr>
                <w:sz w:val="24"/>
              </w:rPr>
            </w:pPr>
            <w:r>
              <w:rPr>
                <w:sz w:val="24"/>
              </w:rPr>
              <w:t>式中：右下角注S、M、L分别表示小、中、大型车；</w:t>
            </w:r>
          </w:p>
          <w:p>
            <w:pPr>
              <w:ind w:firstLine="1200" w:firstLineChars="500"/>
              <w:rPr>
                <w:sz w:val="24"/>
              </w:rPr>
            </w:pPr>
            <w:r>
              <w:rPr>
                <w:sz w:val="24"/>
              </w:rPr>
              <w:t>V</w:t>
            </w:r>
            <w:r>
              <w:rPr>
                <w:sz w:val="24"/>
                <w:vertAlign w:val="subscript"/>
              </w:rPr>
              <w:t>i</w:t>
            </w:r>
            <w:r>
              <w:rPr>
                <w:sz w:val="24"/>
              </w:rPr>
              <w:t>──该车型车辆的平均行驶速度，km/h。</w:t>
            </w:r>
          </w:p>
          <w:p>
            <w:pPr>
              <w:ind w:firstLine="480" w:firstLineChars="200"/>
              <w:rPr>
                <w:sz w:val="24"/>
              </w:rPr>
            </w:pPr>
            <w:r>
              <w:rPr>
                <w:sz w:val="24"/>
              </w:rPr>
              <w:t>根据上述公式计算拟建道路各预测年各型车单车行驶辐射噪声级L</w:t>
            </w:r>
            <w:r>
              <w:rPr>
                <w:rFonts w:hint="eastAsia"/>
                <w:sz w:val="24"/>
                <w:vertAlign w:val="subscript"/>
                <w:lang w:val="en-US" w:eastAsia="zh-CN"/>
              </w:rPr>
              <w:t xml:space="preserve"> </w:t>
            </w:r>
            <w:r>
              <w:rPr>
                <w:sz w:val="24"/>
              </w:rPr>
              <w:t>oi，计算结果见表</w:t>
            </w:r>
            <w:r>
              <w:rPr>
                <w:rFonts w:hint="eastAsia"/>
                <w:sz w:val="24"/>
                <w:lang w:val="en-US" w:eastAsia="zh-CN"/>
              </w:rPr>
              <w:t>31</w:t>
            </w:r>
            <w:r>
              <w:rPr>
                <w:sz w:val="24"/>
              </w:rPr>
              <w:t>。</w:t>
            </w:r>
          </w:p>
          <w:p>
            <w:pPr>
              <w:pStyle w:val="9"/>
              <w:adjustRightInd/>
              <w:snapToGrid/>
              <w:spacing w:before="0" w:after="0" w:line="240" w:lineRule="auto"/>
              <w:ind w:hangingChars="478"/>
              <w:jc w:val="center"/>
              <w:rPr>
                <w:rFonts w:ascii="Times New Roman" w:hAnsi="Times New Roman"/>
              </w:rPr>
            </w:pPr>
            <w:r>
              <w:rPr>
                <w:rFonts w:ascii="Times New Roman" w:hAnsi="Times New Roman"/>
              </w:rPr>
              <w:t>表</w:t>
            </w:r>
            <w:r>
              <w:rPr>
                <w:rFonts w:hint="eastAsia" w:ascii="Times New Roman" w:hAnsi="Times New Roman"/>
                <w:lang w:val="en-US" w:eastAsia="zh-CN"/>
              </w:rPr>
              <w:t xml:space="preserve">31 </w:t>
            </w:r>
            <w:r>
              <w:rPr>
                <w:rFonts w:ascii="Times New Roman" w:hAnsi="Times New Roman"/>
              </w:rPr>
              <w:t xml:space="preserve"> </w:t>
            </w:r>
            <w:r>
              <w:rPr>
                <w:rFonts w:hint="eastAsia" w:ascii="Times New Roman" w:hAnsi="Times New Roman"/>
              </w:rPr>
              <w:t>营运期</w:t>
            </w:r>
            <w:r>
              <w:rPr>
                <w:rFonts w:ascii="Times New Roman" w:hAnsi="Times New Roman"/>
              </w:rPr>
              <w:t>各车型单车行驶辐射噪声级计算结果（单位：dB(A)）</w:t>
            </w:r>
          </w:p>
          <w:tbl>
            <w:tblPr>
              <w:tblStyle w:val="34"/>
              <w:tblW w:w="84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7"/>
              <w:gridCol w:w="737"/>
              <w:gridCol w:w="1140"/>
              <w:gridCol w:w="1140"/>
              <w:gridCol w:w="1110"/>
              <w:gridCol w:w="1170"/>
              <w:gridCol w:w="1200"/>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路段</w:t>
                  </w:r>
                </w:p>
              </w:tc>
              <w:tc>
                <w:tcPr>
                  <w:tcW w:w="737"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预测年</w:t>
                  </w:r>
                </w:p>
              </w:tc>
              <w:tc>
                <w:tcPr>
                  <w:tcW w:w="2280" w:type="dxa"/>
                  <w:gridSpan w:val="2"/>
                  <w:shd w:val="clear" w:color="auto" w:fill="auto"/>
                  <w:vAlign w:val="center"/>
                </w:tcPr>
                <w:p>
                  <w:pPr>
                    <w:keepNext w:val="0"/>
                    <w:keepLines w:val="0"/>
                    <w:pageBreakBefore w:val="0"/>
                    <w:kinsoku/>
                    <w:wordWrap/>
                    <w:overflowPunct/>
                    <w:topLinePunct w:val="0"/>
                    <w:autoSpaceDE/>
                    <w:autoSpaceDN/>
                    <w:bidi w:val="0"/>
                    <w:adjustRightInd w:val="0"/>
                    <w:snapToGrid w:val="0"/>
                    <w:spacing w:line="340" w:lineRule="exact"/>
                    <w:jc w:val="center"/>
                    <w:rPr>
                      <w:kern w:val="0"/>
                      <w:sz w:val="21"/>
                      <w:szCs w:val="21"/>
                      <w:lang w:bidi="ar"/>
                    </w:rPr>
                  </w:pPr>
                  <w:r>
                    <w:rPr>
                      <w:kern w:val="0"/>
                      <w:sz w:val="21"/>
                      <w:szCs w:val="21"/>
                    </w:rPr>
                    <w:t>202</w:t>
                  </w:r>
                  <w:r>
                    <w:rPr>
                      <w:rFonts w:hint="eastAsia"/>
                      <w:kern w:val="0"/>
                      <w:sz w:val="21"/>
                      <w:szCs w:val="21"/>
                      <w:lang w:val="en-US" w:eastAsia="zh-CN"/>
                    </w:rPr>
                    <w:t>4</w:t>
                  </w:r>
                  <w:r>
                    <w:rPr>
                      <w:kern w:val="0"/>
                      <w:sz w:val="21"/>
                      <w:szCs w:val="21"/>
                    </w:rPr>
                    <w:t>年</w:t>
                  </w:r>
                </w:p>
              </w:tc>
              <w:tc>
                <w:tcPr>
                  <w:tcW w:w="2280" w:type="dxa"/>
                  <w:gridSpan w:val="2"/>
                  <w:shd w:val="clear" w:color="auto" w:fill="auto"/>
                  <w:vAlign w:val="center"/>
                </w:tcPr>
                <w:p>
                  <w:pPr>
                    <w:keepNext w:val="0"/>
                    <w:keepLines w:val="0"/>
                    <w:pageBreakBefore w:val="0"/>
                    <w:kinsoku/>
                    <w:wordWrap/>
                    <w:overflowPunct/>
                    <w:topLinePunct w:val="0"/>
                    <w:autoSpaceDE/>
                    <w:autoSpaceDN/>
                    <w:bidi w:val="0"/>
                    <w:adjustRightInd w:val="0"/>
                    <w:snapToGrid w:val="0"/>
                    <w:spacing w:line="340" w:lineRule="exact"/>
                    <w:jc w:val="center"/>
                    <w:rPr>
                      <w:kern w:val="0"/>
                      <w:sz w:val="21"/>
                      <w:szCs w:val="21"/>
                      <w:lang w:bidi="ar"/>
                    </w:rPr>
                  </w:pPr>
                  <w:r>
                    <w:rPr>
                      <w:kern w:val="0"/>
                      <w:sz w:val="21"/>
                      <w:szCs w:val="21"/>
                    </w:rPr>
                    <w:t>20</w:t>
                  </w:r>
                  <w:r>
                    <w:rPr>
                      <w:rFonts w:hint="eastAsia"/>
                      <w:kern w:val="0"/>
                      <w:sz w:val="21"/>
                      <w:szCs w:val="21"/>
                      <w:lang w:val="en-US" w:eastAsia="zh-CN"/>
                    </w:rPr>
                    <w:t>30</w:t>
                  </w:r>
                  <w:r>
                    <w:rPr>
                      <w:kern w:val="0"/>
                      <w:sz w:val="21"/>
                      <w:szCs w:val="21"/>
                    </w:rPr>
                    <w:t>年</w:t>
                  </w:r>
                </w:p>
              </w:tc>
              <w:tc>
                <w:tcPr>
                  <w:tcW w:w="2415" w:type="dxa"/>
                  <w:gridSpan w:val="2"/>
                  <w:shd w:val="clear" w:color="auto" w:fill="auto"/>
                  <w:vAlign w:val="center"/>
                </w:tcPr>
                <w:p>
                  <w:pPr>
                    <w:keepNext w:val="0"/>
                    <w:keepLines w:val="0"/>
                    <w:pageBreakBefore w:val="0"/>
                    <w:kinsoku/>
                    <w:wordWrap/>
                    <w:overflowPunct/>
                    <w:topLinePunct w:val="0"/>
                    <w:autoSpaceDE/>
                    <w:autoSpaceDN/>
                    <w:bidi w:val="0"/>
                    <w:adjustRightInd w:val="0"/>
                    <w:snapToGrid w:val="0"/>
                    <w:spacing w:line="340" w:lineRule="exact"/>
                    <w:jc w:val="center"/>
                    <w:rPr>
                      <w:kern w:val="0"/>
                      <w:sz w:val="21"/>
                      <w:szCs w:val="21"/>
                      <w:lang w:bidi="ar"/>
                    </w:rPr>
                  </w:pPr>
                  <w:r>
                    <w:rPr>
                      <w:kern w:val="0"/>
                      <w:sz w:val="21"/>
                      <w:szCs w:val="21"/>
                    </w:rPr>
                    <w:t>203</w:t>
                  </w:r>
                  <w:r>
                    <w:rPr>
                      <w:rFonts w:hint="eastAsia"/>
                      <w:kern w:val="0"/>
                      <w:sz w:val="21"/>
                      <w:szCs w:val="21"/>
                      <w:lang w:val="en-US" w:eastAsia="zh-CN"/>
                    </w:rPr>
                    <w:t>8</w:t>
                  </w:r>
                  <w:r>
                    <w:rPr>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737"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车型</w:t>
                  </w:r>
                </w:p>
              </w:tc>
              <w:tc>
                <w:tcPr>
                  <w:tcW w:w="114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昼间</w:t>
                  </w:r>
                </w:p>
              </w:tc>
              <w:tc>
                <w:tcPr>
                  <w:tcW w:w="114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夜间</w:t>
                  </w:r>
                </w:p>
              </w:tc>
              <w:tc>
                <w:tcPr>
                  <w:tcW w:w="111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昼间</w:t>
                  </w:r>
                </w:p>
              </w:tc>
              <w:tc>
                <w:tcPr>
                  <w:tcW w:w="117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夜间</w:t>
                  </w:r>
                </w:p>
              </w:tc>
              <w:tc>
                <w:tcPr>
                  <w:tcW w:w="1200"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昼间</w:t>
                  </w:r>
                </w:p>
              </w:tc>
              <w:tc>
                <w:tcPr>
                  <w:tcW w:w="1215"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马鞍路</w:t>
                  </w:r>
                </w:p>
              </w:tc>
              <w:tc>
                <w:tcPr>
                  <w:tcW w:w="737" w:type="dxa"/>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小型车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65.17</w:t>
                  </w:r>
                </w:p>
              </w:tc>
              <w:tc>
                <w:tcPr>
                  <w:tcW w:w="114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65.71</w:t>
                  </w:r>
                </w:p>
              </w:tc>
              <w:tc>
                <w:tcPr>
                  <w:tcW w:w="111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65.00</w:t>
                  </w: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65.69</w:t>
                  </w:r>
                </w:p>
              </w:tc>
              <w:tc>
                <w:tcPr>
                  <w:tcW w:w="12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64.85</w:t>
                  </w: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737" w:type="dxa"/>
                  <w:tcBorders>
                    <w:bottom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中型车</w:t>
                  </w:r>
                </w:p>
              </w:tc>
              <w:tc>
                <w:tcPr>
                  <w:tcW w:w="114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65.16</w:t>
                  </w:r>
                </w:p>
              </w:tc>
              <w:tc>
                <w:tcPr>
                  <w:tcW w:w="114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64.36</w:t>
                  </w:r>
                </w:p>
              </w:tc>
              <w:tc>
                <w:tcPr>
                  <w:tcW w:w="111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65.23</w:t>
                  </w:r>
                </w:p>
              </w:tc>
              <w:tc>
                <w:tcPr>
                  <w:tcW w:w="117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64.42</w:t>
                  </w:r>
                </w:p>
              </w:tc>
              <w:tc>
                <w:tcPr>
                  <w:tcW w:w="12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65.27</w:t>
                  </w:r>
                </w:p>
              </w:tc>
              <w:tc>
                <w:tcPr>
                  <w:tcW w:w="121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sz w:val="21"/>
                      <w:szCs w:val="21"/>
                    </w:rPr>
                  </w:pPr>
                  <w:r>
                    <w:rPr>
                      <w:kern w:val="0"/>
                      <w:sz w:val="21"/>
                      <w:szCs w:val="21"/>
                      <w:lang w:bidi="ar"/>
                    </w:rPr>
                    <w:t>大型车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72.45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71.87</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72.52</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71.91</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72.56</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桃园路</w:t>
                  </w: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小型车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71.32</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71.83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70.87</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71.78</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70.57</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中型车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72.26</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71.47</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72.41</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71.62</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72.42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大型车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78.84</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78.26</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78.98</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78.37</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79.02</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纬四路</w:t>
                  </w: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小型车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61.33</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61.43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61.23</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61.42</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61.13</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中型车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59.45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59.03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59.68</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59.10</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59.84</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59.16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大型车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67.44</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67.16</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67.59</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67.20</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67.71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restart"/>
                  <w:shd w:val="clear" w:color="auto" w:fill="auto"/>
                  <w:vAlign w:val="center"/>
                </w:tcPr>
                <w:p>
                  <w:pPr>
                    <w:keepNext w:val="0"/>
                    <w:keepLines w:val="0"/>
                    <w:pageBreakBefore w:val="0"/>
                    <w:tabs>
                      <w:tab w:val="left" w:pos="1280"/>
                    </w:tabs>
                    <w:kinsoku/>
                    <w:wordWrap/>
                    <w:overflowPunct/>
                    <w:topLinePunct w:val="0"/>
                    <w:autoSpaceDE/>
                    <w:autoSpaceDN/>
                    <w:bidi w:val="0"/>
                    <w:spacing w:line="340" w:lineRule="exact"/>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eastAsia="zh-CN"/>
                    </w:rPr>
                    <w:t>百合路</w:t>
                  </w: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小型车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65.25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65.72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65.13</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65.71</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65.04</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中型车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65.09</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64.31</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65.16</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64.36</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65.20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64.39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37" w:type="dxa"/>
                  <w:vMerge w:val="continue"/>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p>
              </w:tc>
              <w:tc>
                <w:tcPr>
                  <w:tcW w:w="737"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pacing w:line="340" w:lineRule="exact"/>
                    <w:jc w:val="center"/>
                    <w:textAlignment w:val="center"/>
                    <w:rPr>
                      <w:kern w:val="0"/>
                      <w:sz w:val="21"/>
                      <w:szCs w:val="21"/>
                      <w:lang w:bidi="ar"/>
                    </w:rPr>
                  </w:pPr>
                  <w:r>
                    <w:rPr>
                      <w:kern w:val="0"/>
                      <w:sz w:val="21"/>
                      <w:szCs w:val="21"/>
                      <w:lang w:bidi="ar"/>
                    </w:rPr>
                    <w:t>大型车</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72.41</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71.85</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72.48</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71.89</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72.51</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eastAsia="zh-CN"/>
                    </w:rPr>
                  </w:pPr>
                  <w:r>
                    <w:rPr>
                      <w:rFonts w:hint="default"/>
                      <w:sz w:val="21"/>
                      <w:szCs w:val="21"/>
                      <w:lang w:val="en-US" w:eastAsia="zh-CN"/>
                    </w:rPr>
                    <w:t>71.91</w:t>
                  </w:r>
                </w:p>
              </w:tc>
            </w:tr>
          </w:tbl>
          <w:p>
            <w:pPr>
              <w:tabs>
                <w:tab w:val="left" w:pos="1280"/>
              </w:tabs>
              <w:ind w:firstLine="482" w:firstLineChars="200"/>
              <w:textAlignment w:val="baseline"/>
              <w:rPr>
                <w:b/>
                <w:bCs/>
                <w:sz w:val="24"/>
              </w:rPr>
            </w:pPr>
            <w:r>
              <w:rPr>
                <w:b/>
                <w:bCs/>
                <w:sz w:val="24"/>
              </w:rPr>
              <w:t>2.4 运营期固体废物污染源分析</w:t>
            </w:r>
          </w:p>
          <w:p>
            <w:pPr>
              <w:tabs>
                <w:tab w:val="left" w:pos="1280"/>
              </w:tabs>
              <w:ind w:firstLine="480" w:firstLineChars="200"/>
              <w:textAlignment w:val="baseline"/>
              <w:rPr>
                <w:sz w:val="24"/>
              </w:rPr>
            </w:pPr>
            <w:r>
              <w:rPr>
                <w:sz w:val="24"/>
              </w:rPr>
              <w:t>本项目通车后，经过道路的司乘人员以及行人将产生废纸、废塑料袋、盒、烟蒂等生活垃圾。</w:t>
            </w:r>
          </w:p>
          <w:p>
            <w:pPr>
              <w:tabs>
                <w:tab w:val="left" w:pos="1280"/>
              </w:tabs>
              <w:ind w:firstLine="482" w:firstLineChars="200"/>
              <w:textAlignment w:val="baseline"/>
              <w:rPr>
                <w:b/>
                <w:bCs/>
                <w:sz w:val="24"/>
              </w:rPr>
            </w:pPr>
            <w:r>
              <w:rPr>
                <w:b/>
                <w:bCs/>
                <w:sz w:val="24"/>
              </w:rPr>
              <w:t>2.5 运营期社会环境</w:t>
            </w:r>
          </w:p>
          <w:p>
            <w:pPr>
              <w:bidi w:val="0"/>
              <w:ind w:firstLine="480" w:firstLineChars="200"/>
              <w:rPr>
                <w:rFonts w:hint="eastAsia"/>
              </w:rPr>
            </w:pPr>
            <w:r>
              <w:rPr>
                <w:rFonts w:hint="eastAsia"/>
              </w:rPr>
              <w:t>本项目的建设加强了云龙示范区内的交通联系，其建设有利于完善</w:t>
            </w:r>
            <w:r>
              <w:rPr>
                <w:rFonts w:hint="eastAsia"/>
                <w:lang w:eastAsia="zh-CN"/>
              </w:rPr>
              <w:t>云龙示范区</w:t>
            </w:r>
            <w:r>
              <w:rPr>
                <w:rFonts w:hint="eastAsia"/>
              </w:rPr>
              <w:t>的交通路网，更加促进沿线社会经济发展，居民出行更加方便，商业活动更频繁，并对提高居民生活水平、就业率以及人口素质起着积极的作用。</w:t>
            </w:r>
          </w:p>
          <w:p>
            <w:pPr>
              <w:bidi w:val="0"/>
              <w:ind w:firstLine="480" w:firstLineChars="200"/>
              <w:rPr>
                <w:rFonts w:hint="eastAsia"/>
              </w:rPr>
            </w:pPr>
          </w:p>
          <w:p>
            <w:pPr>
              <w:bidi w:val="0"/>
              <w:rPr>
                <w:highlight w:val="yellow"/>
              </w:rPr>
            </w:pPr>
          </w:p>
        </w:tc>
      </w:tr>
    </w:tbl>
    <w:p>
      <w:pPr>
        <w:jc w:val="left"/>
        <w:outlineLvl w:val="0"/>
        <w:rPr>
          <w:rFonts w:cs="宋体"/>
          <w:b/>
          <w:bCs/>
          <w:sz w:val="28"/>
        </w:rPr>
      </w:pPr>
      <w:r>
        <w:rPr>
          <w:rFonts w:hint="eastAsia" w:cs="宋体"/>
          <w:b/>
          <w:bCs/>
          <w:sz w:val="28"/>
        </w:rPr>
        <w:t>项目主要污染物产生及预计排放情况</w:t>
      </w:r>
    </w:p>
    <w:tbl>
      <w:tblPr>
        <w:tblStyle w:val="34"/>
        <w:tblW w:w="91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791"/>
        <w:gridCol w:w="946"/>
        <w:gridCol w:w="1204"/>
        <w:gridCol w:w="116"/>
        <w:gridCol w:w="1710"/>
        <w:gridCol w:w="2171"/>
        <w:gridCol w:w="21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774" w:hRule="atLeast"/>
          <w:jc w:val="center"/>
        </w:trPr>
        <w:tc>
          <w:tcPr>
            <w:tcW w:w="791" w:type="dxa"/>
            <w:tcBorders>
              <w:tl2br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right"/>
              <w:textAlignment w:val="auto"/>
              <w:rPr>
                <w:rFonts w:cs="宋体"/>
                <w:b/>
                <w:bCs/>
                <w:kern w:val="24"/>
                <w:sz w:val="24"/>
              </w:rPr>
            </w:pPr>
            <w:r>
              <w:rPr>
                <w:rFonts w:hint="eastAsia" w:cs="宋体"/>
                <w:b/>
                <w:bCs/>
                <w:sz w:val="24"/>
              </w:rPr>
              <w:t>内容</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cs="宋体"/>
                <w:b/>
                <w:bCs/>
                <w:kern w:val="24"/>
                <w:sz w:val="24"/>
              </w:rPr>
            </w:pPr>
            <w:r>
              <w:rPr>
                <w:rFonts w:hint="eastAsia" w:cs="宋体"/>
                <w:b/>
                <w:bCs/>
                <w:sz w:val="24"/>
              </w:rPr>
              <w:t>类型</w:t>
            </w:r>
          </w:p>
        </w:tc>
        <w:tc>
          <w:tcPr>
            <w:tcW w:w="2150"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kern w:val="24"/>
                <w:sz w:val="24"/>
              </w:rPr>
            </w:pPr>
            <w:r>
              <w:rPr>
                <w:rFonts w:hint="eastAsia" w:cs="宋体"/>
                <w:b/>
                <w:bCs/>
                <w:sz w:val="24"/>
              </w:rPr>
              <w:t>排放源（编号）</w:t>
            </w:r>
          </w:p>
        </w:tc>
        <w:tc>
          <w:tcPr>
            <w:tcW w:w="1826"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污染物</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kern w:val="24"/>
                <w:sz w:val="24"/>
              </w:rPr>
            </w:pPr>
            <w:r>
              <w:rPr>
                <w:rFonts w:hint="eastAsia" w:cs="宋体"/>
                <w:b/>
                <w:bCs/>
                <w:sz w:val="24"/>
              </w:rPr>
              <w:t>名称</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kern w:val="24"/>
                <w:sz w:val="24"/>
              </w:rPr>
            </w:pPr>
            <w:r>
              <w:rPr>
                <w:rFonts w:hint="eastAsia" w:cs="宋体"/>
                <w:b/>
                <w:bCs/>
                <w:sz w:val="24"/>
              </w:rPr>
              <w:t>处理前产生浓度及产生量(单位)</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排放浓度及排放量</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kern w:val="24"/>
                <w:sz w:val="24"/>
              </w:rPr>
            </w:pPr>
            <w:r>
              <w:rPr>
                <w:rFonts w:hint="eastAsia" w:cs="宋体"/>
                <w:b/>
                <w:bCs/>
                <w:sz w:val="24"/>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大</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气</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污</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染</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kern w:val="24"/>
                <w:sz w:val="24"/>
              </w:rPr>
            </w:pPr>
            <w:r>
              <w:rPr>
                <w:rFonts w:hint="eastAsia" w:cs="宋体"/>
                <w:b/>
                <w:bCs/>
                <w:sz w:val="24"/>
              </w:rPr>
              <w:t>物</w:t>
            </w:r>
          </w:p>
        </w:tc>
        <w:tc>
          <w:tcPr>
            <w:tcW w:w="946"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施工期</w:t>
            </w:r>
          </w:p>
        </w:tc>
        <w:tc>
          <w:tcPr>
            <w:tcW w:w="120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施工扬尘</w:t>
            </w:r>
          </w:p>
        </w:tc>
        <w:tc>
          <w:tcPr>
            <w:tcW w:w="1826"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扬尘</w:t>
            </w:r>
          </w:p>
        </w:tc>
        <w:tc>
          <w:tcPr>
            <w:tcW w:w="2171"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少量，无组织排放</w:t>
            </w:r>
          </w:p>
        </w:tc>
        <w:tc>
          <w:tcPr>
            <w:tcW w:w="2190"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少量，无组织排放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120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沥青烟气</w:t>
            </w:r>
          </w:p>
        </w:tc>
        <w:tc>
          <w:tcPr>
            <w:tcW w:w="1826"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THC、CO、NO</w:t>
            </w:r>
            <w:r>
              <w:rPr>
                <w:sz w:val="24"/>
                <w:vertAlign w:val="subscript"/>
              </w:rPr>
              <w:t>X</w:t>
            </w:r>
          </w:p>
        </w:tc>
        <w:tc>
          <w:tcPr>
            <w:tcW w:w="2171"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少量，无组织排放</w:t>
            </w:r>
          </w:p>
        </w:tc>
        <w:tc>
          <w:tcPr>
            <w:tcW w:w="2190"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少量，无组织排放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120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机械尾气</w:t>
            </w:r>
          </w:p>
        </w:tc>
        <w:tc>
          <w:tcPr>
            <w:tcW w:w="1826"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4"/>
                <w:lang w:eastAsia="zh-CN"/>
              </w:rPr>
            </w:pPr>
            <w:r>
              <w:rPr>
                <w:rFonts w:hint="eastAsia"/>
                <w:sz w:val="24"/>
                <w:lang w:val="en-US" w:eastAsia="zh-CN"/>
              </w:rPr>
              <w:t>T</w:t>
            </w:r>
            <w:r>
              <w:rPr>
                <w:sz w:val="24"/>
              </w:rPr>
              <w:t>HC、CO、NO</w:t>
            </w:r>
            <w:r>
              <w:rPr>
                <w:rFonts w:hint="eastAsia"/>
                <w:sz w:val="24"/>
                <w:vertAlign w:val="subscript"/>
                <w:lang w:val="en-US" w:eastAsia="zh-CN"/>
              </w:rPr>
              <w:t>X</w:t>
            </w:r>
          </w:p>
        </w:tc>
        <w:tc>
          <w:tcPr>
            <w:tcW w:w="2171"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少量，无组织排放</w:t>
            </w:r>
          </w:p>
        </w:tc>
        <w:tc>
          <w:tcPr>
            <w:tcW w:w="2190"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少量，无组织排放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p>
        </w:tc>
        <w:tc>
          <w:tcPr>
            <w:tcW w:w="946"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运营期</w:t>
            </w:r>
          </w:p>
        </w:tc>
        <w:tc>
          <w:tcPr>
            <w:tcW w:w="120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道路扬尘</w:t>
            </w:r>
          </w:p>
        </w:tc>
        <w:tc>
          <w:tcPr>
            <w:tcW w:w="1826"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扬尘</w:t>
            </w:r>
          </w:p>
        </w:tc>
        <w:tc>
          <w:tcPr>
            <w:tcW w:w="2171"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少量，无组织排放</w:t>
            </w:r>
          </w:p>
        </w:tc>
        <w:tc>
          <w:tcPr>
            <w:tcW w:w="2190"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少量，无组织排放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120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lang w:eastAsia="zh-CN"/>
              </w:rPr>
              <w:t>马鞍路</w:t>
            </w:r>
            <w:r>
              <w:rPr>
                <w:sz w:val="24"/>
              </w:rPr>
              <w:t>汽车尾气</w:t>
            </w: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rPr>
              <w:t>CO</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近期</w:t>
            </w:r>
            <w:r>
              <w:rPr>
                <w:rFonts w:hint="eastAsia"/>
                <w:sz w:val="24"/>
                <w:highlight w:val="none"/>
                <w:lang w:val="en-US" w:eastAsia="zh-CN"/>
              </w:rPr>
              <w:t>3</w:t>
            </w:r>
            <w:r>
              <w:rPr>
                <w:rFonts w:hint="eastAsia"/>
                <w:sz w:val="24"/>
                <w:highlight w:val="none"/>
              </w:rPr>
              <w:t>.185</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近期</w:t>
            </w:r>
            <w:r>
              <w:rPr>
                <w:rFonts w:hint="eastAsia"/>
                <w:sz w:val="24"/>
                <w:highlight w:val="none"/>
                <w:lang w:val="en-US" w:eastAsia="zh-CN"/>
              </w:rPr>
              <w:t>3</w:t>
            </w:r>
            <w:r>
              <w:rPr>
                <w:rFonts w:hint="eastAsia"/>
                <w:sz w:val="24"/>
                <w:highlight w:val="none"/>
              </w:rPr>
              <w:t>.185</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中期</w:t>
            </w:r>
            <w:r>
              <w:rPr>
                <w:rFonts w:hint="eastAsia"/>
                <w:sz w:val="24"/>
                <w:highlight w:val="none"/>
                <w:lang w:val="en-US" w:eastAsia="zh-CN"/>
              </w:rPr>
              <w:t>4</w:t>
            </w:r>
            <w:r>
              <w:rPr>
                <w:rFonts w:hint="eastAsia"/>
                <w:sz w:val="24"/>
                <w:highlight w:val="none"/>
              </w:rPr>
              <w:t>.259</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中期</w:t>
            </w:r>
            <w:r>
              <w:rPr>
                <w:rFonts w:hint="eastAsia"/>
                <w:sz w:val="24"/>
                <w:highlight w:val="none"/>
                <w:lang w:val="en-US" w:eastAsia="zh-CN"/>
              </w:rPr>
              <w:t>4</w:t>
            </w:r>
            <w:r>
              <w:rPr>
                <w:rFonts w:hint="eastAsia"/>
                <w:sz w:val="24"/>
                <w:highlight w:val="none"/>
              </w:rPr>
              <w:t>.259</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远期</w:t>
            </w:r>
            <w:r>
              <w:rPr>
                <w:rFonts w:hint="eastAsia"/>
                <w:sz w:val="24"/>
                <w:highlight w:val="none"/>
                <w:lang w:val="en-US" w:eastAsia="zh-CN"/>
              </w:rPr>
              <w:t>5.163</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远期</w:t>
            </w:r>
            <w:r>
              <w:rPr>
                <w:rFonts w:hint="eastAsia"/>
                <w:sz w:val="24"/>
                <w:highlight w:val="none"/>
                <w:lang w:val="en-US" w:eastAsia="zh-CN"/>
              </w:rPr>
              <w:t>5.163</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highlight w:val="yellow"/>
              </w:rPr>
            </w:pP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THC</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近期</w:t>
            </w:r>
            <w:r>
              <w:rPr>
                <w:rFonts w:hint="eastAsia"/>
                <w:sz w:val="24"/>
                <w:highlight w:val="none"/>
                <w:lang w:val="en-US" w:eastAsia="zh-CN"/>
              </w:rPr>
              <w:t>1.006</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近期</w:t>
            </w:r>
            <w:r>
              <w:rPr>
                <w:rFonts w:hint="eastAsia"/>
                <w:sz w:val="24"/>
                <w:highlight w:val="none"/>
                <w:lang w:val="en-US" w:eastAsia="zh-CN"/>
              </w:rPr>
              <w:t>1.006</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中期</w:t>
            </w:r>
            <w:r>
              <w:rPr>
                <w:rFonts w:hint="eastAsia"/>
                <w:sz w:val="24"/>
                <w:highlight w:val="none"/>
                <w:lang w:val="en-US" w:eastAsia="zh-CN"/>
              </w:rPr>
              <w:t>1.302</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中期</w:t>
            </w:r>
            <w:r>
              <w:rPr>
                <w:rFonts w:hint="eastAsia"/>
                <w:sz w:val="24"/>
                <w:highlight w:val="none"/>
                <w:lang w:val="en-US" w:eastAsia="zh-CN"/>
              </w:rPr>
              <w:t>1.302</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远期</w:t>
            </w:r>
            <w:r>
              <w:rPr>
                <w:rFonts w:hint="eastAsia"/>
                <w:sz w:val="24"/>
                <w:highlight w:val="none"/>
                <w:lang w:val="en-US" w:eastAsia="zh-CN"/>
              </w:rPr>
              <w:t>1.552</w:t>
            </w:r>
            <w:r>
              <w:rPr>
                <w:highlight w:val="none"/>
              </w:rPr>
              <w:t xml:space="preserve"> </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远期</w:t>
            </w:r>
            <w:r>
              <w:rPr>
                <w:rFonts w:hint="eastAsia"/>
                <w:sz w:val="24"/>
                <w:highlight w:val="none"/>
                <w:lang w:val="en-US" w:eastAsia="zh-CN"/>
              </w:rPr>
              <w:t>1.552</w:t>
            </w:r>
            <w:r>
              <w:rPr>
                <w:highlight w:val="none"/>
              </w:rPr>
              <w:t xml:space="preserve"> </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4"/>
                <w:lang w:eastAsia="zh-CN"/>
              </w:rPr>
            </w:pPr>
            <w:r>
              <w:rPr>
                <w:sz w:val="24"/>
              </w:rPr>
              <w:t>NO</w:t>
            </w:r>
            <w:r>
              <w:rPr>
                <w:rFonts w:hint="eastAsia"/>
                <w:sz w:val="24"/>
                <w:vertAlign w:val="subscript"/>
                <w:lang w:val="en-US" w:eastAsia="zh-CN"/>
              </w:rPr>
              <w:t>X</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近期</w:t>
            </w:r>
            <w:r>
              <w:rPr>
                <w:rFonts w:hint="eastAsia"/>
                <w:sz w:val="24"/>
                <w:highlight w:val="none"/>
                <w:lang w:val="en-US" w:eastAsia="zh-CN"/>
              </w:rPr>
              <w:t>0.391</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近期</w:t>
            </w:r>
            <w:r>
              <w:rPr>
                <w:rFonts w:hint="eastAsia"/>
                <w:sz w:val="24"/>
                <w:highlight w:val="none"/>
                <w:lang w:val="en-US" w:eastAsia="zh-CN"/>
              </w:rPr>
              <w:t>0.391</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中期</w:t>
            </w:r>
            <w:r>
              <w:rPr>
                <w:rFonts w:hint="eastAsia"/>
                <w:sz w:val="24"/>
                <w:highlight w:val="none"/>
                <w:lang w:val="en-US" w:eastAsia="zh-CN"/>
              </w:rPr>
              <w:t>0.459</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中期</w:t>
            </w:r>
            <w:r>
              <w:rPr>
                <w:rFonts w:hint="eastAsia"/>
                <w:sz w:val="24"/>
                <w:highlight w:val="none"/>
                <w:lang w:val="en-US" w:eastAsia="zh-CN"/>
              </w:rPr>
              <w:t>0.459</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远期</w:t>
            </w:r>
            <w:r>
              <w:rPr>
                <w:rFonts w:hint="eastAsia"/>
                <w:sz w:val="24"/>
                <w:highlight w:val="none"/>
                <w:lang w:val="en-US" w:eastAsia="zh-CN"/>
              </w:rPr>
              <w:t>0.517</w:t>
            </w:r>
            <w:r>
              <w:rPr>
                <w:highlight w:val="none"/>
              </w:rPr>
              <w:t xml:space="preserve"> </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none"/>
              </w:rPr>
            </w:pPr>
            <w:r>
              <w:rPr>
                <w:rFonts w:hint="eastAsia"/>
                <w:sz w:val="24"/>
                <w:highlight w:val="none"/>
              </w:rPr>
              <w:t>远期</w:t>
            </w:r>
            <w:r>
              <w:rPr>
                <w:rFonts w:hint="eastAsia"/>
                <w:sz w:val="24"/>
                <w:highlight w:val="none"/>
                <w:lang w:val="en-US" w:eastAsia="zh-CN"/>
              </w:rPr>
              <w:t>0.517</w:t>
            </w:r>
            <w:r>
              <w:rPr>
                <w:highlight w:val="none"/>
              </w:rPr>
              <w:t xml:space="preserve"> </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r>
              <w:rPr>
                <w:rFonts w:hint="eastAsia"/>
                <w:sz w:val="24"/>
                <w:lang w:eastAsia="zh-CN"/>
              </w:rPr>
              <w:t>桃园路</w:t>
            </w:r>
            <w:r>
              <w:rPr>
                <w:sz w:val="24"/>
              </w:rPr>
              <w:t>汽车尾气</w:t>
            </w: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rPr>
              <w:t>CO</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5.519</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5.519</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rFonts w:hint="eastAsia"/>
                <w:sz w:val="24"/>
                <w:highlight w:val="none"/>
                <w:lang w:val="en-US" w:eastAsia="zh-CN"/>
              </w:rPr>
              <w:t>7.841</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rFonts w:hint="eastAsia"/>
                <w:sz w:val="24"/>
                <w:highlight w:val="none"/>
                <w:lang w:val="en-US" w:eastAsia="zh-CN"/>
              </w:rPr>
              <w:t>7.841</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8.430</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8.430</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THC</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1.826</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1.826</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rFonts w:hint="eastAsia"/>
                <w:sz w:val="24"/>
                <w:highlight w:val="none"/>
                <w:lang w:val="en-US" w:eastAsia="zh-CN"/>
              </w:rPr>
              <w:t>2.618</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rFonts w:hint="eastAsia"/>
                <w:sz w:val="24"/>
                <w:highlight w:val="none"/>
                <w:lang w:val="en-US" w:eastAsia="zh-CN"/>
              </w:rPr>
              <w:t>2.618</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3.023</w:t>
            </w:r>
            <w:r>
              <w:rPr>
                <w:highlight w:val="none"/>
              </w:rPr>
              <w:t xml:space="preserve"> </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3.023</w:t>
            </w:r>
            <w:r>
              <w:rPr>
                <w:highlight w:val="none"/>
              </w:rPr>
              <w:t xml:space="preserve"> </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NO</w:t>
            </w:r>
            <w:r>
              <w:rPr>
                <w:rFonts w:hint="eastAsia"/>
                <w:sz w:val="24"/>
                <w:vertAlign w:val="subscript"/>
                <w:lang w:val="en-US" w:eastAsia="zh-CN"/>
              </w:rPr>
              <w:t>X</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0.602</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0.602</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0.</w:t>
            </w:r>
            <w:r>
              <w:rPr>
                <w:rFonts w:hint="eastAsia"/>
                <w:sz w:val="24"/>
                <w:highlight w:val="none"/>
                <w:lang w:val="en-US" w:eastAsia="zh-CN"/>
              </w:rPr>
              <w:t>876</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0.</w:t>
            </w:r>
            <w:r>
              <w:rPr>
                <w:rFonts w:hint="eastAsia"/>
                <w:sz w:val="24"/>
                <w:highlight w:val="none"/>
                <w:lang w:val="en-US" w:eastAsia="zh-CN"/>
              </w:rPr>
              <w:t>876</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1</w:t>
            </w:r>
            <w:r>
              <w:rPr>
                <w:sz w:val="24"/>
                <w:highlight w:val="none"/>
              </w:rPr>
              <w:t>.0</w:t>
            </w:r>
            <w:r>
              <w:rPr>
                <w:rFonts w:hint="eastAsia"/>
                <w:sz w:val="24"/>
                <w:highlight w:val="none"/>
                <w:lang w:val="en-US" w:eastAsia="zh-CN"/>
              </w:rPr>
              <w:t>40</w:t>
            </w:r>
            <w:r>
              <w:rPr>
                <w:highlight w:val="none"/>
              </w:rPr>
              <w:t xml:space="preserve"> </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1</w:t>
            </w:r>
            <w:r>
              <w:rPr>
                <w:sz w:val="24"/>
                <w:highlight w:val="none"/>
              </w:rPr>
              <w:t>.0</w:t>
            </w:r>
            <w:r>
              <w:rPr>
                <w:rFonts w:hint="eastAsia"/>
                <w:sz w:val="24"/>
                <w:highlight w:val="none"/>
                <w:lang w:val="en-US" w:eastAsia="zh-CN"/>
              </w:rPr>
              <w:t>40</w:t>
            </w:r>
            <w:r>
              <w:rPr>
                <w:highlight w:val="none"/>
              </w:rPr>
              <w:t xml:space="preserve"> </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r>
              <w:rPr>
                <w:rFonts w:hint="eastAsia"/>
                <w:sz w:val="24"/>
                <w:lang w:eastAsia="zh-CN"/>
              </w:rPr>
              <w:t>纬四路</w:t>
            </w:r>
            <w:r>
              <w:rPr>
                <w:sz w:val="24"/>
              </w:rPr>
              <w:t>汽车尾气</w:t>
            </w: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rPr>
              <w:t>CO</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1.378</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1.378</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rFonts w:hint="eastAsia"/>
                <w:sz w:val="24"/>
                <w:highlight w:val="none"/>
                <w:lang w:val="en-US" w:eastAsia="zh-CN"/>
              </w:rPr>
              <w:t>2.099</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rFonts w:hint="eastAsia"/>
                <w:sz w:val="24"/>
                <w:highlight w:val="none"/>
                <w:lang w:val="en-US" w:eastAsia="zh-CN"/>
              </w:rPr>
              <w:t>2.099</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2.756</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2.756</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THC</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sz w:val="24"/>
                <w:highlight w:val="none"/>
              </w:rPr>
              <w:t>0.</w:t>
            </w:r>
            <w:r>
              <w:rPr>
                <w:rFonts w:hint="eastAsia"/>
                <w:sz w:val="24"/>
                <w:highlight w:val="none"/>
                <w:lang w:val="en-US" w:eastAsia="zh-CN"/>
              </w:rPr>
              <w:t>205</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sz w:val="24"/>
                <w:highlight w:val="none"/>
              </w:rPr>
              <w:t>0.</w:t>
            </w:r>
            <w:r>
              <w:rPr>
                <w:rFonts w:hint="eastAsia"/>
                <w:sz w:val="24"/>
                <w:highlight w:val="none"/>
                <w:lang w:val="en-US" w:eastAsia="zh-CN"/>
              </w:rPr>
              <w:t>205</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0.</w:t>
            </w:r>
            <w:r>
              <w:rPr>
                <w:rFonts w:hint="eastAsia"/>
                <w:sz w:val="24"/>
                <w:highlight w:val="none"/>
                <w:lang w:val="en-US" w:eastAsia="zh-CN"/>
              </w:rPr>
              <w:t>365</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0.</w:t>
            </w:r>
            <w:r>
              <w:rPr>
                <w:rFonts w:hint="eastAsia"/>
                <w:sz w:val="24"/>
                <w:highlight w:val="none"/>
                <w:lang w:val="en-US" w:eastAsia="zh-CN"/>
              </w:rPr>
              <w:t>365</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sz w:val="24"/>
                <w:highlight w:val="none"/>
              </w:rPr>
              <w:t>0.</w:t>
            </w:r>
            <w:r>
              <w:rPr>
                <w:rFonts w:hint="eastAsia"/>
                <w:sz w:val="24"/>
                <w:highlight w:val="none"/>
                <w:lang w:val="en-US" w:eastAsia="zh-CN"/>
              </w:rPr>
              <w:t>510</w:t>
            </w:r>
            <w:r>
              <w:rPr>
                <w:highlight w:val="none"/>
              </w:rPr>
              <w:t xml:space="preserve"> </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sz w:val="24"/>
                <w:highlight w:val="none"/>
              </w:rPr>
              <w:t>0.</w:t>
            </w:r>
            <w:r>
              <w:rPr>
                <w:rFonts w:hint="eastAsia"/>
                <w:sz w:val="24"/>
                <w:highlight w:val="none"/>
                <w:lang w:val="en-US" w:eastAsia="zh-CN"/>
              </w:rPr>
              <w:t>510</w:t>
            </w:r>
            <w:r>
              <w:rPr>
                <w:highlight w:val="none"/>
              </w:rPr>
              <w:t xml:space="preserve"> </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NO</w:t>
            </w:r>
            <w:r>
              <w:rPr>
                <w:rFonts w:hint="eastAsia"/>
                <w:sz w:val="24"/>
                <w:vertAlign w:val="subscript"/>
                <w:lang w:val="en-US" w:eastAsia="zh-CN"/>
              </w:rPr>
              <w:t>X</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sz w:val="24"/>
                <w:highlight w:val="none"/>
              </w:rPr>
              <w:t>0.0</w:t>
            </w:r>
            <w:r>
              <w:rPr>
                <w:rFonts w:hint="eastAsia"/>
                <w:sz w:val="24"/>
                <w:highlight w:val="none"/>
                <w:lang w:val="en-US" w:eastAsia="zh-CN"/>
              </w:rPr>
              <w:t>16</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sz w:val="24"/>
                <w:highlight w:val="none"/>
              </w:rPr>
              <w:t>0.0</w:t>
            </w:r>
            <w:r>
              <w:rPr>
                <w:rFonts w:hint="eastAsia"/>
                <w:sz w:val="24"/>
                <w:highlight w:val="none"/>
                <w:lang w:val="en-US" w:eastAsia="zh-CN"/>
              </w:rPr>
              <w:t>16</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0.0</w:t>
            </w:r>
            <w:r>
              <w:rPr>
                <w:rFonts w:hint="eastAsia"/>
                <w:sz w:val="24"/>
                <w:highlight w:val="none"/>
                <w:lang w:val="en-US" w:eastAsia="zh-CN"/>
              </w:rPr>
              <w:t>29</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0.0</w:t>
            </w:r>
            <w:r>
              <w:rPr>
                <w:rFonts w:hint="eastAsia"/>
                <w:sz w:val="24"/>
                <w:highlight w:val="none"/>
                <w:lang w:val="en-US" w:eastAsia="zh-CN"/>
              </w:rPr>
              <w:t>29</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sz w:val="24"/>
                <w:highlight w:val="none"/>
              </w:rPr>
              <w:t>0.0</w:t>
            </w:r>
            <w:r>
              <w:rPr>
                <w:rFonts w:hint="eastAsia"/>
                <w:sz w:val="24"/>
                <w:highlight w:val="none"/>
                <w:lang w:val="en-US" w:eastAsia="zh-CN"/>
              </w:rPr>
              <w:t>42</w:t>
            </w:r>
            <w:r>
              <w:rPr>
                <w:highlight w:val="none"/>
              </w:rPr>
              <w:t xml:space="preserve"> </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sz w:val="24"/>
                <w:highlight w:val="none"/>
              </w:rPr>
              <w:t>0.0</w:t>
            </w:r>
            <w:r>
              <w:rPr>
                <w:rFonts w:hint="eastAsia"/>
                <w:sz w:val="24"/>
                <w:highlight w:val="none"/>
                <w:lang w:val="en-US" w:eastAsia="zh-CN"/>
              </w:rPr>
              <w:t>42</w:t>
            </w:r>
            <w:r>
              <w:rPr>
                <w:highlight w:val="none"/>
              </w:rPr>
              <w:t xml:space="preserve"> </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r>
              <w:rPr>
                <w:rFonts w:hint="eastAsia"/>
                <w:sz w:val="24"/>
                <w:lang w:eastAsia="zh-CN"/>
              </w:rPr>
              <w:t>百合路</w:t>
            </w:r>
            <w:r>
              <w:rPr>
                <w:sz w:val="24"/>
              </w:rPr>
              <w:t>汽车尾气</w:t>
            </w: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rPr>
              <w:t>CO</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sz w:val="24"/>
                <w:highlight w:val="none"/>
              </w:rPr>
              <w:t>3.8</w:t>
            </w:r>
            <w:r>
              <w:rPr>
                <w:rFonts w:hint="eastAsia"/>
                <w:sz w:val="24"/>
                <w:highlight w:val="none"/>
                <w:lang w:val="en-US" w:eastAsia="zh-CN"/>
              </w:rPr>
              <w:t>23</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sz w:val="24"/>
                <w:highlight w:val="none"/>
              </w:rPr>
              <w:t>3.8</w:t>
            </w:r>
            <w:r>
              <w:rPr>
                <w:rFonts w:hint="eastAsia"/>
                <w:sz w:val="24"/>
                <w:highlight w:val="none"/>
                <w:lang w:val="en-US" w:eastAsia="zh-CN"/>
              </w:rPr>
              <w:t>23</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4.</w:t>
            </w:r>
            <w:r>
              <w:rPr>
                <w:rFonts w:hint="eastAsia"/>
                <w:sz w:val="24"/>
                <w:highlight w:val="none"/>
                <w:lang w:val="en-US" w:eastAsia="zh-CN"/>
              </w:rPr>
              <w:t>467</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4.</w:t>
            </w:r>
            <w:r>
              <w:rPr>
                <w:rFonts w:hint="eastAsia"/>
                <w:sz w:val="24"/>
                <w:highlight w:val="none"/>
                <w:lang w:val="en-US" w:eastAsia="zh-CN"/>
              </w:rPr>
              <w:t>467</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5.351</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5.351</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THC</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1.223</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rFonts w:hint="eastAsia"/>
                <w:sz w:val="24"/>
                <w:highlight w:val="none"/>
                <w:lang w:val="en-US" w:eastAsia="zh-CN"/>
              </w:rPr>
              <w:t>1.223</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rFonts w:hint="eastAsia"/>
                <w:sz w:val="24"/>
                <w:highlight w:val="none"/>
                <w:lang w:val="en-US" w:eastAsia="zh-CN"/>
              </w:rPr>
              <w:t>1.897</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rFonts w:hint="eastAsia"/>
                <w:sz w:val="24"/>
                <w:highlight w:val="none"/>
                <w:lang w:val="en-US" w:eastAsia="zh-CN"/>
              </w:rPr>
              <w:t>1.897</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2.220</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rFonts w:hint="eastAsia"/>
                <w:sz w:val="24"/>
                <w:highlight w:val="none"/>
                <w:lang w:val="en-US" w:eastAsia="zh-CN"/>
              </w:rPr>
              <w:t>2.220</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NO</w:t>
            </w:r>
            <w:r>
              <w:rPr>
                <w:rFonts w:hint="eastAsia"/>
                <w:sz w:val="24"/>
                <w:vertAlign w:val="subscript"/>
                <w:lang w:val="en-US" w:eastAsia="zh-CN"/>
              </w:rPr>
              <w:t>X</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sz w:val="24"/>
                <w:highlight w:val="none"/>
              </w:rPr>
              <w:t>0.</w:t>
            </w:r>
            <w:r>
              <w:rPr>
                <w:rFonts w:hint="eastAsia"/>
                <w:sz w:val="24"/>
                <w:highlight w:val="none"/>
                <w:lang w:val="en-US" w:eastAsia="zh-CN"/>
              </w:rPr>
              <w:t>414</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近期</w:t>
            </w:r>
            <w:r>
              <w:rPr>
                <w:sz w:val="24"/>
                <w:highlight w:val="none"/>
              </w:rPr>
              <w:t>0.</w:t>
            </w:r>
            <w:r>
              <w:rPr>
                <w:rFonts w:hint="eastAsia"/>
                <w:sz w:val="24"/>
                <w:highlight w:val="none"/>
                <w:lang w:val="en-US" w:eastAsia="zh-CN"/>
              </w:rPr>
              <w:t>414</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0.</w:t>
            </w:r>
            <w:r>
              <w:rPr>
                <w:rFonts w:hint="eastAsia"/>
                <w:sz w:val="24"/>
                <w:highlight w:val="none"/>
                <w:lang w:val="en-US" w:eastAsia="zh-CN"/>
              </w:rPr>
              <w:t>528</w:t>
            </w:r>
            <w:r>
              <w:rPr>
                <w:sz w:val="24"/>
                <w:highlight w:val="none"/>
              </w:rPr>
              <w:t xml:space="preserve"> 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中期</w:t>
            </w:r>
            <w:r>
              <w:rPr>
                <w:sz w:val="24"/>
                <w:highlight w:val="none"/>
              </w:rPr>
              <w:t>0.</w:t>
            </w:r>
            <w:r>
              <w:rPr>
                <w:rFonts w:hint="eastAsia"/>
                <w:sz w:val="24"/>
                <w:highlight w:val="none"/>
                <w:lang w:val="en-US" w:eastAsia="zh-CN"/>
              </w:rPr>
              <w:t>528</w:t>
            </w:r>
            <w:r>
              <w:rPr>
                <w:sz w:val="24"/>
                <w:highlight w:val="none"/>
              </w:rPr>
              <w:t xml:space="preserve"> 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sz w:val="24"/>
                <w:highlight w:val="none"/>
              </w:rPr>
              <w:t>0.</w:t>
            </w:r>
            <w:r>
              <w:rPr>
                <w:rFonts w:hint="eastAsia"/>
                <w:sz w:val="24"/>
                <w:highlight w:val="none"/>
                <w:lang w:val="en-US" w:eastAsia="zh-CN"/>
              </w:rPr>
              <w:t>677</w:t>
            </w:r>
            <w:r>
              <w:rPr>
                <w:sz w:val="24"/>
                <w:highlight w:val="none"/>
              </w:rPr>
              <w:t>mg/s·m</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4"/>
                <w:highlight w:val="none"/>
              </w:rPr>
            </w:pPr>
            <w:r>
              <w:rPr>
                <w:rFonts w:hint="eastAsia"/>
                <w:sz w:val="24"/>
                <w:highlight w:val="none"/>
              </w:rPr>
              <w:t>远期</w:t>
            </w:r>
            <w:r>
              <w:rPr>
                <w:sz w:val="24"/>
                <w:highlight w:val="none"/>
              </w:rPr>
              <w:t>0.</w:t>
            </w:r>
            <w:r>
              <w:rPr>
                <w:rFonts w:hint="eastAsia"/>
                <w:sz w:val="24"/>
                <w:highlight w:val="none"/>
                <w:lang w:val="en-US" w:eastAsia="zh-CN"/>
              </w:rPr>
              <w:t>677</w:t>
            </w:r>
            <w:r>
              <w:rPr>
                <w:sz w:val="24"/>
                <w:highlight w:val="none"/>
              </w:rPr>
              <w:t>mg/s·m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水</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污</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染</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物</w:t>
            </w:r>
          </w:p>
        </w:tc>
        <w:tc>
          <w:tcPr>
            <w:tcW w:w="946"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施工期</w:t>
            </w:r>
          </w:p>
        </w:tc>
        <w:tc>
          <w:tcPr>
            <w:tcW w:w="120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施工废水</w:t>
            </w:r>
          </w:p>
        </w:tc>
        <w:tc>
          <w:tcPr>
            <w:tcW w:w="1826"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COD</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lang w:val="en-US" w:eastAsia="zh-CN"/>
              </w:rPr>
              <w:t>350</w:t>
            </w:r>
            <w:r>
              <w:rPr>
                <w:sz w:val="24"/>
              </w:rPr>
              <w:t>mg/L</w:t>
            </w:r>
          </w:p>
        </w:tc>
        <w:tc>
          <w:tcPr>
            <w:tcW w:w="2190"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sz w:val="24"/>
                <w:szCs w:val="24"/>
              </w:rPr>
            </w:pPr>
            <w:r>
              <w:rPr>
                <w:sz w:val="24"/>
                <w:szCs w:val="24"/>
              </w:rPr>
              <w:t>经隔油沉淀处理</w:t>
            </w:r>
          </w:p>
          <w:p>
            <w:pPr>
              <w:keepNext w:val="0"/>
              <w:keepLines w:val="0"/>
              <w:pageBreakBefore w:val="0"/>
              <w:widowControl w:val="0"/>
              <w:kinsoku/>
              <w:wordWrap/>
              <w:overflowPunct/>
              <w:topLinePunct w:val="0"/>
              <w:autoSpaceDE/>
              <w:autoSpaceDN/>
              <w:bidi w:val="0"/>
              <w:adjustRightInd/>
              <w:snapToGrid/>
              <w:spacing w:line="340" w:lineRule="exact"/>
              <w:textAlignment w:val="auto"/>
              <w:rPr>
                <w:sz w:val="24"/>
                <w:szCs w:val="24"/>
              </w:rPr>
            </w:pPr>
            <w:r>
              <w:rPr>
                <w:sz w:val="24"/>
                <w:szCs w:val="24"/>
              </w:rPr>
              <w:t>后回用，不外排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SS</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lang w:val="en-US" w:eastAsia="zh-CN"/>
              </w:rPr>
              <w:t>5000</w:t>
            </w:r>
            <w:r>
              <w:rPr>
                <w:sz w:val="24"/>
              </w:rPr>
              <w:t>mg/L</w:t>
            </w:r>
          </w:p>
        </w:tc>
        <w:tc>
          <w:tcPr>
            <w:tcW w:w="219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sz w:val="24"/>
                <w:highlight w:val="yellow"/>
              </w:rPr>
            </w:pPr>
          </w:p>
        </w:tc>
        <w:tc>
          <w:tcPr>
            <w:tcW w:w="946" w:type="dxa"/>
            <w:vMerge w:val="continue"/>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204" w:type="dxa"/>
            <w:vMerge w:val="continue"/>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c>
          <w:tcPr>
            <w:tcW w:w="1826"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石油类</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lang w:val="en-US" w:eastAsia="zh-CN"/>
              </w:rPr>
              <w:t>10</w:t>
            </w:r>
            <w:r>
              <w:rPr>
                <w:sz w:val="24"/>
              </w:rPr>
              <w:t>mg/L</w:t>
            </w:r>
          </w:p>
        </w:tc>
        <w:tc>
          <w:tcPr>
            <w:tcW w:w="2190"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固</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废</w:t>
            </w:r>
          </w:p>
        </w:tc>
        <w:tc>
          <w:tcPr>
            <w:tcW w:w="946"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施工期</w:t>
            </w:r>
          </w:p>
        </w:tc>
        <w:tc>
          <w:tcPr>
            <w:tcW w:w="3030"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rPr>
              <w:t>建筑</w:t>
            </w:r>
            <w:r>
              <w:rPr>
                <w:sz w:val="24"/>
              </w:rPr>
              <w:t>垃圾</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r>
              <w:rPr>
                <w:sz w:val="24"/>
              </w:rPr>
              <w:t>少量</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p>
        </w:tc>
        <w:tc>
          <w:tcPr>
            <w:tcW w:w="946"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p>
        </w:tc>
        <w:tc>
          <w:tcPr>
            <w:tcW w:w="3030"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4"/>
                <w:lang w:eastAsia="zh-CN"/>
              </w:rPr>
            </w:pPr>
            <w:r>
              <w:rPr>
                <w:rFonts w:hint="eastAsia"/>
                <w:sz w:val="24"/>
                <w:lang w:eastAsia="zh-CN"/>
              </w:rPr>
              <w:t>生活垃圾</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4"/>
                <w:lang w:eastAsia="zh-CN"/>
              </w:rPr>
            </w:pPr>
            <w:r>
              <w:rPr>
                <w:rFonts w:hint="eastAsia"/>
                <w:sz w:val="24"/>
                <w:lang w:eastAsia="zh-CN"/>
              </w:rPr>
              <w:t>少量</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rFonts w:hint="eastAsia"/>
                <w:sz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p>
        </w:tc>
        <w:tc>
          <w:tcPr>
            <w:tcW w:w="946"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运营期</w:t>
            </w:r>
          </w:p>
        </w:tc>
        <w:tc>
          <w:tcPr>
            <w:tcW w:w="3030"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生活垃圾</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highlight w:val="yellow"/>
              </w:rPr>
            </w:pPr>
            <w:r>
              <w:rPr>
                <w:sz w:val="24"/>
              </w:rPr>
              <w:t>少量</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噪</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声</w:t>
            </w:r>
          </w:p>
        </w:tc>
        <w:tc>
          <w:tcPr>
            <w:tcW w:w="946"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施工期</w:t>
            </w:r>
          </w:p>
        </w:tc>
        <w:tc>
          <w:tcPr>
            <w:tcW w:w="1320"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施工机械</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Leq</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80～90dB(A)</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p>
        </w:tc>
        <w:tc>
          <w:tcPr>
            <w:tcW w:w="946"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运营期</w:t>
            </w:r>
          </w:p>
        </w:tc>
        <w:tc>
          <w:tcPr>
            <w:tcW w:w="1320"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行驶车辆</w:t>
            </w:r>
          </w:p>
        </w:tc>
        <w:tc>
          <w:tcPr>
            <w:tcW w:w="171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Leq</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65～72dB(A)</w:t>
            </w:r>
          </w:p>
        </w:tc>
        <w:tc>
          <w:tcPr>
            <w:tcW w:w="2190"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54" w:hRule="atLeast"/>
          <w:jc w:val="center"/>
        </w:trPr>
        <w:tc>
          <w:tcPr>
            <w:tcW w:w="79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cs="宋体"/>
                <w:b/>
                <w:bCs/>
                <w:sz w:val="24"/>
              </w:rPr>
            </w:pPr>
            <w:r>
              <w:rPr>
                <w:rFonts w:hint="eastAsia" w:cs="宋体"/>
                <w:b/>
                <w:bCs/>
                <w:sz w:val="24"/>
              </w:rPr>
              <w:t>其他</w:t>
            </w:r>
          </w:p>
        </w:tc>
        <w:tc>
          <w:tcPr>
            <w:tcW w:w="8337" w:type="dxa"/>
            <w:gridSpan w:val="6"/>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4"/>
              </w:rPr>
            </w:pPr>
            <w:r>
              <w:rPr>
                <w:sz w:val="24"/>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1789" w:hRule="atLeast"/>
          <w:jc w:val="center"/>
        </w:trPr>
        <w:tc>
          <w:tcPr>
            <w:tcW w:w="9128" w:type="dxa"/>
            <w:gridSpan w:val="7"/>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cs="宋体"/>
                <w:b/>
                <w:bCs/>
                <w:kern w:val="24"/>
                <w:sz w:val="24"/>
              </w:rPr>
            </w:pPr>
            <w:r>
              <w:rPr>
                <w:rFonts w:hint="eastAsia" w:cs="宋体"/>
                <w:b/>
                <w:bCs/>
                <w:sz w:val="24"/>
              </w:rPr>
              <w:t>主要生态影响：</w:t>
            </w:r>
          </w:p>
          <w:p>
            <w:pPr>
              <w:pStyle w:val="14"/>
              <w:keepNext w:val="0"/>
              <w:keepLines w:val="0"/>
              <w:pageBreakBefore w:val="0"/>
              <w:widowControl w:val="0"/>
              <w:kinsoku/>
              <w:wordWrap/>
              <w:overflowPunct/>
              <w:topLinePunct w:val="0"/>
              <w:autoSpaceDE/>
              <w:autoSpaceDN/>
              <w:bidi w:val="0"/>
              <w:adjustRightInd/>
              <w:snapToGrid/>
              <w:spacing w:after="0" w:line="340" w:lineRule="exact"/>
              <w:ind w:firstLine="504" w:firstLineChars="200"/>
              <w:textAlignment w:val="auto"/>
              <w:rPr>
                <w:rFonts w:hint="eastAsia" w:cs="宋体"/>
                <w:sz w:val="24"/>
              </w:rPr>
            </w:pPr>
            <w:r>
              <w:rPr>
                <w:rFonts w:hint="eastAsia" w:cs="宋体"/>
                <w:bCs/>
                <w:spacing w:val="6"/>
                <w:sz w:val="24"/>
              </w:rPr>
              <w:t>本项目建设期主要生态影响为水土流失，对当地生态环境有一定的影响，</w:t>
            </w:r>
            <w:r>
              <w:rPr>
                <w:rFonts w:hint="eastAsia" w:cs="宋体"/>
                <w:sz w:val="24"/>
              </w:rPr>
              <w:t>随着环境保护、水土保持措施的实施，道路沿线的生态环境将在一定程度上得到恢复和改善。</w:t>
            </w:r>
          </w:p>
          <w:p>
            <w:pPr>
              <w:pStyle w:val="14"/>
              <w:keepNext w:val="0"/>
              <w:keepLines w:val="0"/>
              <w:pageBreakBefore w:val="0"/>
              <w:widowControl w:val="0"/>
              <w:kinsoku/>
              <w:wordWrap/>
              <w:overflowPunct/>
              <w:topLinePunct w:val="0"/>
              <w:autoSpaceDE/>
              <w:autoSpaceDN/>
              <w:bidi w:val="0"/>
              <w:adjustRightInd/>
              <w:snapToGrid/>
              <w:spacing w:after="0" w:line="340" w:lineRule="exact"/>
              <w:ind w:firstLine="480" w:firstLineChars="200"/>
              <w:textAlignment w:val="auto"/>
              <w:rPr>
                <w:rFonts w:hint="eastAsia" w:cs="宋体"/>
                <w:sz w:val="24"/>
              </w:rPr>
            </w:pPr>
          </w:p>
          <w:p>
            <w:pPr>
              <w:pStyle w:val="14"/>
              <w:keepNext w:val="0"/>
              <w:keepLines w:val="0"/>
              <w:pageBreakBefore w:val="0"/>
              <w:widowControl w:val="0"/>
              <w:kinsoku/>
              <w:wordWrap/>
              <w:overflowPunct/>
              <w:topLinePunct w:val="0"/>
              <w:autoSpaceDE/>
              <w:autoSpaceDN/>
              <w:bidi w:val="0"/>
              <w:adjustRightInd/>
              <w:snapToGrid/>
              <w:spacing w:after="0" w:line="340" w:lineRule="exact"/>
              <w:ind w:firstLine="480" w:firstLineChars="200"/>
              <w:textAlignment w:val="auto"/>
              <w:rPr>
                <w:rFonts w:hint="eastAsia" w:cs="宋体"/>
                <w:sz w:val="24"/>
              </w:rPr>
            </w:pPr>
          </w:p>
          <w:p>
            <w:pPr>
              <w:pStyle w:val="14"/>
              <w:keepNext w:val="0"/>
              <w:keepLines w:val="0"/>
              <w:pageBreakBefore w:val="0"/>
              <w:widowControl w:val="0"/>
              <w:kinsoku/>
              <w:wordWrap/>
              <w:overflowPunct/>
              <w:topLinePunct w:val="0"/>
              <w:autoSpaceDE/>
              <w:autoSpaceDN/>
              <w:bidi w:val="0"/>
              <w:adjustRightInd/>
              <w:snapToGrid/>
              <w:spacing w:after="0" w:line="340" w:lineRule="exact"/>
              <w:ind w:firstLine="480" w:firstLineChars="200"/>
              <w:textAlignment w:val="auto"/>
              <w:rPr>
                <w:rFonts w:hint="eastAsia" w:cs="宋体"/>
                <w:sz w:val="24"/>
              </w:rPr>
            </w:pPr>
          </w:p>
          <w:p>
            <w:pPr>
              <w:pStyle w:val="14"/>
              <w:keepNext w:val="0"/>
              <w:keepLines w:val="0"/>
              <w:pageBreakBefore w:val="0"/>
              <w:widowControl w:val="0"/>
              <w:kinsoku/>
              <w:wordWrap/>
              <w:overflowPunct/>
              <w:topLinePunct w:val="0"/>
              <w:autoSpaceDE/>
              <w:autoSpaceDN/>
              <w:bidi w:val="0"/>
              <w:adjustRightInd/>
              <w:snapToGrid/>
              <w:spacing w:after="0" w:line="340" w:lineRule="exact"/>
              <w:ind w:firstLine="480" w:firstLineChars="200"/>
              <w:textAlignment w:val="auto"/>
              <w:rPr>
                <w:rFonts w:hint="eastAsia" w:cs="宋体"/>
                <w:sz w:val="24"/>
              </w:rPr>
            </w:pPr>
          </w:p>
        </w:tc>
      </w:tr>
    </w:tbl>
    <w:p>
      <w:pPr>
        <w:jc w:val="left"/>
        <w:outlineLvl w:val="0"/>
        <w:rPr>
          <w:rFonts w:cs="宋体"/>
          <w:b/>
          <w:bCs/>
          <w:sz w:val="28"/>
        </w:rPr>
      </w:pPr>
      <w:r>
        <w:rPr>
          <w:rFonts w:hint="eastAsia" w:cs="宋体"/>
          <w:b/>
          <w:bCs/>
          <w:sz w:val="28"/>
        </w:rPr>
        <w:t>环境影响分析</w:t>
      </w:r>
    </w:p>
    <w:tbl>
      <w:tblPr>
        <w:tblStyle w:val="34"/>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9" w:type="dxa"/>
          </w:tcPr>
          <w:p>
            <w:pPr>
              <w:jc w:val="left"/>
              <w:rPr>
                <w:rFonts w:cs="宋体"/>
                <w:b/>
                <w:bCs/>
                <w:sz w:val="28"/>
                <w:szCs w:val="28"/>
              </w:rPr>
            </w:pPr>
            <w:r>
              <w:rPr>
                <w:rFonts w:hint="eastAsia" w:cs="宋体"/>
                <w:b/>
                <w:bCs/>
                <w:sz w:val="28"/>
                <w:szCs w:val="28"/>
              </w:rPr>
              <w:t>施工期环境影响分析</w:t>
            </w:r>
          </w:p>
          <w:p>
            <w:pPr>
              <w:ind w:firstLine="482" w:firstLineChars="200"/>
              <w:rPr>
                <w:b/>
                <w:bCs/>
                <w:sz w:val="24"/>
              </w:rPr>
            </w:pPr>
            <w:r>
              <w:rPr>
                <w:b/>
                <w:bCs/>
                <w:sz w:val="24"/>
              </w:rPr>
              <w:t>1、水环境影响分析</w:t>
            </w:r>
          </w:p>
          <w:p>
            <w:pPr>
              <w:bidi w:val="0"/>
              <w:ind w:firstLine="480" w:firstLineChars="200"/>
              <w:rPr>
                <w:rFonts w:hint="eastAsia"/>
              </w:rPr>
            </w:pPr>
            <w:r>
              <w:rPr>
                <w:rFonts w:hint="eastAsia"/>
              </w:rPr>
              <w:t>（1）雨水</w:t>
            </w:r>
          </w:p>
          <w:p>
            <w:pPr>
              <w:bidi w:val="0"/>
              <w:ind w:firstLine="480" w:firstLineChars="200"/>
            </w:pPr>
            <w:r>
              <w:rPr>
                <w:rFonts w:hint="eastAsia"/>
              </w:rPr>
              <w:t>根据现场调查和建设单位提供的路线图，</w:t>
            </w:r>
            <w:r>
              <w:t>拟建道路沿线地表水体主要为鱼塘及河沟，</w:t>
            </w:r>
            <w:r>
              <w:rPr>
                <w:rFonts w:hint="eastAsia"/>
              </w:rPr>
              <w:t>道路建设过程中，在道路两侧设置排水边沟和沉淀池，两侧汇集的雨水经排水边沟收集、沉淀池沉淀处理后，回用于洒水抑尘。</w:t>
            </w:r>
          </w:p>
          <w:p>
            <w:pPr>
              <w:ind w:firstLine="480" w:firstLineChars="200"/>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）施工废水</w:t>
            </w:r>
          </w:p>
          <w:p>
            <w:pPr>
              <w:bidi w:val="0"/>
              <w:ind w:firstLine="480" w:firstLineChars="200"/>
            </w:pPr>
            <w:r>
              <w:rPr>
                <w:rFonts w:hint="eastAsia"/>
              </w:rPr>
              <w:t>工程施工作业产生的废水影响包括施工机械洗涤用水；施工现场清洗、养护、冲洗废水；堆放的建筑材料被雨水冲刷对周围水体的污染等</w:t>
            </w:r>
            <w:r>
              <w:rPr>
                <w:rFonts w:hint="eastAsia"/>
                <w:lang w:eastAsia="zh-CN"/>
              </w:rPr>
              <w:t>。</w:t>
            </w:r>
            <w:r>
              <w:rPr>
                <w:rFonts w:hint="eastAsia"/>
              </w:rPr>
              <w:t>这部分废水主要污染物为COD、SS和石油类。类比同类项目，其主要污染物浓度COD为300mg/L，SS为</w:t>
            </w:r>
            <w:r>
              <w:rPr>
                <w:rFonts w:hint="eastAsia"/>
                <w:lang w:val="en-US" w:eastAsia="zh-CN"/>
              </w:rPr>
              <w:t>500</w:t>
            </w:r>
            <w:r>
              <w:rPr>
                <w:rFonts w:hint="eastAsia"/>
              </w:rPr>
              <w:t>0mg/L，石油类为10mg/L。</w:t>
            </w:r>
          </w:p>
          <w:p>
            <w:pPr>
              <w:bidi w:val="0"/>
              <w:ind w:firstLine="480" w:firstLineChars="200"/>
            </w:pPr>
            <w:r>
              <w:rPr>
                <w:rFonts w:hint="eastAsia"/>
              </w:rPr>
              <w:t>施工期的混泥土拌和砂石清洗废水、机具车辆清洗废水，应采用隔油沉淀处理。建议生产中尽量采购清洗好的砾石直接用于生产，以减少砾石洗涤废水的产生。少量的砾石洗涤废水与设备清洗废水、场地冲洗废水和施工场地初期雨水，经隔油沉淀处理后用于生产或者路面养护。</w:t>
            </w:r>
          </w:p>
          <w:p>
            <w:pPr>
              <w:bidi w:val="0"/>
              <w:ind w:firstLine="480" w:firstLineChars="200"/>
            </w:pPr>
            <w:r>
              <w:rPr>
                <w:rFonts w:hint="eastAsia"/>
              </w:rPr>
              <w:t>为了减少养护废水对水环境的影响，在路面养护洒水过程中，采取少量多次，确保路面湿润而水不流到环境中。</w:t>
            </w:r>
          </w:p>
          <w:p>
            <w:pPr>
              <w:bidi w:val="0"/>
              <w:ind w:firstLine="480" w:firstLineChars="200"/>
              <w:rPr>
                <w:rFonts w:hint="eastAsia"/>
              </w:rPr>
            </w:pPr>
            <w:r>
              <w:rPr>
                <w:rFonts w:hint="eastAsia"/>
              </w:rPr>
              <w:t>在施工期间，部分施工材料，如油料及一些粉末状材料等将堆放在施工现场周围。若这些施工材料由于保管不善或受暴雨冲刷等原因进入水体，将会对水体造成污染，甚至严重影响水体水质。所以这些建材堆场应尽量设置在道路永久征地范围内，并采取一定的防止径流冲刷和风吹起尘的措施。施工过程中禁止将废油料、施工垃圾等弃于水体。</w:t>
            </w:r>
          </w:p>
          <w:p>
            <w:pPr>
              <w:ind w:firstLine="482" w:firstLineChars="200"/>
              <w:rPr>
                <w:b/>
                <w:bCs/>
                <w:sz w:val="24"/>
              </w:rPr>
            </w:pPr>
            <w:r>
              <w:rPr>
                <w:b/>
                <w:bCs/>
                <w:sz w:val="24"/>
              </w:rPr>
              <w:t>2、大气环境影响分析</w:t>
            </w:r>
          </w:p>
          <w:p>
            <w:pPr>
              <w:bidi w:val="0"/>
              <w:ind w:firstLine="480" w:firstLineChars="200"/>
            </w:pPr>
            <w:r>
              <w:t>本项目施工对环境空气的污染主要来自</w:t>
            </w:r>
            <w:r>
              <w:rPr>
                <w:rFonts w:hint="eastAsia"/>
              </w:rPr>
              <w:t>车辆行驶扬尘、堆场扬尘、</w:t>
            </w:r>
            <w:r>
              <w:t>施工</w:t>
            </w:r>
            <w:r>
              <w:rPr>
                <w:rFonts w:hint="eastAsia"/>
              </w:rPr>
              <w:t>现场</w:t>
            </w:r>
            <w:r>
              <w:t>扬尘、沥青烟气和施工机械尾气。</w:t>
            </w:r>
          </w:p>
          <w:p>
            <w:pPr>
              <w:pStyle w:val="14"/>
              <w:spacing w:after="0"/>
              <w:ind w:firstLine="480" w:firstLineChars="200"/>
              <w:rPr>
                <w:sz w:val="24"/>
                <w:u w:val="none"/>
              </w:rPr>
            </w:pPr>
            <w:r>
              <w:rPr>
                <w:rFonts w:hint="eastAsia"/>
                <w:sz w:val="24"/>
                <w:u w:val="none"/>
              </w:rPr>
              <w:t>（1）</w:t>
            </w:r>
            <w:r>
              <w:rPr>
                <w:sz w:val="24"/>
                <w:u w:val="none"/>
              </w:rPr>
              <w:t>车辆行驶扬尘</w:t>
            </w:r>
          </w:p>
          <w:p>
            <w:pPr>
              <w:bidi w:val="0"/>
              <w:ind w:firstLine="480" w:firstLineChars="200"/>
            </w:pPr>
            <w:r>
              <w:t>据有关文献资料介绍，在施工过程中，车辆行驶产生的扬尘占总扬尘的60%以上。车辆行驶产生的扬尘，在完全干燥情况下，可按下列经验公式计算：</w:t>
            </w:r>
          </w:p>
          <w:p>
            <w:pPr>
              <w:bidi w:val="0"/>
              <w:jc w:val="center"/>
            </w:pPr>
            <w:r>
              <w:rPr>
                <w:spacing w:val="4"/>
                <w:position w:val="-10"/>
                <w:sz w:val="24"/>
                <w:u w:val="none"/>
              </w:rPr>
              <w:object>
                <v:shape id="_x0000_i1028" o:spt="75" type="#_x0000_t75" style="height:18.95pt;width:233.05pt;" o:ole="t" fillcolor="#6D6D6D"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p>
          <w:p>
            <w:pPr>
              <w:bidi w:val="0"/>
              <w:ind w:firstLine="480" w:firstLineChars="200"/>
            </w:pPr>
            <w:r>
              <w:t>式中：Q—汽车行驶的扬尘，kg/km·辆；</w:t>
            </w:r>
          </w:p>
          <w:p>
            <w:pPr>
              <w:bidi w:val="0"/>
            </w:pPr>
            <w:r>
              <w:t xml:space="preserve">    </w:t>
            </w:r>
            <w:r>
              <w:rPr>
                <w:rFonts w:hint="eastAsia"/>
                <w:lang w:val="en-US" w:eastAsia="zh-CN"/>
              </w:rPr>
              <w:t xml:space="preserve">  </w:t>
            </w:r>
            <w:r>
              <w:t xml:space="preserve">  </w:t>
            </w:r>
            <w:r>
              <w:rPr>
                <w:rFonts w:hint="eastAsia"/>
                <w:lang w:val="en-US" w:eastAsia="zh-CN"/>
              </w:rPr>
              <w:t xml:space="preserve">  </w:t>
            </w:r>
            <w:r>
              <w:t>V—汽车速度，km/hr；</w:t>
            </w:r>
          </w:p>
          <w:p>
            <w:pPr>
              <w:bidi w:val="0"/>
              <w:ind w:firstLine="1200" w:firstLineChars="500"/>
            </w:pPr>
            <w:r>
              <w:t>W—汽车载重量，吨；</w:t>
            </w:r>
          </w:p>
          <w:p>
            <w:pPr>
              <w:bidi w:val="0"/>
              <w:ind w:firstLine="1200" w:firstLineChars="500"/>
            </w:pPr>
            <w:r>
              <w:t xml:space="preserve"> P—道路表面粉尘量，kg/m</w:t>
            </w:r>
            <w:r>
              <w:rPr>
                <w:vertAlign w:val="superscript"/>
              </w:rPr>
              <w:t>2</w:t>
            </w:r>
            <w:r>
              <w:t>。</w:t>
            </w:r>
          </w:p>
          <w:p>
            <w:pPr>
              <w:bidi w:val="0"/>
              <w:ind w:firstLine="480" w:firstLineChars="200"/>
            </w:pPr>
            <w:r>
              <w:t>表</w:t>
            </w:r>
            <w:r>
              <w:rPr>
                <w:rFonts w:hint="eastAsia"/>
                <w:lang w:val="en-US" w:eastAsia="zh-CN"/>
              </w:rPr>
              <w:t>32</w:t>
            </w:r>
            <w:r>
              <w:t>为一辆10吨卡车，通过一段长度为1km的路面时，不同路面清洁程度，不同行驶速度情况下的扬尘量。由此可见，路面清洁程度</w:t>
            </w:r>
            <w:r>
              <w:rPr>
                <w:rFonts w:hint="eastAsia"/>
                <w:lang w:eastAsia="zh-CN"/>
              </w:rPr>
              <w:t>相同时</w:t>
            </w:r>
            <w:r>
              <w:t>，车速越快，扬尘量越大；行驶速度</w:t>
            </w:r>
            <w:r>
              <w:rPr>
                <w:rFonts w:hint="eastAsia"/>
                <w:lang w:eastAsia="zh-CN"/>
              </w:rPr>
              <w:t>相同时</w:t>
            </w:r>
            <w:r>
              <w:t>，路面越脏，则扬尘量越大。因此应加强运输车辆的管理，应限制车辆行驶速度及保持路面的清洁，其是减少汽车扬尘对周围环境影响的最有效手段。</w:t>
            </w:r>
          </w:p>
          <w:p>
            <w:pPr>
              <w:jc w:val="center"/>
              <w:rPr>
                <w:rFonts w:eastAsia="宋体"/>
                <w:b/>
                <w:bCs/>
                <w:u w:val="none"/>
              </w:rPr>
            </w:pPr>
            <w:r>
              <w:rPr>
                <w:rFonts w:eastAsia="宋体"/>
                <w:b/>
                <w:bCs/>
                <w:u w:val="none"/>
              </w:rPr>
              <w:t>表</w:t>
            </w:r>
            <w:r>
              <w:rPr>
                <w:rFonts w:hint="eastAsia"/>
                <w:b/>
                <w:bCs/>
                <w:u w:val="none"/>
                <w:lang w:val="en-US" w:eastAsia="zh-CN"/>
              </w:rPr>
              <w:t>32</w:t>
            </w:r>
            <w:r>
              <w:rPr>
                <w:rFonts w:hint="eastAsia" w:eastAsia="宋体"/>
                <w:b/>
                <w:bCs/>
                <w:u w:val="none"/>
              </w:rPr>
              <w:t xml:space="preserve">  </w:t>
            </w:r>
            <w:r>
              <w:rPr>
                <w:rFonts w:eastAsia="宋体"/>
                <w:b/>
                <w:bCs/>
                <w:u w:val="none"/>
              </w:rPr>
              <w:t>在不同车速和地面清洁程度的汽车扬尘    单位：kg/辆·km</w:t>
            </w:r>
          </w:p>
          <w:tbl>
            <w:tblPr>
              <w:tblStyle w:val="34"/>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245"/>
              <w:gridCol w:w="1247"/>
              <w:gridCol w:w="1247"/>
              <w:gridCol w:w="1248"/>
              <w:gridCol w:w="1247"/>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84" w:type="dxa"/>
                  <w:vMerge w:val="restart"/>
                  <w:tcBorders>
                    <w:top w:val="single" w:color="auto" w:sz="4" w:space="0"/>
                    <w:left w:val="single" w:color="auto" w:sz="4" w:space="0"/>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right"/>
                    <w:textAlignment w:val="auto"/>
                    <w:rPr>
                      <w:sz w:val="21"/>
                      <w:szCs w:val="21"/>
                      <w:u w:val="none"/>
                    </w:rPr>
                  </w:pPr>
                  <w:r>
                    <w:rPr>
                      <w:sz w:val="21"/>
                      <w:szCs w:val="21"/>
                      <w:u w:val="none"/>
                    </w:rPr>
                    <w:t>粉尘量</w:t>
                  </w:r>
                </w:p>
                <w:p>
                  <w:pPr>
                    <w:keepNext w:val="0"/>
                    <w:keepLines w:val="0"/>
                    <w:pageBreakBefore w:val="0"/>
                    <w:widowControl w:val="0"/>
                    <w:kinsoku/>
                    <w:wordWrap/>
                    <w:overflowPunct/>
                    <w:topLinePunct w:val="0"/>
                    <w:autoSpaceDE/>
                    <w:autoSpaceDN/>
                    <w:bidi w:val="0"/>
                    <w:adjustRightInd/>
                    <w:snapToGrid/>
                    <w:spacing w:line="340" w:lineRule="exact"/>
                    <w:textAlignment w:val="auto"/>
                    <w:rPr>
                      <w:sz w:val="21"/>
                      <w:szCs w:val="21"/>
                      <w:u w:val="none"/>
                    </w:rPr>
                  </w:pPr>
                  <w:r>
                    <w:rPr>
                      <w:sz w:val="21"/>
                      <w:szCs w:val="21"/>
                      <w:u w:val="none"/>
                    </w:rPr>
                    <w:t>车速</w:t>
                  </w:r>
                </w:p>
              </w:tc>
              <w:tc>
                <w:tcPr>
                  <w:tcW w:w="124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w:t>
                  </w:r>
                </w:p>
              </w:tc>
              <w:tc>
                <w:tcPr>
                  <w:tcW w:w="1247"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0.2</w:t>
                  </w:r>
                </w:p>
              </w:tc>
              <w:tc>
                <w:tcPr>
                  <w:tcW w:w="1247"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0.3</w:t>
                  </w:r>
                </w:p>
              </w:tc>
              <w:tc>
                <w:tcPr>
                  <w:tcW w:w="1248"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0.4</w:t>
                  </w:r>
                </w:p>
              </w:tc>
              <w:tc>
                <w:tcPr>
                  <w:tcW w:w="1247"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0.5</w:t>
                  </w:r>
                </w:p>
              </w:tc>
              <w:tc>
                <w:tcPr>
                  <w:tcW w:w="1245"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84" w:type="dxa"/>
                  <w:vMerge w:val="continue"/>
                  <w:tcBorders>
                    <w:left w:val="single" w:color="auto" w:sz="4" w:space="0"/>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sz w:val="21"/>
                      <w:szCs w:val="21"/>
                      <w:u w:val="none"/>
                    </w:rPr>
                  </w:pPr>
                </w:p>
              </w:tc>
              <w:tc>
                <w:tcPr>
                  <w:tcW w:w="12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(kg/m</w:t>
                  </w:r>
                  <w:r>
                    <w:rPr>
                      <w:sz w:val="21"/>
                      <w:szCs w:val="21"/>
                      <w:u w:val="none"/>
                      <w:vertAlign w:val="superscript"/>
                    </w:rPr>
                    <w:t>2</w:t>
                  </w:r>
                  <w:r>
                    <w:rPr>
                      <w:sz w:val="21"/>
                      <w:szCs w:val="21"/>
                      <w:u w:val="none"/>
                    </w:rPr>
                    <w:t>)</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(kg/m</w:t>
                  </w:r>
                  <w:r>
                    <w:rPr>
                      <w:sz w:val="21"/>
                      <w:szCs w:val="21"/>
                      <w:u w:val="none"/>
                      <w:vertAlign w:val="superscript"/>
                    </w:rPr>
                    <w:t>2</w:t>
                  </w:r>
                  <w:r>
                    <w:rPr>
                      <w:sz w:val="21"/>
                      <w:szCs w:val="21"/>
                      <w:u w:val="none"/>
                    </w:rPr>
                    <w:t>)</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(kg/m</w:t>
                  </w:r>
                  <w:r>
                    <w:rPr>
                      <w:sz w:val="21"/>
                      <w:szCs w:val="21"/>
                      <w:u w:val="none"/>
                      <w:vertAlign w:val="superscript"/>
                    </w:rPr>
                    <w:t>2</w:t>
                  </w:r>
                  <w:r>
                    <w:rPr>
                      <w:sz w:val="21"/>
                      <w:szCs w:val="21"/>
                      <w:u w:val="none"/>
                    </w:rPr>
                    <w:t>)</w:t>
                  </w:r>
                </w:p>
              </w:tc>
              <w:tc>
                <w:tcPr>
                  <w:tcW w:w="124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(kg/m</w:t>
                  </w:r>
                  <w:r>
                    <w:rPr>
                      <w:sz w:val="21"/>
                      <w:szCs w:val="21"/>
                      <w:u w:val="none"/>
                      <w:vertAlign w:val="superscript"/>
                    </w:rPr>
                    <w:t>2</w:t>
                  </w:r>
                  <w:r>
                    <w:rPr>
                      <w:sz w:val="21"/>
                      <w:szCs w:val="21"/>
                      <w:u w:val="none"/>
                    </w:rPr>
                    <w:t>)</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(kg/m</w:t>
                  </w:r>
                  <w:r>
                    <w:rPr>
                      <w:sz w:val="21"/>
                      <w:szCs w:val="21"/>
                      <w:u w:val="none"/>
                      <w:vertAlign w:val="superscript"/>
                    </w:rPr>
                    <w:t>2</w:t>
                  </w:r>
                  <w:r>
                    <w:rPr>
                      <w:sz w:val="21"/>
                      <w:szCs w:val="21"/>
                      <w:u w:val="none"/>
                    </w:rPr>
                    <w:t>)</w:t>
                  </w:r>
                </w:p>
              </w:tc>
              <w:tc>
                <w:tcPr>
                  <w:tcW w:w="12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(kg/m</w:t>
                  </w:r>
                  <w:r>
                    <w:rPr>
                      <w:sz w:val="21"/>
                      <w:szCs w:val="21"/>
                      <w:u w:val="none"/>
                      <w:vertAlign w:val="superscript"/>
                    </w:rPr>
                    <w:t>2</w:t>
                  </w:r>
                  <w:r>
                    <w:rPr>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8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5(km/h)</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0.0511</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0.089</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0.1164</w:t>
                  </w:r>
                </w:p>
              </w:tc>
              <w:tc>
                <w:tcPr>
                  <w:tcW w:w="124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0.1444</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0.1707</w:t>
                  </w:r>
                </w:p>
              </w:tc>
              <w:tc>
                <w:tcPr>
                  <w:tcW w:w="12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rFonts w:hint="eastAsia"/>
                      <w:sz w:val="21"/>
                      <w:szCs w:val="21"/>
                      <w:u w:val="none"/>
                    </w:rPr>
                    <w:t>0</w:t>
                  </w:r>
                  <w:r>
                    <w:rPr>
                      <w:sz w:val="21"/>
                      <w:szCs w:val="21"/>
                      <w:u w:val="none"/>
                    </w:rPr>
                    <w:t>.2871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8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10(km/h)</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rFonts w:hint="eastAsia"/>
                      <w:sz w:val="21"/>
                      <w:szCs w:val="21"/>
                      <w:u w:val="none"/>
                    </w:rPr>
                    <w:t>0.</w:t>
                  </w:r>
                  <w:r>
                    <w:rPr>
                      <w:sz w:val="21"/>
                      <w:szCs w:val="21"/>
                      <w:u w:val="none"/>
                    </w:rPr>
                    <w:t>1021</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0.1717</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0.2328</w:t>
                  </w:r>
                </w:p>
              </w:tc>
              <w:tc>
                <w:tcPr>
                  <w:tcW w:w="124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0.2888</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0.3414</w:t>
                  </w:r>
                </w:p>
              </w:tc>
              <w:tc>
                <w:tcPr>
                  <w:tcW w:w="12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8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15(km/h)</w:t>
                  </w:r>
                </w:p>
              </w:tc>
              <w:tc>
                <w:tcPr>
                  <w:tcW w:w="12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0.1532</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0.2576</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0.3491</w:t>
                  </w:r>
                </w:p>
              </w:tc>
              <w:tc>
                <w:tcPr>
                  <w:tcW w:w="124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0.4332</w:t>
                  </w:r>
                </w:p>
              </w:tc>
              <w:tc>
                <w:tcPr>
                  <w:tcW w:w="124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0.5121</w:t>
                  </w:r>
                </w:p>
              </w:tc>
              <w:tc>
                <w:tcPr>
                  <w:tcW w:w="124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84" w:type="dxa"/>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25(km/h)</w:t>
                  </w:r>
                </w:p>
              </w:tc>
              <w:tc>
                <w:tcPr>
                  <w:tcW w:w="1245"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0.2553</w:t>
                  </w:r>
                </w:p>
              </w:tc>
              <w:tc>
                <w:tcPr>
                  <w:tcW w:w="124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0.4293</w:t>
                  </w:r>
                </w:p>
              </w:tc>
              <w:tc>
                <w:tcPr>
                  <w:tcW w:w="124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0.5819</w:t>
                  </w:r>
                </w:p>
              </w:tc>
              <w:tc>
                <w:tcPr>
                  <w:tcW w:w="1248"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0.7220</w:t>
                  </w:r>
                </w:p>
              </w:tc>
              <w:tc>
                <w:tcPr>
                  <w:tcW w:w="124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0.8536</w:t>
                  </w:r>
                </w:p>
              </w:tc>
              <w:tc>
                <w:tcPr>
                  <w:tcW w:w="1245" w:type="dxa"/>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1.4355</w:t>
                  </w:r>
                </w:p>
              </w:tc>
            </w:tr>
          </w:tbl>
          <w:p>
            <w:pPr>
              <w:bidi w:val="0"/>
              <w:ind w:firstLine="480" w:firstLineChars="200"/>
            </w:pPr>
            <w:r>
              <w:t>如果施工阶段对汽车行驶路面勤洒水(每天4～5次)，可以使空气中粉尘量减少70%左右，可</w:t>
            </w:r>
            <w:r>
              <w:rPr>
                <w:rFonts w:hint="eastAsia"/>
              </w:rPr>
              <w:t>起到</w:t>
            </w:r>
            <w:r>
              <w:t>很好的降尘效果。参考同类工程调查报告，洒水的试验资料如表</w:t>
            </w:r>
            <w:r>
              <w:rPr>
                <w:rFonts w:hint="eastAsia"/>
                <w:lang w:val="en-US" w:eastAsia="zh-CN"/>
              </w:rPr>
              <w:t>33</w:t>
            </w:r>
            <w:r>
              <w:t>。当施工场地洒水频率为4～5次/天时，扬尘造成的TSP污染距离可缩小到20～50m范围内。</w:t>
            </w:r>
          </w:p>
          <w:p>
            <w:pPr>
              <w:jc w:val="center"/>
              <w:rPr>
                <w:rFonts w:eastAsia="宋体"/>
                <w:b/>
                <w:bCs/>
                <w:u w:val="none"/>
              </w:rPr>
            </w:pPr>
            <w:r>
              <w:rPr>
                <w:rFonts w:eastAsia="宋体"/>
                <w:b/>
                <w:bCs/>
                <w:u w:val="none"/>
              </w:rPr>
              <w:t>表</w:t>
            </w:r>
            <w:r>
              <w:rPr>
                <w:rFonts w:hint="eastAsia"/>
                <w:b/>
                <w:bCs/>
                <w:u w:val="none"/>
                <w:lang w:val="en-US" w:eastAsia="zh-CN"/>
              </w:rPr>
              <w:t>33</w:t>
            </w:r>
            <w:r>
              <w:rPr>
                <w:rFonts w:eastAsia="宋体"/>
                <w:b/>
                <w:bCs/>
                <w:u w:val="none"/>
              </w:rPr>
              <w:t xml:space="preserve"> </w:t>
            </w:r>
            <w:r>
              <w:rPr>
                <w:rFonts w:hint="eastAsia" w:eastAsia="宋体"/>
                <w:b/>
                <w:bCs/>
                <w:u w:val="none"/>
              </w:rPr>
              <w:t xml:space="preserve"> </w:t>
            </w:r>
            <w:r>
              <w:rPr>
                <w:rFonts w:eastAsia="宋体"/>
                <w:b/>
                <w:bCs/>
                <w:u w:val="none"/>
              </w:rPr>
              <w:t xml:space="preserve"> 施工阶段使用洒水车降尘试验结果</w:t>
            </w:r>
          </w:p>
          <w:tbl>
            <w:tblPr>
              <w:tblStyle w:val="34"/>
              <w:tblW w:w="7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154"/>
              <w:gridCol w:w="1304"/>
              <w:gridCol w:w="1304"/>
              <w:gridCol w:w="1304"/>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371"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距路边距离(m)</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5</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20</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50</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21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TSP浓度</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(mg/m</w:t>
                  </w:r>
                  <w:r>
                    <w:rPr>
                      <w:sz w:val="21"/>
                      <w:szCs w:val="21"/>
                      <w:u w:val="none"/>
                      <w:vertAlign w:val="superscript"/>
                    </w:rPr>
                    <w:t>3</w:t>
                  </w:r>
                  <w:r>
                    <w:rPr>
                      <w:sz w:val="21"/>
                      <w:szCs w:val="21"/>
                      <w:u w:val="none"/>
                    </w:rPr>
                    <w:t>)</w:t>
                  </w: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不洒水</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10.14</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2.81</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1.15</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21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sz w:val="21"/>
                      <w:szCs w:val="21"/>
                      <w:u w:val="none"/>
                    </w:rPr>
                  </w:pPr>
                </w:p>
              </w:tc>
              <w:tc>
                <w:tcPr>
                  <w:tcW w:w="115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洒水</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2.01</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1.40</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0.68</w:t>
                  </w:r>
                </w:p>
              </w:tc>
              <w:tc>
                <w:tcPr>
                  <w:tcW w:w="13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u w:val="none"/>
                    </w:rPr>
                  </w:pPr>
                  <w:r>
                    <w:rPr>
                      <w:sz w:val="21"/>
                      <w:szCs w:val="21"/>
                      <w:u w:val="none"/>
                    </w:rPr>
                    <w:t>0.60</w:t>
                  </w:r>
                </w:p>
              </w:tc>
            </w:tr>
          </w:tbl>
          <w:p>
            <w:pPr>
              <w:pStyle w:val="14"/>
              <w:spacing w:after="0"/>
              <w:ind w:firstLine="480" w:firstLineChars="200"/>
              <w:rPr>
                <w:rFonts w:cs="宋体"/>
                <w:sz w:val="24"/>
                <w:u w:val="none"/>
              </w:rPr>
            </w:pPr>
            <w:r>
              <w:rPr>
                <w:rFonts w:hint="eastAsia" w:cs="宋体"/>
                <w:sz w:val="24"/>
                <w:u w:val="none"/>
              </w:rPr>
              <w:t>另外，在运输过程中若粉状筑路材料遮盖不严也会随风起尘，运输道路两侧的环境保护目标产生影响，特别是大风天气，影响将更严重。</w:t>
            </w:r>
            <w:r>
              <w:rPr>
                <w:rFonts w:hint="eastAsia" w:cs="宋体"/>
                <w:sz w:val="24"/>
                <w:u w:val="none"/>
                <w:lang w:eastAsia="zh-CN"/>
              </w:rPr>
              <w:t>故</w:t>
            </w:r>
            <w:r>
              <w:rPr>
                <w:rFonts w:hint="eastAsia" w:cs="宋体"/>
                <w:sz w:val="24"/>
                <w:u w:val="none"/>
              </w:rPr>
              <w:t>要加强对粉状施工材料的运输管理，使用帆布密封或采用罐体车运输，最大限度减少原材料运输过程中产生的扬尘。</w:t>
            </w:r>
          </w:p>
          <w:p>
            <w:pPr>
              <w:bidi w:val="0"/>
              <w:ind w:firstLine="480" w:firstLineChars="200"/>
              <w:rPr>
                <w:rFonts w:hint="eastAsia" w:cs="宋体"/>
                <w:sz w:val="24"/>
                <w:u w:val="none"/>
              </w:rPr>
            </w:pPr>
            <w:r>
              <w:rPr>
                <w:rFonts w:hint="eastAsia" w:cs="宋体"/>
                <w:sz w:val="24"/>
                <w:u w:val="none"/>
              </w:rPr>
              <w:t>通过对施工道路扬尘需采取一定的抑尘措施，如加强运输车辆的管理、在人口稠密集中点，起尘量大的施工路段采取经常洒水降尘措施，可以有效地抑制扬尘的扩散。</w:t>
            </w:r>
          </w:p>
          <w:p>
            <w:pPr>
              <w:bidi w:val="0"/>
              <w:ind w:firstLine="480" w:firstLineChars="200"/>
            </w:pPr>
            <w:r>
              <w:rPr>
                <w:rFonts w:hint="eastAsia"/>
              </w:rPr>
              <w:t>（2）堆场扬尘</w:t>
            </w:r>
          </w:p>
          <w:p>
            <w:pPr>
              <w:bidi w:val="0"/>
              <w:ind w:firstLine="480" w:firstLineChars="200"/>
            </w:pPr>
            <w:r>
              <w:rPr>
                <w:rFonts w:hint="eastAsia"/>
              </w:rPr>
              <w:t>道路施工阶段扬尘的另一个主要来源是露天堆场和裸露场地的风力扬尘。由于施工需要，一些建筑材料需露天堆放，一些施工作业点表层土壤需人工开挖且临时堆放，在气候干燥又有风的情况下，会产生扬尘，堆场物料的种类、性质及风速与起尘量有很大关系，比重小的物料容易受扰动而起尘，物料中小颗粒比例大时起尘量相应也大。堆场的扬尘包括料堆的风吹扬尘、装卸扬尘和过往车辆引起路面积尘二次扬尘等，这将产生较大的扬尘污染，会对周围环境带来一定的影响，但通过洒水可有效地抑制扬尘量，可使扬尘量减少70%。此外，对一些粉状材料采取一些防风措施也将有效减少扬尘污染。</w:t>
            </w:r>
          </w:p>
          <w:p>
            <w:pPr>
              <w:bidi w:val="0"/>
            </w:pPr>
            <w:r>
              <w:rPr>
                <w:rFonts w:hint="eastAsia"/>
              </w:rPr>
              <w:t>堆场扬尘量可按堆场起尘的经验公式计算：</w:t>
            </w:r>
          </w:p>
          <w:p>
            <w:pPr>
              <w:bidi w:val="0"/>
              <w:jc w:val="center"/>
            </w:pPr>
            <w:r>
              <w:rPr>
                <w:rFonts w:hint="eastAsia" w:cs="宋体"/>
                <w:spacing w:val="4"/>
                <w:position w:val="-12"/>
                <w:u w:val="none"/>
              </w:rPr>
              <w:object>
                <v:shape id="_x0000_i1029" o:spt="75" type="#_x0000_t75" style="height:20.85pt;width:136.4pt;" o:ole="t" fillcolor="#6D6D6D"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9" r:id="rId27">
                  <o:LockedField>false</o:LockedField>
                </o:OLEObject>
              </w:object>
            </w:r>
          </w:p>
          <w:p>
            <w:pPr>
              <w:bidi w:val="0"/>
              <w:ind w:firstLine="480" w:firstLineChars="200"/>
            </w:pPr>
            <w:r>
              <w:t>式中：Q——起尘量，kg/吨·年；</w:t>
            </w:r>
          </w:p>
          <w:p>
            <w:pPr>
              <w:bidi w:val="0"/>
              <w:ind w:firstLine="1200" w:firstLineChars="500"/>
            </w:pPr>
            <w:r>
              <w:t>V</w:t>
            </w:r>
            <w:r>
              <w:rPr>
                <w:vertAlign w:val="subscript"/>
              </w:rPr>
              <w:t>50</w:t>
            </w:r>
            <w:r>
              <w:t>——距地面50m处风速，m/s；</w:t>
            </w:r>
          </w:p>
          <w:p>
            <w:pPr>
              <w:bidi w:val="0"/>
              <w:ind w:firstLine="1200" w:firstLineChars="500"/>
            </w:pPr>
            <w:r>
              <w:t>V</w:t>
            </w:r>
            <w:r>
              <w:rPr>
                <w:vertAlign w:val="subscript"/>
              </w:rPr>
              <w:t>0</w:t>
            </w:r>
            <w:r>
              <w:t>——起尘风速，m/s；</w:t>
            </w:r>
          </w:p>
          <w:p>
            <w:pPr>
              <w:bidi w:val="0"/>
              <w:ind w:firstLine="1200" w:firstLineChars="500"/>
            </w:pPr>
            <w:r>
              <w:t>W——尘粒的含水率，%。</w:t>
            </w:r>
          </w:p>
          <w:p>
            <w:pPr>
              <w:bidi w:val="0"/>
              <w:ind w:firstLine="480" w:firstLineChars="200"/>
            </w:pPr>
            <w:r>
              <w:t>起尘风速与粒径和含水率有关，因此，减少露天堆放和保证一定的含水率及减少裸露地面是减少风力起尘的有效手段。粉尘在空气中的扩散稀释与风速等气象条件有关，也与粉尘本身的沉降速度有关。不同粒径粉尘的沉降速度见表</w:t>
            </w:r>
            <w:r>
              <w:rPr>
                <w:rFonts w:hint="eastAsia"/>
                <w:lang w:val="en-US" w:eastAsia="zh-CN"/>
              </w:rPr>
              <w:t>34</w:t>
            </w:r>
            <w:r>
              <w:t>。由表可知，粉尘的沉降速度随粒径的增大而迅速增大。当粒径为250</w:t>
            </w:r>
            <w:r>
              <w:rPr/>
              <w:sym w:font="Symbol" w:char="F06D"/>
            </w:r>
            <w:r>
              <w:t>m时，沉降速度为1.005m/s，因此可以认为当尘粒大于250</w:t>
            </w:r>
            <w:r>
              <w:rPr/>
              <w:sym w:font="Symbol" w:char="F06D"/>
            </w:r>
            <w:r>
              <w:t>m时，主要影响范围在扬尘点下风向近距离范围内，而真正对外环境产生影响的是一些微小粒径的粉尘。</w:t>
            </w:r>
          </w:p>
          <w:p>
            <w:pPr>
              <w:jc w:val="center"/>
              <w:rPr>
                <w:rFonts w:eastAsia="宋体"/>
                <w:b/>
                <w:bCs/>
                <w:u w:val="none"/>
              </w:rPr>
            </w:pPr>
            <w:r>
              <w:rPr>
                <w:rFonts w:eastAsia="宋体"/>
                <w:b/>
                <w:bCs/>
                <w:u w:val="none"/>
              </w:rPr>
              <w:t>表</w:t>
            </w:r>
            <w:r>
              <w:rPr>
                <w:rFonts w:hint="eastAsia"/>
                <w:b/>
                <w:bCs/>
                <w:u w:val="none"/>
                <w:lang w:val="en-US" w:eastAsia="zh-CN"/>
              </w:rPr>
              <w:t>34</w:t>
            </w:r>
            <w:r>
              <w:rPr>
                <w:rFonts w:eastAsia="宋体"/>
                <w:b/>
                <w:bCs/>
                <w:u w:val="none"/>
              </w:rPr>
              <w:t xml:space="preserve"> </w:t>
            </w:r>
            <w:r>
              <w:rPr>
                <w:rFonts w:hint="eastAsia" w:eastAsia="宋体"/>
                <w:b/>
                <w:bCs/>
                <w:u w:val="none"/>
              </w:rPr>
              <w:t xml:space="preserve"> </w:t>
            </w:r>
            <w:r>
              <w:rPr>
                <w:rFonts w:eastAsia="宋体"/>
                <w:b/>
                <w:bCs/>
                <w:u w:val="none"/>
              </w:rPr>
              <w:t xml:space="preserve"> 不同粒径尘粒的沉降速度</w:t>
            </w:r>
          </w:p>
          <w:tbl>
            <w:tblPr>
              <w:tblStyle w:val="34"/>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1"/>
              <w:gridCol w:w="964"/>
              <w:gridCol w:w="964"/>
              <w:gridCol w:w="964"/>
              <w:gridCol w:w="964"/>
              <w:gridCol w:w="964"/>
              <w:gridCol w:w="964"/>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粉尘粒径 (</w:t>
                  </w:r>
                  <w:r>
                    <w:rPr>
                      <w:sz w:val="21"/>
                      <w:szCs w:val="21"/>
                      <w:u w:val="none"/>
                    </w:rPr>
                    <w:sym w:font="Symbol" w:char="F06D"/>
                  </w:r>
                  <w:r>
                    <w:rPr>
                      <w:sz w:val="21"/>
                      <w:szCs w:val="21"/>
                      <w:u w:val="none"/>
                    </w:rPr>
                    <w:t>m)</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20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30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40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50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60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沉降速度 (m/s)</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0.003</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0.012</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0.027</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0.048</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0.075</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0.108</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粉尘粒径 (</w:t>
                  </w:r>
                  <w:r>
                    <w:rPr>
                      <w:sz w:val="21"/>
                      <w:szCs w:val="21"/>
                      <w:u w:val="none"/>
                    </w:rPr>
                    <w:sym w:font="Symbol" w:char="F06D"/>
                  </w:r>
                  <w:r>
                    <w:rPr>
                      <w:sz w:val="21"/>
                      <w:szCs w:val="21"/>
                      <w:u w:val="none"/>
                    </w:rPr>
                    <w:t>m)</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80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90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100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150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200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250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沉降速度 (m/s)</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0.158</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0.170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0.182</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0.239</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0.804</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1.005</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粉尘粒径 (</w:t>
                  </w:r>
                  <w:r>
                    <w:rPr>
                      <w:sz w:val="21"/>
                      <w:szCs w:val="21"/>
                      <w:u w:val="none"/>
                    </w:rPr>
                    <w:sym w:font="Symbol" w:char="F06D"/>
                  </w:r>
                  <w:r>
                    <w:rPr>
                      <w:sz w:val="21"/>
                      <w:szCs w:val="21"/>
                      <w:u w:val="none"/>
                    </w:rPr>
                    <w:t>m)</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450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550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650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750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850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950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701"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沉降速度 (m/s)</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2.211</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2.614</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3.016</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3.418</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3.820</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4.222</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none"/>
                    </w:rPr>
                  </w:pPr>
                  <w:r>
                    <w:rPr>
                      <w:sz w:val="21"/>
                      <w:szCs w:val="21"/>
                      <w:u w:val="none"/>
                    </w:rPr>
                    <w:t>4.624</w:t>
                  </w:r>
                </w:p>
              </w:tc>
            </w:tr>
          </w:tbl>
          <w:p>
            <w:pPr>
              <w:bidi w:val="0"/>
              <w:ind w:firstLine="480" w:firstLineChars="200"/>
            </w:pPr>
            <w:r>
              <w:t>本环评建议施工过程中尽量减少施工材料的堆存时间和堆存量，加快物料的周转速度，最大限度减少路面扬尘的产生量。对于运输过程应使用帆布遮盖，避免物料沿途遗洒，减少运输二次扬尘对周围环境的影响。</w:t>
            </w:r>
          </w:p>
          <w:p>
            <w:pPr>
              <w:numPr>
                <w:ilvl w:val="0"/>
                <w:numId w:val="9"/>
              </w:numPr>
              <w:bidi w:val="0"/>
              <w:ind w:left="0" w:leftChars="0" w:firstLine="480" w:firstLineChars="200"/>
            </w:pPr>
            <w:r>
              <w:rPr>
                <w:rFonts w:hint="eastAsia"/>
              </w:rPr>
              <w:t>施工现场扬尘</w:t>
            </w:r>
          </w:p>
          <w:p>
            <w:pPr>
              <w:numPr>
                <w:ilvl w:val="0"/>
                <w:numId w:val="0"/>
              </w:numPr>
              <w:bidi w:val="0"/>
              <w:ind w:firstLine="480" w:firstLineChars="200"/>
            </w:pPr>
            <w:r>
              <w:t>在修筑路面时，未完成路面也有可能产生一定的扬尘影响，主要是由于路面的初期开挖及填方过程中由于路面土壤的暴露，在有风天气产生的扬尘影响，随着施工进程的不同，其对环境空气的影响程度也不同。由于扬尘影响情况的不确定性，类比道路施工期不同阶段扬尘监测结果分析本项目施工现场的扬尘污染情况，具体详见表3</w:t>
            </w:r>
            <w:r>
              <w:rPr>
                <w:rFonts w:hint="eastAsia"/>
                <w:lang w:val="en-US" w:eastAsia="zh-CN"/>
              </w:rPr>
              <w:t>5</w:t>
            </w:r>
            <w:r>
              <w:t>。</w:t>
            </w:r>
          </w:p>
          <w:p>
            <w:pPr>
              <w:jc w:val="center"/>
              <w:rPr>
                <w:rFonts w:eastAsia="宋体"/>
                <w:b/>
                <w:bCs/>
                <w:u w:val="none"/>
              </w:rPr>
            </w:pPr>
            <w:r>
              <w:rPr>
                <w:rFonts w:eastAsia="宋体"/>
                <w:b/>
                <w:bCs/>
                <w:u w:val="none"/>
              </w:rPr>
              <w:t>表3</w:t>
            </w:r>
            <w:r>
              <w:rPr>
                <w:rFonts w:hint="eastAsia"/>
                <w:b/>
                <w:bCs/>
                <w:u w:val="none"/>
                <w:lang w:val="en-US" w:eastAsia="zh-CN"/>
              </w:rPr>
              <w:t>5</w:t>
            </w:r>
            <w:r>
              <w:rPr>
                <w:rFonts w:eastAsia="宋体"/>
                <w:b/>
                <w:bCs/>
                <w:u w:val="none"/>
              </w:rPr>
              <w:t xml:space="preserve">  道路施工期不同阶段扬尘监测结果表</w:t>
            </w:r>
          </w:p>
          <w:tbl>
            <w:tblPr>
              <w:tblStyle w:val="34"/>
              <w:tblW w:w="89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98"/>
              <w:gridCol w:w="2098"/>
              <w:gridCol w:w="2409"/>
              <w:gridCol w:w="23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施工类型</w:t>
                  </w:r>
                </w:p>
              </w:tc>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与道路边界距离（m）</w:t>
                  </w:r>
                </w:p>
              </w:tc>
              <w:tc>
                <w:tcPr>
                  <w:tcW w:w="24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PM10日均值（mg/Nm</w:t>
                  </w:r>
                  <w:r>
                    <w:rPr>
                      <w:sz w:val="21"/>
                      <w:szCs w:val="21"/>
                      <w:vertAlign w:val="superscript"/>
                    </w:rPr>
                    <w:t>3</w:t>
                  </w:r>
                  <w:r>
                    <w:rPr>
                      <w:sz w:val="21"/>
                      <w:szCs w:val="21"/>
                    </w:rPr>
                    <w:t>）</w:t>
                  </w:r>
                </w:p>
              </w:tc>
              <w:tc>
                <w:tcPr>
                  <w:tcW w:w="23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TSP日均值（mg/Nm</w:t>
                  </w:r>
                  <w:r>
                    <w:rPr>
                      <w:sz w:val="22"/>
                      <w:szCs w:val="22"/>
                      <w:vertAlign w:val="superscript"/>
                    </w:rPr>
                    <w:t>3</w:t>
                  </w:r>
                  <w:r>
                    <w:rPr>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路面工程</w:t>
                  </w:r>
                </w:p>
              </w:tc>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20</w:t>
                  </w:r>
                </w:p>
              </w:tc>
              <w:tc>
                <w:tcPr>
                  <w:tcW w:w="24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0.12～0.24</w:t>
                  </w:r>
                </w:p>
              </w:tc>
              <w:tc>
                <w:tcPr>
                  <w:tcW w:w="23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0.27～0.53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路基平整</w:t>
                  </w:r>
                </w:p>
              </w:tc>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20</w:t>
                  </w:r>
                </w:p>
              </w:tc>
              <w:tc>
                <w:tcPr>
                  <w:tcW w:w="24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0.10～0.11</w:t>
                  </w:r>
                </w:p>
              </w:tc>
              <w:tc>
                <w:tcPr>
                  <w:tcW w:w="23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0.20～0.22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平整路面</w:t>
                  </w:r>
                </w:p>
              </w:tc>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20</w:t>
                  </w:r>
                </w:p>
              </w:tc>
              <w:tc>
                <w:tcPr>
                  <w:tcW w:w="24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0.11～0.12</w:t>
                  </w:r>
                </w:p>
              </w:tc>
              <w:tc>
                <w:tcPr>
                  <w:tcW w:w="23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0.22～0.23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边坡修整、护栏施工</w:t>
                  </w:r>
                </w:p>
              </w:tc>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20</w:t>
                  </w:r>
                </w:p>
              </w:tc>
              <w:tc>
                <w:tcPr>
                  <w:tcW w:w="24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0.05～0.11</w:t>
                  </w:r>
                </w:p>
              </w:tc>
              <w:tc>
                <w:tcPr>
                  <w:tcW w:w="23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0.12～0.13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路面清整</w:t>
                  </w:r>
                </w:p>
              </w:tc>
              <w:tc>
                <w:tcPr>
                  <w:tcW w:w="209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20</w:t>
                  </w:r>
                </w:p>
              </w:tc>
              <w:tc>
                <w:tcPr>
                  <w:tcW w:w="240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0.10～0.12</w:t>
                  </w:r>
                </w:p>
              </w:tc>
              <w:tc>
                <w:tcPr>
                  <w:tcW w:w="23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0.18～0.19</w:t>
                  </w:r>
                </w:p>
              </w:tc>
            </w:tr>
          </w:tbl>
          <w:p>
            <w:pPr>
              <w:spacing w:line="240" w:lineRule="auto"/>
              <w:rPr>
                <w:rFonts w:hAnsi="Times New Roman" w:cs="Times New Roman"/>
                <w:szCs w:val="24"/>
                <w:u w:val="none"/>
              </w:rPr>
            </w:pPr>
            <w:r>
              <w:rPr>
                <w:rFonts w:hAnsi="Times New Roman" w:cs="Times New Roman"/>
                <w:szCs w:val="24"/>
                <w:u w:val="none"/>
              </w:rPr>
              <w:t>由表</w:t>
            </w:r>
            <w:r>
              <w:rPr>
                <w:rFonts w:hint="eastAsia" w:hAnsi="Times New Roman" w:cs="Times New Roman"/>
                <w:szCs w:val="24"/>
                <w:u w:val="none"/>
              </w:rPr>
              <w:t>36</w:t>
            </w:r>
            <w:r>
              <w:rPr>
                <w:rFonts w:hAnsi="Times New Roman" w:cs="Times New Roman"/>
                <w:szCs w:val="24"/>
                <w:u w:val="none"/>
              </w:rPr>
              <w:t>可见，路基平整、平整路面、边坡修整、护栏施工、路面清整阶段距离道路边界20m外PM</w:t>
            </w:r>
            <w:r>
              <w:rPr>
                <w:rFonts w:hAnsi="Times New Roman" w:cs="Times New Roman"/>
                <w:szCs w:val="24"/>
                <w:u w:val="none"/>
                <w:vertAlign w:val="subscript"/>
              </w:rPr>
              <w:t>l0</w:t>
            </w:r>
            <w:r>
              <w:rPr>
                <w:rFonts w:hAnsi="Times New Roman" w:cs="Times New Roman"/>
                <w:szCs w:val="24"/>
                <w:u w:val="none"/>
              </w:rPr>
              <w:t>、TSP日均值均符合《环境空气质量标准》(GB3095-2012)二级标准；路面工程施工阶段距离道路边界2</w:t>
            </w:r>
            <w:r>
              <w:rPr>
                <w:rFonts w:hint="eastAsia" w:hAnsi="Times New Roman" w:cs="Times New Roman"/>
                <w:szCs w:val="24"/>
                <w:u w:val="none"/>
              </w:rPr>
              <w:t>5</w:t>
            </w:r>
            <w:r>
              <w:rPr>
                <w:rFonts w:hAnsi="Times New Roman" w:cs="Times New Roman"/>
                <w:szCs w:val="24"/>
                <w:u w:val="none"/>
              </w:rPr>
              <w:t>m外PM</w:t>
            </w:r>
            <w:r>
              <w:rPr>
                <w:rFonts w:hAnsi="Times New Roman" w:cs="Times New Roman"/>
                <w:szCs w:val="24"/>
                <w:u w:val="none"/>
                <w:vertAlign w:val="subscript"/>
              </w:rPr>
              <w:t>10</w:t>
            </w:r>
            <w:r>
              <w:rPr>
                <w:rFonts w:hAnsi="Times New Roman" w:cs="Times New Roman"/>
                <w:szCs w:val="24"/>
                <w:u w:val="none"/>
              </w:rPr>
              <w:t>、TSP有可能现象，其余施工阶段均无超标。</w:t>
            </w:r>
            <w:r>
              <w:rPr>
                <w:rFonts w:hint="eastAsia"/>
                <w:highlight w:val="none"/>
              </w:rPr>
              <w:t>本项目征地范围内马鞍社区约</w:t>
            </w:r>
            <w:r>
              <w:rPr>
                <w:rFonts w:hint="eastAsia"/>
                <w:highlight w:val="none"/>
                <w:lang w:val="en-US" w:eastAsia="zh-CN"/>
              </w:rPr>
              <w:t>45</w:t>
            </w:r>
            <w:r>
              <w:rPr>
                <w:rFonts w:hint="eastAsia"/>
                <w:highlight w:val="none"/>
              </w:rPr>
              <w:t>户居民为近期拆迁范围内，拆迁后施工时不考虑本项目对其的影响。高福社区约</w:t>
            </w:r>
            <w:r>
              <w:rPr>
                <w:rFonts w:hint="eastAsia"/>
                <w:highlight w:val="none"/>
                <w:lang w:val="en-US" w:eastAsia="zh-CN"/>
              </w:rPr>
              <w:t>17</w:t>
            </w:r>
            <w:r>
              <w:rPr>
                <w:rFonts w:hint="eastAsia"/>
                <w:highlight w:val="none"/>
              </w:rPr>
              <w:t>户、马鞍社区约</w:t>
            </w:r>
            <w:r>
              <w:rPr>
                <w:rFonts w:hint="eastAsia"/>
                <w:highlight w:val="none"/>
                <w:lang w:val="en-US" w:eastAsia="zh-CN"/>
              </w:rPr>
              <w:t>90</w:t>
            </w:r>
            <w:r>
              <w:rPr>
                <w:rFonts w:hint="eastAsia"/>
                <w:highlight w:val="none"/>
              </w:rPr>
              <w:t>户，居民点距离道路中心线最近距离约</w:t>
            </w:r>
            <w:r>
              <w:rPr>
                <w:rFonts w:hint="eastAsia"/>
                <w:highlight w:val="none"/>
                <w:lang w:val="en-US" w:eastAsia="zh-CN"/>
              </w:rPr>
              <w:t>20</w:t>
            </w:r>
            <w:r>
              <w:rPr>
                <w:rFonts w:hint="eastAsia"/>
                <w:highlight w:val="none"/>
              </w:rPr>
              <w:t>m</w:t>
            </w:r>
            <w:r>
              <w:rPr>
                <w:rFonts w:hint="eastAsia"/>
                <w:highlight w:val="none"/>
                <w:lang w:eastAsia="zh-CN"/>
              </w:rPr>
              <w:t>。</w:t>
            </w:r>
            <w:r>
              <w:rPr>
                <w:rFonts w:hAnsi="Times New Roman" w:cs="Times New Roman"/>
                <w:szCs w:val="24"/>
                <w:highlight w:val="none"/>
                <w:u w:val="none"/>
              </w:rPr>
              <w:t>因此，应</w:t>
            </w:r>
            <w:r>
              <w:rPr>
                <w:rFonts w:hAnsi="Times New Roman" w:cs="Times New Roman"/>
                <w:szCs w:val="24"/>
                <w:u w:val="none"/>
              </w:rPr>
              <w:t>合理安排施工，在敏感点附近路段施工时，应选择无风或风较小的天气，并避免将扬尘量大的工序安排在敏感点的正上风向。</w:t>
            </w:r>
          </w:p>
          <w:p>
            <w:pPr>
              <w:spacing w:line="240" w:lineRule="auto"/>
              <w:ind w:firstLine="480" w:firstLineChars="200"/>
              <w:rPr>
                <w:rFonts w:hAnsi="Times New Roman" w:cs="Times New Roman"/>
                <w:szCs w:val="24"/>
                <w:u w:val="single"/>
              </w:rPr>
            </w:pPr>
            <w:r>
              <w:rPr>
                <w:rFonts w:hint="eastAsia" w:hAnsi="Times New Roman" w:cs="Times New Roman"/>
                <w:szCs w:val="24"/>
                <w:u w:val="single"/>
              </w:rPr>
              <w:t>根据《株洲市2019年建筑施工工地“扬尘污染防治攻坚战”实施方案》，建设施工工地扬尘应做到八个百分百：施工工地现场围挡和外架防护100%全封闭，围挡保持整洁美观，外架安全网挡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pPr>
              <w:bidi w:val="0"/>
              <w:ind w:firstLine="480" w:firstLineChars="200"/>
              <w:rPr>
                <w:rFonts w:hAnsi="Times New Roman" w:cs="Times New Roman"/>
                <w:szCs w:val="24"/>
                <w:u w:val="none"/>
              </w:rPr>
            </w:pPr>
            <w:r>
              <w:rPr>
                <w:rFonts w:hint="eastAsia"/>
              </w:rPr>
              <w:t>按照《株洲市人民政府办公室关于印发株洲市城区扬尘污染防治管理试行办法的通知》的要求，施工单位应当对施工现场设置高度不得低于1.8m 的封闭围挡。工程脚手架外侧必须使用密目式安全网进行封闭。施工现场堆放砂、石等散体物料，应当设置高度不低于 50cm 的堆放池。施工现场产生的余土，应当设置高度不低于30cm的堆放池集中堆放，堆放地点不得靠近围档，堆放高度不得超过 2m，并应当采取覆盖、固化或者绿化措施。禁止在施工现场从事消化石灰、搅拌石灰土和其他有严重粉尘污染的施工作业，禁止现场搅拌混凝土，本项目应使用预拌混凝土（商品混凝土）。从事平整场地、清运建筑垃圾和渣土等施工作业时，应当采取边施工边洒水等防止扬尘污染的作业方式。</w:t>
            </w:r>
            <w:r>
              <w:rPr>
                <w:rFonts w:hint="eastAsia"/>
                <w:highlight w:val="none"/>
              </w:rPr>
              <w:t>根据建设单位提供资料，施工现场将设置 1 个车辆冲洗平台，冲洗平台设置在出入口。车辆驶出场地前，应当冲洗车体，净车出场。风力</w:t>
            </w:r>
            <w:r>
              <w:rPr>
                <w:rFonts w:hint="eastAsia"/>
              </w:rPr>
              <w:t>在 5 级以上的大风天气应当暂停从事平整场地、清运建筑垃圾和渣土等施工作业。环评建议本项目施工现场一般天气洒水车辆必须洒水 3~4 次，风速超过四级以上天气和炎热干燥天气应加强洒水降尘工作，确保现场无扬尘。在项目施工场地、主要运输路段和设置雾炮机，进行扬尘控制。同时要求施工期在建设工地安装颗粒物在线监测装置。</w:t>
            </w:r>
            <w:r>
              <w:rPr>
                <w:rFonts w:hAnsi="Times New Roman" w:cs="Times New Roman"/>
                <w:szCs w:val="24"/>
                <w:u w:val="none"/>
              </w:rPr>
              <w:t>采取以上预防措施后，施工现场扬尘对周围敏感点的影响较小。</w:t>
            </w:r>
          </w:p>
          <w:p>
            <w:pPr>
              <w:bidi w:val="0"/>
              <w:ind w:firstLine="480" w:firstLineChars="200"/>
            </w:pPr>
            <w:r>
              <w:t>（4）施工机械尾气</w:t>
            </w:r>
          </w:p>
          <w:p>
            <w:pPr>
              <w:bidi w:val="0"/>
              <w:ind w:firstLine="480" w:firstLineChars="200"/>
            </w:pPr>
            <w:r>
              <w:t>项目施工过程中以燃油为动力的施工机械为主，运输车辆会在施工场地附近排放少量燃油废气，施工单位应加强施工机械设备的维护，选用合格的燃油，避免排放未完全燃烧的黑烟，减轻施工机械尾气对周围空气环境的影响。另外，施工现场场地地形开阔，有利于燃油废气的扩散。因此，施工期机械尾气对沿线大气环境质量影响</w:t>
            </w:r>
            <w:r>
              <w:rPr>
                <w:rFonts w:hint="eastAsia"/>
              </w:rPr>
              <w:t>较小</w:t>
            </w:r>
            <w:r>
              <w:t>，且影响是短暂的，随着施工的结束而消失。</w:t>
            </w:r>
          </w:p>
          <w:p>
            <w:pPr>
              <w:bidi w:val="0"/>
              <w:ind w:firstLine="480" w:firstLineChars="200"/>
            </w:pPr>
            <w:r>
              <w:t>（5）沥青烟气</w:t>
            </w:r>
          </w:p>
          <w:p>
            <w:pPr>
              <w:bidi w:val="0"/>
              <w:ind w:firstLine="480" w:firstLineChars="200"/>
            </w:pPr>
            <w:r>
              <w:t>在道路基础路面建成后，需对路面进行沥青混凝土的铺设。沥青烟气主要来源于摊铺过程中，沥青烟的组成主要为THC、TSP和Ba</w:t>
            </w:r>
            <w:r>
              <w:rPr>
                <w:rFonts w:hint="eastAsia"/>
                <w:vertAlign w:val="subscript"/>
                <w:lang w:val="en-US" w:eastAsia="zh-CN"/>
              </w:rPr>
              <w:t xml:space="preserve"> </w:t>
            </w:r>
            <w:r>
              <w:t>P，其中THC和Ba</w:t>
            </w:r>
            <w:r>
              <w:rPr>
                <w:rFonts w:hint="eastAsia"/>
                <w:vertAlign w:val="subscript"/>
                <w:lang w:val="en-US" w:eastAsia="zh-CN"/>
              </w:rPr>
              <w:t xml:space="preserve"> </w:t>
            </w:r>
            <w:r>
              <w:t>P为有害物质，对空气将造成一定的污染，对人体也有伤害。为减小施工过程中沥青对施工人员和沿线居民的影响，减轻对周围环境的污染，并贯彻落实相关政策要求，本项目应采用商品沥青混凝土，不在施工现场设沥青混凝土搅拌站，施工人员在沥青混凝土铺设过程中佩戴口罩，以减少沥青烟气的吸收量。项目工程量小，沥青烟气产生量较小，对周围环境有暂时的影响，但影响较小。</w:t>
            </w:r>
          </w:p>
          <w:p>
            <w:pPr>
              <w:bidi w:val="0"/>
              <w:ind w:firstLine="480" w:firstLineChars="200"/>
            </w:pPr>
            <w:r>
              <w:rPr>
                <w:rFonts w:hint="eastAsia"/>
              </w:rPr>
              <w:t>（6）房屋拆迁的扬尘污染</w:t>
            </w:r>
          </w:p>
          <w:p>
            <w:pPr>
              <w:bidi w:val="0"/>
              <w:ind w:firstLine="480" w:firstLineChars="200"/>
            </w:pPr>
            <w:r>
              <w:t>根据北京市环境保护科学研究院等单位的研究课题</w:t>
            </w:r>
            <w:r>
              <w:rPr>
                <w:rFonts w:hint="eastAsia"/>
                <w:lang w:eastAsia="zh-CN"/>
              </w:rPr>
              <w:t>“</w:t>
            </w:r>
            <w:r>
              <w:t>北京市大气污染控制对策研究</w:t>
            </w:r>
            <w:r>
              <w:rPr>
                <w:rFonts w:hint="eastAsia"/>
                <w:lang w:eastAsia="zh-CN"/>
              </w:rPr>
              <w:t>”</w:t>
            </w:r>
            <w:r>
              <w:t>成果</w:t>
            </w:r>
            <w:r>
              <w:rPr>
                <w:rFonts w:hint="eastAsia"/>
              </w:rPr>
              <w:t>中对于</w:t>
            </w:r>
            <w:r>
              <w:rPr>
                <w:rFonts w:hint="eastAsia"/>
                <w:lang w:val="en-US" w:eastAsia="zh-CN"/>
              </w:rPr>
              <w:t>6220.34</w:t>
            </w:r>
            <w:r>
              <w:rPr>
                <w:highlight w:val="none"/>
              </w:rPr>
              <w:t>m</w:t>
            </w:r>
            <w:r>
              <w:rPr>
                <w:highlight w:val="none"/>
                <w:vertAlign w:val="superscript"/>
              </w:rPr>
              <w:t>2</w:t>
            </w:r>
            <w:r>
              <w:t>建筑拆除工程扬尘排放</w:t>
            </w:r>
            <w:r>
              <w:rPr>
                <w:rFonts w:hint="eastAsia"/>
              </w:rPr>
              <w:t>情况，见表</w:t>
            </w:r>
            <w:r>
              <w:rPr>
                <w:rFonts w:hint="eastAsia"/>
                <w:lang w:val="en-US" w:eastAsia="zh-CN"/>
              </w:rPr>
              <w:t>32</w:t>
            </w:r>
            <w:r>
              <w:rPr>
                <w:rFonts w:hint="eastAsia"/>
              </w:rPr>
              <w:t>。</w:t>
            </w:r>
            <w:r>
              <w:t>我们依据</w:t>
            </w:r>
            <w:r>
              <w:rPr>
                <w:rFonts w:hint="eastAsia"/>
              </w:rPr>
              <w:t>本项目建筑拆除量，</w:t>
            </w:r>
            <w:r>
              <w:t>对本项目工程施工扬尘污染状况进行类比分析。</w:t>
            </w:r>
          </w:p>
          <w:p>
            <w:pPr>
              <w:bidi w:val="0"/>
              <w:ind w:firstLine="480" w:firstLineChars="200"/>
            </w:pPr>
            <w:r>
              <w:t>本道路建设将拆除项目用地范围内居民房屋</w:t>
            </w:r>
            <w:r>
              <w:rPr>
                <w:rFonts w:hint="eastAsia"/>
                <w:lang w:val="en-US" w:eastAsia="zh-CN"/>
              </w:rPr>
              <w:t>6220.34</w:t>
            </w:r>
            <w:r>
              <w:t>m</w:t>
            </w:r>
            <w:r>
              <w:rPr>
                <w:vertAlign w:val="superscript"/>
              </w:rPr>
              <w:t>2</w:t>
            </w:r>
            <w:r>
              <w:t>，按全部为平房计，根据</w:t>
            </w:r>
            <w:r>
              <w:rPr>
                <w:rFonts w:hint="eastAsia"/>
              </w:rPr>
              <w:t>下表</w:t>
            </w:r>
            <w:r>
              <w:t>可估算本工程拆迁施工产生的TSP的总量约为</w:t>
            </w:r>
            <w:r>
              <w:rPr>
                <w:rFonts w:hint="eastAsia"/>
                <w:lang w:val="en-US" w:eastAsia="zh-CN"/>
              </w:rPr>
              <w:t>1.606</w:t>
            </w:r>
            <w:r>
              <w:t>t。</w:t>
            </w:r>
          </w:p>
          <w:p>
            <w:pPr>
              <w:tabs>
                <w:tab w:val="left" w:pos="1021"/>
              </w:tabs>
              <w:spacing w:line="480" w:lineRule="exact"/>
              <w:jc w:val="center"/>
              <w:rPr>
                <w:b/>
                <w:snapToGrid w:val="0"/>
                <w:color w:val="auto"/>
                <w:kern w:val="0"/>
                <w:sz w:val="24"/>
              </w:rPr>
            </w:pPr>
            <w:r>
              <w:rPr>
                <w:rFonts w:hAnsi="宋体"/>
                <w:b/>
                <w:color w:val="auto"/>
                <w:sz w:val="24"/>
              </w:rPr>
              <w:t>表</w:t>
            </w:r>
            <w:r>
              <w:rPr>
                <w:b/>
                <w:color w:val="auto"/>
                <w:sz w:val="24"/>
              </w:rPr>
              <w:t>3</w:t>
            </w:r>
            <w:r>
              <w:rPr>
                <w:rFonts w:hint="eastAsia"/>
                <w:b/>
                <w:color w:val="auto"/>
                <w:sz w:val="24"/>
                <w:lang w:val="en-US" w:eastAsia="zh-CN"/>
              </w:rPr>
              <w:t>6</w:t>
            </w:r>
            <w:r>
              <w:rPr>
                <w:b/>
                <w:color w:val="auto"/>
                <w:sz w:val="24"/>
              </w:rPr>
              <w:t xml:space="preserve">   10000m</w:t>
            </w:r>
            <w:r>
              <w:rPr>
                <w:b/>
                <w:color w:val="auto"/>
                <w:sz w:val="24"/>
                <w:vertAlign w:val="superscript"/>
              </w:rPr>
              <w:t>2</w:t>
            </w:r>
            <w:r>
              <w:rPr>
                <w:rFonts w:hAnsi="宋体"/>
                <w:b/>
                <w:color w:val="auto"/>
                <w:sz w:val="24"/>
              </w:rPr>
              <w:t>建筑拆除工程扬尘排放总量</w:t>
            </w:r>
            <w:r>
              <w:rPr>
                <w:b/>
                <w:color w:val="auto"/>
                <w:sz w:val="24"/>
              </w:rPr>
              <w:t xml:space="preserve">    </w:t>
            </w:r>
            <w:r>
              <w:rPr>
                <w:rFonts w:hAnsi="宋体"/>
                <w:b/>
                <w:color w:val="auto"/>
                <w:sz w:val="24"/>
              </w:rPr>
              <w:t>单位：</w:t>
            </w:r>
            <w:r>
              <w:rPr>
                <w:b/>
                <w:color w:val="auto"/>
                <w:sz w:val="24"/>
              </w:rPr>
              <w:t>kg</w:t>
            </w:r>
          </w:p>
          <w:tbl>
            <w:tblPr>
              <w:tblStyle w:val="34"/>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42"/>
              <w:gridCol w:w="1915"/>
              <w:gridCol w:w="1538"/>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340" w:type="dxa"/>
                  <w:vMerge w:val="restart"/>
                  <w:vAlign w:val="center"/>
                </w:tcPr>
                <w:p>
                  <w:pPr>
                    <w:pStyle w:val="17"/>
                    <w:widowControl w:val="0"/>
                    <w:adjustRightInd/>
                    <w:snapToGrid/>
                    <w:spacing w:line="300" w:lineRule="exact"/>
                    <w:jc w:val="right"/>
                    <w:rPr>
                      <w:rFonts w:eastAsia="宋体"/>
                      <w:color w:val="auto"/>
                      <w:szCs w:val="24"/>
                    </w:rPr>
                  </w:pPr>
                  <w:r>
                    <w:rPr>
                      <w:rFonts w:eastAsia="宋体"/>
                      <w:color w:val="auto"/>
                      <w:szCs w:val="24"/>
                    </w:rPr>
                    <mc:AlternateContent>
                      <mc:Choice Requires="wps">
                        <w:drawing>
                          <wp:anchor distT="0" distB="0" distL="114300" distR="114300" simplePos="0" relativeHeight="251762688" behindDoc="0" locked="0" layoutInCell="1" allowOverlap="1">
                            <wp:simplePos x="0" y="0"/>
                            <wp:positionH relativeFrom="column">
                              <wp:posOffset>-65405</wp:posOffset>
                            </wp:positionH>
                            <wp:positionV relativeFrom="paragraph">
                              <wp:posOffset>-4445</wp:posOffset>
                            </wp:positionV>
                            <wp:extent cx="1457325" cy="409575"/>
                            <wp:effectExtent l="5715" t="5715" r="22860" b="22860"/>
                            <wp:wrapNone/>
                            <wp:docPr id="24" name="直接连接符 24"/>
                            <wp:cNvGraphicFramePr/>
                            <a:graphic xmlns:a="http://schemas.openxmlformats.org/drawingml/2006/main">
                              <a:graphicData uri="http://schemas.microsoft.com/office/word/2010/wordprocessingShape">
                                <wps:wsp>
                                  <wps:cNvCnPr/>
                                  <wps:spPr>
                                    <a:xfrm>
                                      <a:off x="0" y="0"/>
                                      <a:ext cx="1457325" cy="409575"/>
                                    </a:xfrm>
                                    <a:prstGeom prst="line">
                                      <a:avLst/>
                                    </a:prstGeom>
                                    <a:ln w="6350" cap="sq"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5.15pt;margin-top:-0.35pt;height:32.25pt;width:114.75pt;z-index:251762688;mso-width-relative:page;mso-height-relative:page;" filled="f" stroked="t" coordsize="21600,21600" o:gfxdata="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7LMbTYAAAACAEAAA8AAAAAAAAAAQAgAAAAIgAAAGRycy9kb3ducmV2LnhtbFBLAQIU&#10;ABQAAAAIAIdO4kCHys3W8wEAAN4DAAAOAAAAAAAAAAEAIAAAACcBAABkcnMvZTJvRG9jLnhtbFBL&#10;BQYAAAAABgAGAFkBAACMBQAAAAA=&#10;">
                            <v:fill on="f" focussize="0,0"/>
                            <v:stroke weight="0.5pt" color="#000000" joinstyle="round" dashstyle="1 1" endcap="square"/>
                            <v:imagedata o:title=""/>
                            <o:lock v:ext="edit" aspectratio="f"/>
                          </v:line>
                        </w:pict>
                      </mc:Fallback>
                    </mc:AlternateContent>
                  </w:r>
                  <w:r>
                    <w:rPr>
                      <w:rFonts w:eastAsia="宋体"/>
                      <w:color w:val="auto"/>
                      <w:szCs w:val="24"/>
                    </w:rPr>
                    <w:t xml:space="preserve">    建筑类型</w:t>
                  </w:r>
                </w:p>
                <w:p>
                  <w:pPr>
                    <w:pStyle w:val="17"/>
                    <w:widowControl w:val="0"/>
                    <w:adjustRightInd/>
                    <w:snapToGrid/>
                    <w:spacing w:line="300" w:lineRule="exact"/>
                    <w:jc w:val="left"/>
                    <w:rPr>
                      <w:rFonts w:eastAsia="宋体"/>
                      <w:color w:val="auto"/>
                      <w:szCs w:val="24"/>
                    </w:rPr>
                  </w:pPr>
                  <w:r>
                    <w:rPr>
                      <w:rFonts w:eastAsia="宋体"/>
                      <w:color w:val="auto"/>
                      <w:szCs w:val="24"/>
                    </w:rPr>
                    <w:t>单元操作</w:t>
                  </w:r>
                </w:p>
              </w:tc>
              <w:tc>
                <w:tcPr>
                  <w:tcW w:w="3157" w:type="dxa"/>
                  <w:gridSpan w:val="2"/>
                </w:tcPr>
                <w:p>
                  <w:pPr>
                    <w:pStyle w:val="17"/>
                    <w:widowControl w:val="0"/>
                    <w:adjustRightInd/>
                    <w:snapToGrid/>
                    <w:spacing w:line="300" w:lineRule="exact"/>
                    <w:rPr>
                      <w:rFonts w:eastAsia="宋体"/>
                      <w:color w:val="auto"/>
                      <w:szCs w:val="24"/>
                    </w:rPr>
                  </w:pPr>
                  <w:r>
                    <w:rPr>
                      <w:rFonts w:eastAsia="宋体"/>
                      <w:color w:val="auto"/>
                      <w:szCs w:val="24"/>
                    </w:rPr>
                    <w:t>旧楼房拆除</w:t>
                  </w:r>
                </w:p>
              </w:tc>
              <w:tc>
                <w:tcPr>
                  <w:tcW w:w="3566" w:type="dxa"/>
                  <w:gridSpan w:val="2"/>
                </w:tcPr>
                <w:p>
                  <w:pPr>
                    <w:pStyle w:val="17"/>
                    <w:widowControl w:val="0"/>
                    <w:adjustRightInd/>
                    <w:snapToGrid/>
                    <w:spacing w:line="300" w:lineRule="exact"/>
                    <w:rPr>
                      <w:rFonts w:eastAsia="宋体"/>
                      <w:color w:val="auto"/>
                      <w:szCs w:val="24"/>
                    </w:rPr>
                  </w:pPr>
                  <w:r>
                    <w:rPr>
                      <w:rFonts w:eastAsia="宋体"/>
                      <w:color w:val="auto"/>
                      <w:szCs w:val="24"/>
                    </w:rPr>
                    <w:t>旧平房拆除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340" w:type="dxa"/>
                  <w:vMerge w:val="continue"/>
                </w:tcPr>
                <w:p>
                  <w:pPr>
                    <w:pStyle w:val="17"/>
                    <w:widowControl w:val="0"/>
                    <w:adjustRightInd/>
                    <w:snapToGrid/>
                    <w:spacing w:line="300" w:lineRule="exact"/>
                    <w:rPr>
                      <w:rFonts w:eastAsia="宋体"/>
                      <w:color w:val="auto"/>
                      <w:szCs w:val="24"/>
                    </w:rPr>
                  </w:pPr>
                </w:p>
              </w:tc>
              <w:tc>
                <w:tcPr>
                  <w:tcW w:w="1242" w:type="dxa"/>
                </w:tcPr>
                <w:p>
                  <w:pPr>
                    <w:pStyle w:val="17"/>
                    <w:widowControl w:val="0"/>
                    <w:adjustRightInd/>
                    <w:snapToGrid/>
                    <w:spacing w:line="300" w:lineRule="exact"/>
                    <w:rPr>
                      <w:rFonts w:eastAsia="宋体"/>
                      <w:color w:val="auto"/>
                      <w:szCs w:val="24"/>
                    </w:rPr>
                  </w:pPr>
                  <w:r>
                    <w:rPr>
                      <w:rFonts w:eastAsia="宋体"/>
                      <w:color w:val="auto"/>
                      <w:szCs w:val="24"/>
                    </w:rPr>
                    <w:t>TSP</w:t>
                  </w:r>
                </w:p>
              </w:tc>
              <w:tc>
                <w:tcPr>
                  <w:tcW w:w="1915" w:type="dxa"/>
                </w:tcPr>
                <w:p>
                  <w:pPr>
                    <w:pStyle w:val="17"/>
                    <w:widowControl w:val="0"/>
                    <w:adjustRightInd/>
                    <w:snapToGrid/>
                    <w:spacing w:line="300" w:lineRule="exact"/>
                    <w:rPr>
                      <w:rFonts w:eastAsia="宋体"/>
                      <w:color w:val="auto"/>
                      <w:szCs w:val="24"/>
                    </w:rPr>
                  </w:pPr>
                  <w:r>
                    <w:rPr>
                      <w:rFonts w:eastAsia="宋体"/>
                      <w:color w:val="auto"/>
                      <w:szCs w:val="24"/>
                    </w:rPr>
                    <w:t>所占百分（%）</w:t>
                  </w:r>
                </w:p>
              </w:tc>
              <w:tc>
                <w:tcPr>
                  <w:tcW w:w="1538" w:type="dxa"/>
                </w:tcPr>
                <w:p>
                  <w:pPr>
                    <w:pStyle w:val="17"/>
                    <w:widowControl w:val="0"/>
                    <w:adjustRightInd/>
                    <w:snapToGrid/>
                    <w:spacing w:line="300" w:lineRule="exact"/>
                    <w:rPr>
                      <w:rFonts w:eastAsia="宋体"/>
                      <w:color w:val="auto"/>
                      <w:szCs w:val="24"/>
                    </w:rPr>
                  </w:pPr>
                  <w:r>
                    <w:rPr>
                      <w:rFonts w:eastAsia="宋体"/>
                      <w:color w:val="auto"/>
                      <w:szCs w:val="24"/>
                    </w:rPr>
                    <w:t>TSP</w:t>
                  </w:r>
                </w:p>
              </w:tc>
              <w:tc>
                <w:tcPr>
                  <w:tcW w:w="2028" w:type="dxa"/>
                </w:tcPr>
                <w:p>
                  <w:pPr>
                    <w:pStyle w:val="17"/>
                    <w:widowControl w:val="0"/>
                    <w:adjustRightInd/>
                    <w:snapToGrid/>
                    <w:spacing w:line="300" w:lineRule="exact"/>
                    <w:rPr>
                      <w:rFonts w:eastAsia="宋体"/>
                      <w:color w:val="auto"/>
                      <w:szCs w:val="24"/>
                    </w:rPr>
                  </w:pPr>
                  <w:r>
                    <w:rPr>
                      <w:rFonts w:eastAsia="宋体"/>
                      <w:color w:val="auto"/>
                      <w:szCs w:val="24"/>
                    </w:rPr>
                    <w:t>所占百分比（%）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pPr>
                    <w:pStyle w:val="17"/>
                    <w:widowControl w:val="0"/>
                    <w:adjustRightInd/>
                    <w:snapToGrid/>
                    <w:spacing w:line="300" w:lineRule="exact"/>
                    <w:rPr>
                      <w:rFonts w:eastAsia="宋体"/>
                      <w:color w:val="auto"/>
                      <w:szCs w:val="24"/>
                    </w:rPr>
                  </w:pPr>
                  <w:r>
                    <w:rPr>
                      <w:rFonts w:eastAsia="宋体"/>
                      <w:color w:val="auto"/>
                      <w:szCs w:val="24"/>
                    </w:rPr>
                    <w:t>风蚀扬尘</w:t>
                  </w:r>
                </w:p>
              </w:tc>
              <w:tc>
                <w:tcPr>
                  <w:tcW w:w="1242" w:type="dxa"/>
                  <w:vAlign w:val="center"/>
                </w:tcPr>
                <w:p>
                  <w:pPr>
                    <w:pStyle w:val="17"/>
                    <w:widowControl w:val="0"/>
                    <w:adjustRightInd/>
                    <w:snapToGrid/>
                    <w:spacing w:line="300" w:lineRule="exact"/>
                    <w:rPr>
                      <w:rFonts w:eastAsia="宋体"/>
                      <w:color w:val="auto"/>
                      <w:szCs w:val="24"/>
                    </w:rPr>
                  </w:pPr>
                  <w:r>
                    <w:rPr>
                      <w:rFonts w:eastAsia="宋体"/>
                      <w:color w:val="auto"/>
                      <w:szCs w:val="24"/>
                    </w:rPr>
                    <w:t>120</w:t>
                  </w:r>
                </w:p>
              </w:tc>
              <w:tc>
                <w:tcPr>
                  <w:tcW w:w="1915" w:type="dxa"/>
                  <w:vAlign w:val="center"/>
                </w:tcPr>
                <w:p>
                  <w:pPr>
                    <w:pStyle w:val="17"/>
                    <w:widowControl w:val="0"/>
                    <w:adjustRightInd/>
                    <w:snapToGrid/>
                    <w:spacing w:line="300" w:lineRule="exact"/>
                    <w:rPr>
                      <w:rFonts w:eastAsia="宋体"/>
                      <w:color w:val="auto"/>
                      <w:szCs w:val="24"/>
                    </w:rPr>
                  </w:pPr>
                  <w:r>
                    <w:rPr>
                      <w:rFonts w:eastAsia="宋体"/>
                      <w:color w:val="auto"/>
                      <w:szCs w:val="24"/>
                    </w:rPr>
                    <w:t>6.1</w:t>
                  </w:r>
                </w:p>
              </w:tc>
              <w:tc>
                <w:tcPr>
                  <w:tcW w:w="1538" w:type="dxa"/>
                  <w:vAlign w:val="center"/>
                </w:tcPr>
                <w:p>
                  <w:pPr>
                    <w:pStyle w:val="17"/>
                    <w:widowControl w:val="0"/>
                    <w:adjustRightInd/>
                    <w:snapToGrid/>
                    <w:spacing w:line="300" w:lineRule="exact"/>
                    <w:rPr>
                      <w:rFonts w:eastAsia="宋体"/>
                      <w:color w:val="auto"/>
                      <w:szCs w:val="24"/>
                    </w:rPr>
                  </w:pPr>
                  <w:r>
                    <w:rPr>
                      <w:rFonts w:eastAsia="宋体"/>
                      <w:color w:val="auto"/>
                      <w:szCs w:val="24"/>
                    </w:rPr>
                    <w:t>240</w:t>
                  </w:r>
                </w:p>
              </w:tc>
              <w:tc>
                <w:tcPr>
                  <w:tcW w:w="2028" w:type="dxa"/>
                  <w:vAlign w:val="center"/>
                </w:tcPr>
                <w:p>
                  <w:pPr>
                    <w:pStyle w:val="17"/>
                    <w:widowControl w:val="0"/>
                    <w:adjustRightInd/>
                    <w:snapToGrid/>
                    <w:spacing w:line="300" w:lineRule="exact"/>
                    <w:rPr>
                      <w:rFonts w:eastAsia="宋体"/>
                      <w:color w:val="auto"/>
                      <w:szCs w:val="24"/>
                    </w:rPr>
                  </w:pPr>
                  <w:r>
                    <w:rPr>
                      <w:rFonts w:eastAsia="宋体"/>
                      <w:color w:val="auto"/>
                      <w:szCs w:val="24"/>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340" w:type="dxa"/>
                  <w:vAlign w:val="center"/>
                </w:tcPr>
                <w:p>
                  <w:pPr>
                    <w:pStyle w:val="17"/>
                    <w:widowControl w:val="0"/>
                    <w:adjustRightInd/>
                    <w:snapToGrid/>
                    <w:spacing w:line="300" w:lineRule="exact"/>
                    <w:rPr>
                      <w:rFonts w:eastAsia="宋体"/>
                      <w:color w:val="auto"/>
                      <w:szCs w:val="24"/>
                    </w:rPr>
                  </w:pPr>
                  <w:r>
                    <w:rPr>
                      <w:rFonts w:eastAsia="宋体"/>
                      <w:color w:val="auto"/>
                      <w:szCs w:val="24"/>
                    </w:rPr>
                    <w:t>拆除操作</w:t>
                  </w:r>
                </w:p>
              </w:tc>
              <w:tc>
                <w:tcPr>
                  <w:tcW w:w="1242" w:type="dxa"/>
                  <w:vAlign w:val="center"/>
                </w:tcPr>
                <w:p>
                  <w:pPr>
                    <w:pStyle w:val="17"/>
                    <w:widowControl w:val="0"/>
                    <w:adjustRightInd/>
                    <w:snapToGrid/>
                    <w:spacing w:line="300" w:lineRule="exact"/>
                    <w:rPr>
                      <w:rFonts w:eastAsia="宋体"/>
                      <w:color w:val="auto"/>
                      <w:szCs w:val="24"/>
                    </w:rPr>
                  </w:pPr>
                  <w:r>
                    <w:rPr>
                      <w:rFonts w:eastAsia="宋体"/>
                      <w:color w:val="auto"/>
                      <w:szCs w:val="24"/>
                    </w:rPr>
                    <w:t>318</w:t>
                  </w:r>
                </w:p>
              </w:tc>
              <w:tc>
                <w:tcPr>
                  <w:tcW w:w="1915" w:type="dxa"/>
                  <w:vAlign w:val="center"/>
                </w:tcPr>
                <w:p>
                  <w:pPr>
                    <w:pStyle w:val="17"/>
                    <w:widowControl w:val="0"/>
                    <w:adjustRightInd/>
                    <w:snapToGrid/>
                    <w:spacing w:line="300" w:lineRule="exact"/>
                    <w:rPr>
                      <w:rFonts w:eastAsia="宋体"/>
                      <w:color w:val="auto"/>
                      <w:szCs w:val="24"/>
                    </w:rPr>
                  </w:pPr>
                  <w:r>
                    <w:rPr>
                      <w:rFonts w:eastAsia="宋体"/>
                      <w:color w:val="auto"/>
                      <w:szCs w:val="24"/>
                    </w:rPr>
                    <w:t>16.0</w:t>
                  </w:r>
                </w:p>
              </w:tc>
              <w:tc>
                <w:tcPr>
                  <w:tcW w:w="1538" w:type="dxa"/>
                  <w:vAlign w:val="center"/>
                </w:tcPr>
                <w:p>
                  <w:pPr>
                    <w:pStyle w:val="17"/>
                    <w:widowControl w:val="0"/>
                    <w:adjustRightInd/>
                    <w:snapToGrid/>
                    <w:spacing w:line="300" w:lineRule="exact"/>
                    <w:rPr>
                      <w:rFonts w:eastAsia="宋体"/>
                      <w:color w:val="auto"/>
                      <w:szCs w:val="24"/>
                    </w:rPr>
                  </w:pPr>
                  <w:r>
                    <w:rPr>
                      <w:rFonts w:eastAsia="宋体"/>
                      <w:color w:val="auto"/>
                      <w:szCs w:val="24"/>
                    </w:rPr>
                    <w:t>217</w:t>
                  </w:r>
                </w:p>
              </w:tc>
              <w:tc>
                <w:tcPr>
                  <w:tcW w:w="2028" w:type="dxa"/>
                  <w:vAlign w:val="center"/>
                </w:tcPr>
                <w:p>
                  <w:pPr>
                    <w:pStyle w:val="17"/>
                    <w:widowControl w:val="0"/>
                    <w:adjustRightInd/>
                    <w:snapToGrid/>
                    <w:spacing w:line="300" w:lineRule="exact"/>
                    <w:rPr>
                      <w:rFonts w:eastAsia="宋体"/>
                      <w:color w:val="auto"/>
                      <w:szCs w:val="24"/>
                    </w:rPr>
                  </w:pPr>
                  <w:r>
                    <w:rPr>
                      <w:rFonts w:eastAsia="宋体"/>
                      <w:color w:val="auto"/>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pPr>
                    <w:pStyle w:val="17"/>
                    <w:widowControl w:val="0"/>
                    <w:adjustRightInd/>
                    <w:snapToGrid/>
                    <w:spacing w:line="300" w:lineRule="exact"/>
                    <w:rPr>
                      <w:rFonts w:eastAsia="宋体"/>
                      <w:color w:val="auto"/>
                      <w:szCs w:val="24"/>
                    </w:rPr>
                  </w:pPr>
                  <w:r>
                    <w:rPr>
                      <w:rFonts w:eastAsia="宋体"/>
                      <w:color w:val="auto"/>
                      <w:szCs w:val="24"/>
                    </w:rPr>
                    <w:t>废渣破碎</w:t>
                  </w:r>
                </w:p>
              </w:tc>
              <w:tc>
                <w:tcPr>
                  <w:tcW w:w="1242" w:type="dxa"/>
                  <w:vAlign w:val="center"/>
                </w:tcPr>
                <w:p>
                  <w:pPr>
                    <w:pStyle w:val="17"/>
                    <w:widowControl w:val="0"/>
                    <w:adjustRightInd/>
                    <w:snapToGrid/>
                    <w:spacing w:line="300" w:lineRule="exact"/>
                    <w:rPr>
                      <w:rFonts w:eastAsia="宋体"/>
                      <w:color w:val="auto"/>
                      <w:szCs w:val="24"/>
                    </w:rPr>
                  </w:pPr>
                  <w:r>
                    <w:rPr>
                      <w:rFonts w:eastAsia="宋体"/>
                      <w:color w:val="auto"/>
                      <w:szCs w:val="24"/>
                    </w:rPr>
                    <w:t>313</w:t>
                  </w:r>
                </w:p>
              </w:tc>
              <w:tc>
                <w:tcPr>
                  <w:tcW w:w="1915" w:type="dxa"/>
                  <w:vAlign w:val="center"/>
                </w:tcPr>
                <w:p>
                  <w:pPr>
                    <w:pStyle w:val="17"/>
                    <w:widowControl w:val="0"/>
                    <w:adjustRightInd/>
                    <w:snapToGrid/>
                    <w:spacing w:line="300" w:lineRule="exact"/>
                    <w:rPr>
                      <w:rFonts w:eastAsia="宋体"/>
                      <w:color w:val="auto"/>
                      <w:szCs w:val="24"/>
                    </w:rPr>
                  </w:pPr>
                  <w:r>
                    <w:rPr>
                      <w:rFonts w:eastAsia="宋体"/>
                      <w:color w:val="auto"/>
                      <w:szCs w:val="24"/>
                    </w:rPr>
                    <w:t>15.8</w:t>
                  </w:r>
                </w:p>
              </w:tc>
              <w:tc>
                <w:tcPr>
                  <w:tcW w:w="1538" w:type="dxa"/>
                  <w:vAlign w:val="center"/>
                </w:tcPr>
                <w:p>
                  <w:pPr>
                    <w:pStyle w:val="17"/>
                    <w:widowControl w:val="0"/>
                    <w:adjustRightInd/>
                    <w:snapToGrid/>
                    <w:spacing w:line="300" w:lineRule="exact"/>
                    <w:rPr>
                      <w:rFonts w:eastAsia="宋体"/>
                      <w:color w:val="auto"/>
                      <w:szCs w:val="24"/>
                    </w:rPr>
                  </w:pPr>
                  <w:r>
                    <w:rPr>
                      <w:rFonts w:eastAsia="宋体"/>
                      <w:color w:val="auto"/>
                      <w:szCs w:val="24"/>
                    </w:rPr>
                    <w:t>110</w:t>
                  </w:r>
                </w:p>
              </w:tc>
              <w:tc>
                <w:tcPr>
                  <w:tcW w:w="2028" w:type="dxa"/>
                  <w:vAlign w:val="center"/>
                </w:tcPr>
                <w:p>
                  <w:pPr>
                    <w:pStyle w:val="17"/>
                    <w:widowControl w:val="0"/>
                    <w:adjustRightInd/>
                    <w:snapToGrid/>
                    <w:spacing w:line="300" w:lineRule="exact"/>
                    <w:rPr>
                      <w:rFonts w:eastAsia="宋体"/>
                      <w:color w:val="auto"/>
                      <w:szCs w:val="24"/>
                    </w:rPr>
                  </w:pPr>
                  <w:r>
                    <w:rPr>
                      <w:rFonts w:eastAsia="宋体"/>
                      <w:color w:val="auto"/>
                      <w:szCs w:val="24"/>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pPr>
                    <w:pStyle w:val="17"/>
                    <w:widowControl w:val="0"/>
                    <w:adjustRightInd/>
                    <w:snapToGrid/>
                    <w:spacing w:line="300" w:lineRule="exact"/>
                    <w:rPr>
                      <w:rFonts w:eastAsia="宋体"/>
                      <w:color w:val="auto"/>
                      <w:szCs w:val="24"/>
                    </w:rPr>
                  </w:pPr>
                  <w:r>
                    <w:rPr>
                      <w:rFonts w:eastAsia="宋体"/>
                      <w:color w:val="auto"/>
                      <w:szCs w:val="24"/>
                    </w:rPr>
                    <w:t>废渣堆积</w:t>
                  </w:r>
                </w:p>
              </w:tc>
              <w:tc>
                <w:tcPr>
                  <w:tcW w:w="1242" w:type="dxa"/>
                  <w:vAlign w:val="center"/>
                </w:tcPr>
                <w:p>
                  <w:pPr>
                    <w:pStyle w:val="17"/>
                    <w:widowControl w:val="0"/>
                    <w:adjustRightInd/>
                    <w:snapToGrid/>
                    <w:spacing w:line="300" w:lineRule="exact"/>
                    <w:rPr>
                      <w:rFonts w:eastAsia="宋体"/>
                      <w:color w:val="auto"/>
                      <w:szCs w:val="24"/>
                    </w:rPr>
                  </w:pPr>
                  <w:r>
                    <w:rPr>
                      <w:rFonts w:eastAsia="宋体"/>
                      <w:color w:val="auto"/>
                      <w:szCs w:val="24"/>
                    </w:rPr>
                    <w:t>313</w:t>
                  </w:r>
                </w:p>
              </w:tc>
              <w:tc>
                <w:tcPr>
                  <w:tcW w:w="1915" w:type="dxa"/>
                  <w:vAlign w:val="center"/>
                </w:tcPr>
                <w:p>
                  <w:pPr>
                    <w:pStyle w:val="17"/>
                    <w:widowControl w:val="0"/>
                    <w:adjustRightInd/>
                    <w:snapToGrid/>
                    <w:spacing w:line="300" w:lineRule="exact"/>
                    <w:rPr>
                      <w:rFonts w:eastAsia="宋体"/>
                      <w:color w:val="auto"/>
                      <w:szCs w:val="24"/>
                    </w:rPr>
                  </w:pPr>
                  <w:r>
                    <w:rPr>
                      <w:rFonts w:eastAsia="宋体"/>
                      <w:color w:val="auto"/>
                      <w:szCs w:val="24"/>
                    </w:rPr>
                    <w:t>15.8</w:t>
                  </w:r>
                </w:p>
              </w:tc>
              <w:tc>
                <w:tcPr>
                  <w:tcW w:w="1538" w:type="dxa"/>
                  <w:vAlign w:val="center"/>
                </w:tcPr>
                <w:p>
                  <w:pPr>
                    <w:pStyle w:val="17"/>
                    <w:widowControl w:val="0"/>
                    <w:adjustRightInd/>
                    <w:snapToGrid/>
                    <w:spacing w:line="300" w:lineRule="exact"/>
                    <w:rPr>
                      <w:rFonts w:eastAsia="宋体"/>
                      <w:color w:val="auto"/>
                      <w:szCs w:val="24"/>
                    </w:rPr>
                  </w:pPr>
                  <w:r>
                    <w:rPr>
                      <w:rFonts w:eastAsia="宋体"/>
                      <w:color w:val="auto"/>
                      <w:szCs w:val="24"/>
                    </w:rPr>
                    <w:t>438</w:t>
                  </w:r>
                </w:p>
              </w:tc>
              <w:tc>
                <w:tcPr>
                  <w:tcW w:w="2028" w:type="dxa"/>
                  <w:vAlign w:val="center"/>
                </w:tcPr>
                <w:p>
                  <w:pPr>
                    <w:pStyle w:val="17"/>
                    <w:widowControl w:val="0"/>
                    <w:adjustRightInd/>
                    <w:snapToGrid/>
                    <w:spacing w:line="300" w:lineRule="exact"/>
                    <w:rPr>
                      <w:rFonts w:eastAsia="宋体"/>
                      <w:color w:val="auto"/>
                      <w:szCs w:val="24"/>
                    </w:rPr>
                  </w:pPr>
                  <w:r>
                    <w:rPr>
                      <w:rFonts w:eastAsia="宋体"/>
                      <w:color w:val="auto"/>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pPr>
                    <w:pStyle w:val="17"/>
                    <w:widowControl w:val="0"/>
                    <w:adjustRightInd/>
                    <w:snapToGrid/>
                    <w:spacing w:line="300" w:lineRule="exact"/>
                    <w:rPr>
                      <w:rFonts w:eastAsia="宋体"/>
                      <w:color w:val="auto"/>
                      <w:szCs w:val="24"/>
                    </w:rPr>
                  </w:pPr>
                  <w:r>
                    <w:rPr>
                      <w:rFonts w:eastAsia="宋体"/>
                      <w:color w:val="auto"/>
                      <w:szCs w:val="24"/>
                    </w:rPr>
                    <w:t>装载操作</w:t>
                  </w:r>
                </w:p>
              </w:tc>
              <w:tc>
                <w:tcPr>
                  <w:tcW w:w="1242" w:type="dxa"/>
                  <w:vAlign w:val="center"/>
                </w:tcPr>
                <w:p>
                  <w:pPr>
                    <w:pStyle w:val="17"/>
                    <w:widowControl w:val="0"/>
                    <w:adjustRightInd/>
                    <w:snapToGrid/>
                    <w:spacing w:line="300" w:lineRule="exact"/>
                    <w:rPr>
                      <w:rFonts w:eastAsia="宋体"/>
                      <w:color w:val="auto"/>
                      <w:szCs w:val="24"/>
                    </w:rPr>
                  </w:pPr>
                  <w:r>
                    <w:rPr>
                      <w:rFonts w:eastAsia="宋体"/>
                      <w:color w:val="auto"/>
                      <w:szCs w:val="24"/>
                    </w:rPr>
                    <w:t>106</w:t>
                  </w:r>
                </w:p>
              </w:tc>
              <w:tc>
                <w:tcPr>
                  <w:tcW w:w="1915" w:type="dxa"/>
                  <w:vAlign w:val="center"/>
                </w:tcPr>
                <w:p>
                  <w:pPr>
                    <w:pStyle w:val="17"/>
                    <w:widowControl w:val="0"/>
                    <w:adjustRightInd/>
                    <w:snapToGrid/>
                    <w:spacing w:line="300" w:lineRule="exact"/>
                    <w:rPr>
                      <w:rFonts w:eastAsia="宋体"/>
                      <w:color w:val="auto"/>
                      <w:szCs w:val="24"/>
                    </w:rPr>
                  </w:pPr>
                  <w:r>
                    <w:rPr>
                      <w:rFonts w:eastAsia="宋体"/>
                      <w:color w:val="auto"/>
                      <w:szCs w:val="24"/>
                    </w:rPr>
                    <w:t>5.3</w:t>
                  </w:r>
                </w:p>
              </w:tc>
              <w:tc>
                <w:tcPr>
                  <w:tcW w:w="1538" w:type="dxa"/>
                  <w:vAlign w:val="center"/>
                </w:tcPr>
                <w:p>
                  <w:pPr>
                    <w:pStyle w:val="17"/>
                    <w:widowControl w:val="0"/>
                    <w:adjustRightInd/>
                    <w:snapToGrid/>
                    <w:spacing w:line="300" w:lineRule="exact"/>
                    <w:rPr>
                      <w:rFonts w:eastAsia="宋体"/>
                      <w:color w:val="auto"/>
                      <w:szCs w:val="24"/>
                    </w:rPr>
                  </w:pPr>
                  <w:r>
                    <w:rPr>
                      <w:rFonts w:eastAsia="宋体"/>
                      <w:color w:val="auto"/>
                      <w:szCs w:val="24"/>
                    </w:rPr>
                    <w:t>109</w:t>
                  </w:r>
                </w:p>
              </w:tc>
              <w:tc>
                <w:tcPr>
                  <w:tcW w:w="2028" w:type="dxa"/>
                  <w:vAlign w:val="center"/>
                </w:tcPr>
                <w:p>
                  <w:pPr>
                    <w:pStyle w:val="17"/>
                    <w:widowControl w:val="0"/>
                    <w:adjustRightInd/>
                    <w:snapToGrid/>
                    <w:spacing w:line="300" w:lineRule="exact"/>
                    <w:rPr>
                      <w:rFonts w:eastAsia="宋体"/>
                      <w:color w:val="auto"/>
                      <w:szCs w:val="24"/>
                    </w:rPr>
                  </w:pPr>
                  <w:r>
                    <w:rPr>
                      <w:rFonts w:eastAsia="宋体"/>
                      <w:color w:val="auto"/>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pPr>
                    <w:pStyle w:val="17"/>
                    <w:widowControl w:val="0"/>
                    <w:adjustRightInd/>
                    <w:snapToGrid/>
                    <w:spacing w:line="300" w:lineRule="exact"/>
                    <w:rPr>
                      <w:rFonts w:eastAsia="宋体"/>
                      <w:color w:val="auto"/>
                      <w:szCs w:val="24"/>
                    </w:rPr>
                  </w:pPr>
                  <w:r>
                    <w:rPr>
                      <w:rFonts w:eastAsia="宋体"/>
                      <w:color w:val="auto"/>
                      <w:szCs w:val="24"/>
                    </w:rPr>
                    <w:t>工地内运输</w:t>
                  </w:r>
                </w:p>
              </w:tc>
              <w:tc>
                <w:tcPr>
                  <w:tcW w:w="1242" w:type="dxa"/>
                  <w:vAlign w:val="center"/>
                </w:tcPr>
                <w:p>
                  <w:pPr>
                    <w:pStyle w:val="17"/>
                    <w:widowControl w:val="0"/>
                    <w:adjustRightInd/>
                    <w:snapToGrid/>
                    <w:spacing w:line="300" w:lineRule="exact"/>
                    <w:rPr>
                      <w:rFonts w:eastAsia="宋体"/>
                      <w:color w:val="auto"/>
                      <w:szCs w:val="24"/>
                    </w:rPr>
                  </w:pPr>
                  <w:r>
                    <w:rPr>
                      <w:rFonts w:eastAsia="宋体"/>
                      <w:color w:val="auto"/>
                      <w:szCs w:val="24"/>
                    </w:rPr>
                    <w:t>587</w:t>
                  </w:r>
                </w:p>
              </w:tc>
              <w:tc>
                <w:tcPr>
                  <w:tcW w:w="1915" w:type="dxa"/>
                  <w:vAlign w:val="center"/>
                </w:tcPr>
                <w:p>
                  <w:pPr>
                    <w:pStyle w:val="17"/>
                    <w:widowControl w:val="0"/>
                    <w:adjustRightInd/>
                    <w:snapToGrid/>
                    <w:spacing w:line="300" w:lineRule="exact"/>
                    <w:rPr>
                      <w:rFonts w:eastAsia="宋体"/>
                      <w:color w:val="auto"/>
                      <w:szCs w:val="24"/>
                    </w:rPr>
                  </w:pPr>
                  <w:r>
                    <w:rPr>
                      <w:rFonts w:eastAsia="宋体"/>
                      <w:color w:val="auto"/>
                      <w:szCs w:val="24"/>
                    </w:rPr>
                    <w:t>29.6</w:t>
                  </w:r>
                </w:p>
              </w:tc>
              <w:tc>
                <w:tcPr>
                  <w:tcW w:w="1538" w:type="dxa"/>
                  <w:vAlign w:val="center"/>
                </w:tcPr>
                <w:p>
                  <w:pPr>
                    <w:pStyle w:val="17"/>
                    <w:widowControl w:val="0"/>
                    <w:adjustRightInd/>
                    <w:snapToGrid/>
                    <w:spacing w:line="300" w:lineRule="exact"/>
                    <w:rPr>
                      <w:rFonts w:eastAsia="宋体"/>
                      <w:color w:val="auto"/>
                      <w:szCs w:val="24"/>
                    </w:rPr>
                  </w:pPr>
                  <w:r>
                    <w:rPr>
                      <w:rFonts w:eastAsia="宋体"/>
                      <w:color w:val="auto"/>
                      <w:szCs w:val="24"/>
                    </w:rPr>
                    <w:t>1152</w:t>
                  </w:r>
                </w:p>
              </w:tc>
              <w:tc>
                <w:tcPr>
                  <w:tcW w:w="2028" w:type="dxa"/>
                  <w:vAlign w:val="center"/>
                </w:tcPr>
                <w:p>
                  <w:pPr>
                    <w:pStyle w:val="17"/>
                    <w:widowControl w:val="0"/>
                    <w:adjustRightInd/>
                    <w:snapToGrid/>
                    <w:spacing w:line="300" w:lineRule="exact"/>
                    <w:rPr>
                      <w:rFonts w:eastAsia="宋体"/>
                      <w:color w:val="auto"/>
                      <w:szCs w:val="24"/>
                    </w:rPr>
                  </w:pPr>
                  <w:r>
                    <w:rPr>
                      <w:rFonts w:eastAsia="宋体"/>
                      <w:color w:val="auto"/>
                      <w:szCs w:val="24"/>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pPr>
                    <w:pStyle w:val="17"/>
                    <w:widowControl w:val="0"/>
                    <w:adjustRightInd/>
                    <w:snapToGrid/>
                    <w:spacing w:line="300" w:lineRule="exact"/>
                    <w:rPr>
                      <w:rFonts w:eastAsia="宋体"/>
                      <w:color w:val="auto"/>
                      <w:szCs w:val="24"/>
                    </w:rPr>
                  </w:pPr>
                  <w:r>
                    <w:rPr>
                      <w:rFonts w:eastAsia="宋体"/>
                      <w:color w:val="auto"/>
                      <w:szCs w:val="24"/>
                    </w:rPr>
                    <w:t>出口路段运输</w:t>
                  </w:r>
                </w:p>
              </w:tc>
              <w:tc>
                <w:tcPr>
                  <w:tcW w:w="1242" w:type="dxa"/>
                  <w:vAlign w:val="center"/>
                </w:tcPr>
                <w:p>
                  <w:pPr>
                    <w:pStyle w:val="17"/>
                    <w:widowControl w:val="0"/>
                    <w:adjustRightInd/>
                    <w:snapToGrid/>
                    <w:spacing w:line="300" w:lineRule="exact"/>
                    <w:rPr>
                      <w:rFonts w:eastAsia="宋体"/>
                      <w:color w:val="auto"/>
                      <w:szCs w:val="24"/>
                    </w:rPr>
                  </w:pPr>
                  <w:r>
                    <w:rPr>
                      <w:rFonts w:eastAsia="宋体"/>
                      <w:color w:val="auto"/>
                      <w:szCs w:val="24"/>
                    </w:rPr>
                    <w:t>226</w:t>
                  </w:r>
                </w:p>
              </w:tc>
              <w:tc>
                <w:tcPr>
                  <w:tcW w:w="1915" w:type="dxa"/>
                  <w:vAlign w:val="center"/>
                </w:tcPr>
                <w:p>
                  <w:pPr>
                    <w:pStyle w:val="17"/>
                    <w:widowControl w:val="0"/>
                    <w:adjustRightInd/>
                    <w:snapToGrid/>
                    <w:spacing w:line="300" w:lineRule="exact"/>
                    <w:rPr>
                      <w:rFonts w:eastAsia="宋体"/>
                      <w:color w:val="auto"/>
                      <w:szCs w:val="24"/>
                    </w:rPr>
                  </w:pPr>
                  <w:r>
                    <w:rPr>
                      <w:rFonts w:eastAsia="宋体"/>
                      <w:color w:val="auto"/>
                      <w:szCs w:val="24"/>
                    </w:rPr>
                    <w:t>11.4</w:t>
                  </w:r>
                </w:p>
              </w:tc>
              <w:tc>
                <w:tcPr>
                  <w:tcW w:w="1538" w:type="dxa"/>
                  <w:vAlign w:val="center"/>
                </w:tcPr>
                <w:p>
                  <w:pPr>
                    <w:pStyle w:val="17"/>
                    <w:widowControl w:val="0"/>
                    <w:adjustRightInd/>
                    <w:snapToGrid/>
                    <w:spacing w:line="300" w:lineRule="exact"/>
                    <w:rPr>
                      <w:rFonts w:eastAsia="宋体"/>
                      <w:color w:val="auto"/>
                      <w:szCs w:val="24"/>
                    </w:rPr>
                  </w:pPr>
                  <w:r>
                    <w:rPr>
                      <w:rFonts w:eastAsia="宋体"/>
                      <w:color w:val="auto"/>
                      <w:szCs w:val="24"/>
                    </w:rPr>
                    <w:t>316</w:t>
                  </w:r>
                </w:p>
              </w:tc>
              <w:tc>
                <w:tcPr>
                  <w:tcW w:w="2028" w:type="dxa"/>
                  <w:vAlign w:val="center"/>
                </w:tcPr>
                <w:p>
                  <w:pPr>
                    <w:pStyle w:val="17"/>
                    <w:widowControl w:val="0"/>
                    <w:adjustRightInd/>
                    <w:snapToGrid/>
                    <w:spacing w:line="300" w:lineRule="exact"/>
                    <w:rPr>
                      <w:rFonts w:eastAsia="宋体"/>
                      <w:color w:val="auto"/>
                      <w:szCs w:val="24"/>
                    </w:rPr>
                  </w:pPr>
                  <w:r>
                    <w:rPr>
                      <w:rFonts w:eastAsia="宋体"/>
                      <w:color w:val="auto"/>
                      <w:szCs w:val="24"/>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vAlign w:val="center"/>
                </w:tcPr>
                <w:p>
                  <w:pPr>
                    <w:pStyle w:val="17"/>
                    <w:widowControl w:val="0"/>
                    <w:adjustRightInd/>
                    <w:snapToGrid/>
                    <w:spacing w:line="300" w:lineRule="exact"/>
                    <w:rPr>
                      <w:rFonts w:eastAsia="宋体"/>
                      <w:color w:val="auto"/>
                      <w:szCs w:val="24"/>
                    </w:rPr>
                  </w:pPr>
                  <w:r>
                    <w:rPr>
                      <w:rFonts w:eastAsia="宋体"/>
                      <w:color w:val="auto"/>
                      <w:szCs w:val="24"/>
                    </w:rPr>
                    <w:t>总 计</w:t>
                  </w:r>
                </w:p>
              </w:tc>
              <w:tc>
                <w:tcPr>
                  <w:tcW w:w="1242" w:type="dxa"/>
                  <w:vAlign w:val="center"/>
                </w:tcPr>
                <w:p>
                  <w:pPr>
                    <w:pStyle w:val="17"/>
                    <w:widowControl w:val="0"/>
                    <w:adjustRightInd/>
                    <w:snapToGrid/>
                    <w:spacing w:line="300" w:lineRule="exact"/>
                    <w:rPr>
                      <w:rFonts w:eastAsia="宋体"/>
                      <w:color w:val="auto"/>
                      <w:szCs w:val="24"/>
                    </w:rPr>
                  </w:pPr>
                  <w:r>
                    <w:rPr>
                      <w:rFonts w:eastAsia="宋体"/>
                      <w:color w:val="auto"/>
                      <w:szCs w:val="24"/>
                    </w:rPr>
                    <w:t>1983</w:t>
                  </w:r>
                </w:p>
              </w:tc>
              <w:tc>
                <w:tcPr>
                  <w:tcW w:w="1915" w:type="dxa"/>
                  <w:vAlign w:val="center"/>
                </w:tcPr>
                <w:p>
                  <w:pPr>
                    <w:pStyle w:val="17"/>
                    <w:widowControl w:val="0"/>
                    <w:adjustRightInd/>
                    <w:snapToGrid/>
                    <w:spacing w:line="300" w:lineRule="exact"/>
                    <w:rPr>
                      <w:rFonts w:eastAsia="宋体"/>
                      <w:color w:val="auto"/>
                      <w:szCs w:val="24"/>
                    </w:rPr>
                  </w:pPr>
                  <w:r>
                    <w:rPr>
                      <w:rFonts w:eastAsia="宋体"/>
                      <w:color w:val="auto"/>
                      <w:szCs w:val="24"/>
                    </w:rPr>
                    <w:t>100</w:t>
                  </w:r>
                </w:p>
              </w:tc>
              <w:tc>
                <w:tcPr>
                  <w:tcW w:w="1538" w:type="dxa"/>
                  <w:vAlign w:val="center"/>
                </w:tcPr>
                <w:p>
                  <w:pPr>
                    <w:pStyle w:val="17"/>
                    <w:widowControl w:val="0"/>
                    <w:adjustRightInd/>
                    <w:snapToGrid/>
                    <w:spacing w:line="300" w:lineRule="exact"/>
                    <w:rPr>
                      <w:rFonts w:eastAsia="宋体"/>
                      <w:color w:val="auto"/>
                      <w:szCs w:val="24"/>
                    </w:rPr>
                  </w:pPr>
                  <w:r>
                    <w:rPr>
                      <w:rFonts w:eastAsia="宋体"/>
                      <w:color w:val="auto"/>
                      <w:szCs w:val="24"/>
                    </w:rPr>
                    <w:t>2582</w:t>
                  </w:r>
                </w:p>
              </w:tc>
              <w:tc>
                <w:tcPr>
                  <w:tcW w:w="2028" w:type="dxa"/>
                  <w:vAlign w:val="center"/>
                </w:tcPr>
                <w:p>
                  <w:pPr>
                    <w:pStyle w:val="17"/>
                    <w:widowControl w:val="0"/>
                    <w:adjustRightInd/>
                    <w:snapToGrid/>
                    <w:spacing w:line="300" w:lineRule="exact"/>
                    <w:rPr>
                      <w:rFonts w:eastAsia="宋体"/>
                      <w:color w:val="auto"/>
                      <w:szCs w:val="24"/>
                    </w:rPr>
                  </w:pPr>
                  <w:r>
                    <w:rPr>
                      <w:rFonts w:eastAsia="宋体"/>
                      <w:color w:val="auto"/>
                      <w:szCs w:val="24"/>
                    </w:rPr>
                    <w:t>100</w:t>
                  </w:r>
                </w:p>
              </w:tc>
            </w:tr>
          </w:tbl>
          <w:p>
            <w:pPr>
              <w:bidi w:val="0"/>
              <w:ind w:firstLine="480" w:firstLineChars="200"/>
            </w:pPr>
            <w:r>
              <w:t>本工程主要拆迁内容为民房拆除，拆除方式一般采用机械拆除方式</w:t>
            </w:r>
            <w:r>
              <w:rPr>
                <w:rFonts w:hint="eastAsia"/>
              </w:rPr>
              <w:t>，</w:t>
            </w:r>
            <w:r>
              <w:t>没有爆破，附近敏感点多</w:t>
            </w:r>
            <w:r>
              <w:rPr>
                <w:highlight w:val="none"/>
              </w:rPr>
              <w:t>，</w:t>
            </w:r>
            <w:r>
              <w:rPr>
                <w:rFonts w:hint="eastAsia"/>
                <w:highlight w:val="none"/>
              </w:rPr>
              <w:t>本项目征地范围内马鞍社区约</w:t>
            </w:r>
            <w:r>
              <w:rPr>
                <w:rFonts w:hint="eastAsia"/>
                <w:highlight w:val="none"/>
                <w:lang w:val="en-US" w:eastAsia="zh-CN"/>
              </w:rPr>
              <w:t>45</w:t>
            </w:r>
            <w:r>
              <w:rPr>
                <w:rFonts w:hint="eastAsia"/>
                <w:highlight w:val="none"/>
              </w:rPr>
              <w:t>户居民为近期拆迁范围内。高福社区约</w:t>
            </w:r>
            <w:r>
              <w:rPr>
                <w:rFonts w:hint="eastAsia"/>
                <w:highlight w:val="none"/>
                <w:lang w:val="en-US" w:eastAsia="zh-CN"/>
              </w:rPr>
              <w:t>17</w:t>
            </w:r>
            <w:r>
              <w:rPr>
                <w:rFonts w:hint="eastAsia"/>
                <w:highlight w:val="none"/>
              </w:rPr>
              <w:t>户、马鞍社区约</w:t>
            </w:r>
            <w:r>
              <w:rPr>
                <w:rFonts w:hint="eastAsia"/>
                <w:highlight w:val="none"/>
                <w:lang w:val="en-US" w:eastAsia="zh-CN"/>
              </w:rPr>
              <w:t>90</w:t>
            </w:r>
            <w:r>
              <w:rPr>
                <w:rFonts w:hint="eastAsia"/>
                <w:highlight w:val="none"/>
              </w:rPr>
              <w:t>户居民为环境敏感目标，居民点</w:t>
            </w:r>
            <w:r>
              <w:rPr>
                <w:rFonts w:hint="eastAsia"/>
              </w:rPr>
              <w:t>距离拆迁建筑物最近距离约</w:t>
            </w:r>
            <w:r>
              <w:rPr>
                <w:rFonts w:hint="eastAsia"/>
                <w:lang w:val="en-US" w:eastAsia="zh-CN"/>
              </w:rPr>
              <w:t>20</w:t>
            </w:r>
            <w:r>
              <w:rPr>
                <w:rFonts w:hint="eastAsia"/>
              </w:rPr>
              <w:t>m，要求建设单位拆迁房屋时要加快拆迁速度，尽量缩短影响时间，拆迁时应告知周围群众，并进行现场封闭。在拆除民房时尽可能采用喷水作业，加大洒水频率，减少尘污染。因拆迁房屋时间短暂，如此在采取合理措施后，拆迁扬尘对周边居民影响较小。</w:t>
            </w:r>
          </w:p>
          <w:p>
            <w:pPr>
              <w:spacing w:line="240" w:lineRule="auto"/>
              <w:ind w:firstLine="482"/>
              <w:rPr>
                <w:rFonts w:hAnsi="Times New Roman" w:cs="Times New Roman"/>
                <w:b/>
                <w:szCs w:val="24"/>
              </w:rPr>
            </w:pPr>
            <w:r>
              <w:rPr>
                <w:rFonts w:hAnsi="Times New Roman" w:cs="Times New Roman"/>
                <w:b/>
                <w:szCs w:val="24"/>
              </w:rPr>
              <w:t>3、声环境影响分析</w:t>
            </w:r>
          </w:p>
          <w:p>
            <w:pPr>
              <w:bidi w:val="0"/>
              <w:ind w:firstLine="480" w:firstLineChars="200"/>
              <w:rPr>
                <w:u w:val="single"/>
              </w:rPr>
            </w:pPr>
            <w:r>
              <w:rPr>
                <w:rFonts w:hint="eastAsia"/>
                <w:u w:val="single"/>
              </w:rPr>
              <w:t>根据《环境影响评价技术导则 声环境》（HJ2.4-2009）中评价工作等级划分的基本原则，建设项目所在地为声环境功能区为《声环境质量标准》（GB3096—2008）2类区，不涉及特殊声环境保护目标；因此确定本工程声环境评价等级为二级</w:t>
            </w:r>
          </w:p>
          <w:p>
            <w:pPr>
              <w:bidi w:val="0"/>
              <w:ind w:firstLine="480" w:firstLineChars="200"/>
              <w:rPr>
                <w:u w:val="single"/>
              </w:rPr>
            </w:pPr>
            <w:r>
              <w:rPr>
                <w:u w:val="single"/>
              </w:rPr>
              <w:t>施工噪声主要为各种作业机械（破碎机、挖掘机等）和运输车辆施工产生的噪声。施工期噪声源为点声源，其传播过程中主要影响因素为距离衰减，其次为其他环境因素，预测模式为：</w:t>
            </w:r>
          </w:p>
          <w:p>
            <w:pPr>
              <w:pStyle w:val="16"/>
              <w:adjustRightInd w:val="0"/>
              <w:snapToGrid w:val="0"/>
              <w:ind w:firstLine="0" w:firstLineChars="0"/>
              <w:jc w:val="center"/>
              <w:rPr>
                <w:sz w:val="24"/>
                <w:u w:val="single"/>
              </w:rPr>
            </w:pPr>
            <w:r>
              <w:rPr>
                <w:sz w:val="24"/>
                <w:u w:val="single"/>
              </w:rPr>
              <w:t>L</w:t>
            </w:r>
            <w:r>
              <w:rPr>
                <w:sz w:val="24"/>
                <w:u w:val="single"/>
                <w:vertAlign w:val="subscript"/>
              </w:rPr>
              <w:t>受</w:t>
            </w:r>
            <w:r>
              <w:rPr>
                <w:sz w:val="24"/>
                <w:u w:val="single"/>
              </w:rPr>
              <w:t>=L</w:t>
            </w:r>
            <w:r>
              <w:rPr>
                <w:sz w:val="24"/>
                <w:u w:val="single"/>
                <w:vertAlign w:val="subscript"/>
              </w:rPr>
              <w:t>测</w:t>
            </w:r>
            <w:r>
              <w:rPr>
                <w:sz w:val="24"/>
                <w:u w:val="single"/>
              </w:rPr>
              <w:t>－20lg(r</w:t>
            </w:r>
            <w:r>
              <w:rPr>
                <w:sz w:val="24"/>
                <w:u w:val="single"/>
                <w:vertAlign w:val="subscript"/>
              </w:rPr>
              <w:t>受</w:t>
            </w:r>
            <w:r>
              <w:rPr>
                <w:sz w:val="24"/>
                <w:u w:val="single"/>
              </w:rPr>
              <w:t>/r</w:t>
            </w:r>
            <w:r>
              <w:rPr>
                <w:sz w:val="24"/>
                <w:u w:val="single"/>
                <w:vertAlign w:val="subscript"/>
              </w:rPr>
              <w:t>测</w:t>
            </w:r>
            <w:r>
              <w:rPr>
                <w:sz w:val="24"/>
                <w:u w:val="single"/>
              </w:rPr>
              <w:t>)-</w:t>
            </w:r>
            <w:r>
              <w:rPr>
                <w:rFonts w:hint="eastAsia" w:ascii="宋体" w:hAnsi="宋体" w:cs="宋体"/>
                <w:sz w:val="24"/>
                <w:u w:val="single"/>
              </w:rPr>
              <w:t>△</w:t>
            </w:r>
            <w:r>
              <w:rPr>
                <w:sz w:val="24"/>
                <w:u w:val="single"/>
              </w:rPr>
              <w:t>L</w:t>
            </w:r>
          </w:p>
          <w:p>
            <w:pPr>
              <w:pStyle w:val="16"/>
              <w:ind w:firstLine="480"/>
              <w:rPr>
                <w:sz w:val="24"/>
                <w:u w:val="single"/>
              </w:rPr>
            </w:pPr>
            <w:r>
              <w:rPr>
                <w:sz w:val="24"/>
                <w:u w:val="single"/>
              </w:rPr>
              <w:t>其中：L</w:t>
            </w:r>
            <w:r>
              <w:rPr>
                <w:sz w:val="24"/>
                <w:u w:val="single"/>
                <w:vertAlign w:val="subscript"/>
              </w:rPr>
              <w:t>受</w:t>
            </w:r>
            <w:r>
              <w:rPr>
                <w:sz w:val="24"/>
                <w:u w:val="single"/>
              </w:rPr>
              <w:t>──</w:t>
            </w:r>
            <w:r>
              <w:rPr>
                <w:u w:val="single"/>
              </w:rPr>
              <w:t>预测点的噪声值</w:t>
            </w:r>
            <w:r>
              <w:rPr>
                <w:sz w:val="24"/>
                <w:u w:val="single"/>
              </w:rPr>
              <w:t>，dB(A)</w:t>
            </w:r>
          </w:p>
          <w:p>
            <w:pPr>
              <w:pStyle w:val="16"/>
              <w:ind w:firstLine="1200" w:firstLineChars="500"/>
              <w:rPr>
                <w:sz w:val="24"/>
                <w:u w:val="single"/>
              </w:rPr>
            </w:pPr>
            <w:r>
              <w:rPr>
                <w:sz w:val="24"/>
                <w:u w:val="single"/>
              </w:rPr>
              <w:t>L</w:t>
            </w:r>
            <w:r>
              <w:rPr>
                <w:sz w:val="24"/>
                <w:u w:val="single"/>
                <w:vertAlign w:val="subscript"/>
              </w:rPr>
              <w:t>测</w:t>
            </w:r>
            <w:r>
              <w:rPr>
                <w:sz w:val="24"/>
                <w:u w:val="single"/>
              </w:rPr>
              <w:t>──源强监测点的噪声值，dB(A)</w:t>
            </w:r>
          </w:p>
          <w:p>
            <w:pPr>
              <w:pStyle w:val="16"/>
              <w:ind w:firstLine="1200" w:firstLineChars="500"/>
              <w:rPr>
                <w:sz w:val="24"/>
                <w:u w:val="single"/>
              </w:rPr>
            </w:pPr>
            <w:r>
              <w:rPr>
                <w:sz w:val="24"/>
                <w:u w:val="single"/>
              </w:rPr>
              <w:t>r</w:t>
            </w:r>
            <w:r>
              <w:rPr>
                <w:sz w:val="24"/>
                <w:u w:val="single"/>
                <w:vertAlign w:val="subscript"/>
              </w:rPr>
              <w:t>受</w:t>
            </w:r>
            <w:r>
              <w:rPr>
                <w:sz w:val="24"/>
                <w:u w:val="single"/>
              </w:rPr>
              <w:t>──预测点离源强距离，m</w:t>
            </w:r>
          </w:p>
          <w:p>
            <w:pPr>
              <w:pStyle w:val="16"/>
              <w:ind w:firstLine="1200" w:firstLineChars="500"/>
              <w:rPr>
                <w:sz w:val="24"/>
                <w:u w:val="single"/>
              </w:rPr>
            </w:pPr>
            <w:r>
              <w:rPr>
                <w:sz w:val="24"/>
                <w:u w:val="single"/>
              </w:rPr>
              <w:t>r</w:t>
            </w:r>
            <w:r>
              <w:rPr>
                <w:sz w:val="24"/>
                <w:u w:val="single"/>
                <w:vertAlign w:val="subscript"/>
              </w:rPr>
              <w:t>测</w:t>
            </w:r>
            <w:r>
              <w:rPr>
                <w:sz w:val="24"/>
                <w:u w:val="single"/>
              </w:rPr>
              <w:t>──源强监测点离源强距离，m</w:t>
            </w:r>
          </w:p>
          <w:p>
            <w:pPr>
              <w:pStyle w:val="16"/>
              <w:ind w:firstLine="1200" w:firstLineChars="500"/>
              <w:rPr>
                <w:sz w:val="24"/>
                <w:u w:val="single"/>
              </w:rPr>
            </w:pPr>
            <w:r>
              <w:rPr>
                <w:rFonts w:hint="eastAsia" w:ascii="宋体" w:hAnsi="宋体" w:cs="宋体"/>
                <w:sz w:val="24"/>
                <w:u w:val="single"/>
              </w:rPr>
              <w:t>△</w:t>
            </w:r>
            <w:r>
              <w:rPr>
                <w:sz w:val="24"/>
                <w:u w:val="single"/>
              </w:rPr>
              <w:t>L──其他环境因素引起的声级值的变化，dB(A)</w:t>
            </w:r>
          </w:p>
          <w:p>
            <w:pPr>
              <w:pStyle w:val="16"/>
              <w:ind w:firstLine="480"/>
              <w:rPr>
                <w:sz w:val="24"/>
                <w:u w:val="single"/>
              </w:rPr>
            </w:pPr>
            <w:r>
              <w:rPr>
                <w:sz w:val="24"/>
                <w:u w:val="single"/>
              </w:rPr>
              <w:t>在不考虑树林及建筑物的噪声衰减量的情况下，各类施工机械在不同距离处的噪声值（未与现状值叠加）预测结果见表</w:t>
            </w:r>
            <w:r>
              <w:rPr>
                <w:rFonts w:hint="eastAsia"/>
                <w:sz w:val="24"/>
                <w:u w:val="single"/>
              </w:rPr>
              <w:t>3</w:t>
            </w:r>
            <w:r>
              <w:rPr>
                <w:rFonts w:hint="eastAsia"/>
                <w:sz w:val="24"/>
                <w:u w:val="single"/>
                <w:lang w:val="en-US" w:eastAsia="zh-CN"/>
              </w:rPr>
              <w:t>7</w:t>
            </w:r>
            <w:r>
              <w:rPr>
                <w:rFonts w:hint="eastAsia"/>
                <w:sz w:val="24"/>
                <w:u w:val="single"/>
              </w:rPr>
              <w:t>。</w:t>
            </w:r>
          </w:p>
          <w:p>
            <w:pPr>
              <w:jc w:val="center"/>
              <w:rPr>
                <w:rFonts w:eastAsia="宋体"/>
                <w:b/>
                <w:bCs/>
                <w:u w:val="single"/>
              </w:rPr>
            </w:pPr>
            <w:r>
              <w:rPr>
                <w:rFonts w:eastAsia="宋体"/>
                <w:b/>
                <w:bCs/>
                <w:spacing w:val="4"/>
                <w:u w:val="single"/>
              </w:rPr>
              <w:t>表3</w:t>
            </w:r>
            <w:r>
              <w:rPr>
                <w:rFonts w:hint="eastAsia"/>
                <w:b/>
                <w:bCs/>
                <w:spacing w:val="4"/>
                <w:u w:val="single"/>
                <w:lang w:val="en-US" w:eastAsia="zh-CN"/>
              </w:rPr>
              <w:t>7</w:t>
            </w:r>
            <w:r>
              <w:rPr>
                <w:rFonts w:eastAsia="宋体"/>
                <w:b/>
                <w:bCs/>
                <w:spacing w:val="4"/>
                <w:u w:val="single"/>
              </w:rPr>
              <w:t xml:space="preserve">   施工机械作业期间噪声值 </w:t>
            </w:r>
            <w:r>
              <w:rPr>
                <w:rFonts w:eastAsia="宋体"/>
                <w:b/>
                <w:bCs/>
                <w:u w:val="single"/>
              </w:rPr>
              <w:t xml:space="preserve">   [dB(A)]</w:t>
            </w:r>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597"/>
              <w:gridCol w:w="740"/>
              <w:gridCol w:w="740"/>
              <w:gridCol w:w="742"/>
              <w:gridCol w:w="742"/>
              <w:gridCol w:w="742"/>
              <w:gridCol w:w="742"/>
              <w:gridCol w:w="740"/>
              <w:gridCol w:w="740"/>
              <w:gridCol w:w="7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989" w:type="pct"/>
                  <w:tcBorders>
                    <w:top w:val="single" w:color="000000" w:sz="8" w:space="0"/>
                    <w:left w:val="single" w:color="000000" w:sz="8" w:space="0"/>
                    <w:bottom w:val="single" w:color="000000" w:sz="8" w:space="0"/>
                    <w:right w:val="single" w:color="000000" w:sz="8" w:space="0"/>
                    <w:tl2br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距离(m)</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机械名称</w:t>
                  </w:r>
                </w:p>
              </w:tc>
              <w:tc>
                <w:tcPr>
                  <w:tcW w:w="33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20</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40</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60</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100</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200</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300</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400</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500</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装载机</w:t>
                  </w:r>
                </w:p>
              </w:tc>
              <w:tc>
                <w:tcPr>
                  <w:tcW w:w="33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90</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78</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72</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68</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64</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58</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52</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52</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压路机</w:t>
                  </w:r>
                </w:p>
              </w:tc>
              <w:tc>
                <w:tcPr>
                  <w:tcW w:w="33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86</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74</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68</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64</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60</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54</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51</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48</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46</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推土机</w:t>
                  </w:r>
                </w:p>
              </w:tc>
              <w:tc>
                <w:tcPr>
                  <w:tcW w:w="33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86</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74</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68</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64</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60</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54</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51</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48</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46</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平地机</w:t>
                  </w:r>
                </w:p>
              </w:tc>
              <w:tc>
                <w:tcPr>
                  <w:tcW w:w="33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90</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78</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72</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68</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64</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58</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52</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50</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挖掘机</w:t>
                  </w:r>
                </w:p>
              </w:tc>
              <w:tc>
                <w:tcPr>
                  <w:tcW w:w="33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84</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72</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66</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62</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58</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52</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49</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49</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44</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摊铺机</w:t>
                  </w:r>
                </w:p>
              </w:tc>
              <w:tc>
                <w:tcPr>
                  <w:tcW w:w="33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87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69</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65</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61</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55</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52</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49</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47</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拌和机</w:t>
                  </w:r>
                </w:p>
              </w:tc>
              <w:tc>
                <w:tcPr>
                  <w:tcW w:w="33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87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69</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65</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61</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55</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52</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49</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47</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8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多台设备</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同时施工</w:t>
                  </w:r>
                </w:p>
              </w:tc>
              <w:tc>
                <w:tcPr>
                  <w:tcW w:w="33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95</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83</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77</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73</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69</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63</w:t>
                  </w:r>
                </w:p>
              </w:tc>
              <w:tc>
                <w:tcPr>
                  <w:tcW w:w="41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59</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57</w:t>
                  </w:r>
                </w:p>
              </w:tc>
              <w:tc>
                <w:tcPr>
                  <w:tcW w:w="409"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55</w:t>
                  </w:r>
                </w:p>
              </w:tc>
              <w:tc>
                <w:tcPr>
                  <w:tcW w:w="40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000000"/>
                      <w:sz w:val="21"/>
                      <w:szCs w:val="21"/>
                    </w:rPr>
                  </w:pPr>
                  <w:r>
                    <w:rPr>
                      <w:color w:val="000000"/>
                      <w:sz w:val="21"/>
                      <w:szCs w:val="21"/>
                    </w:rPr>
                    <w:t>50</w:t>
                  </w:r>
                </w:p>
              </w:tc>
            </w:tr>
          </w:tbl>
          <w:p>
            <w:pPr>
              <w:bidi w:val="0"/>
              <w:ind w:firstLine="480" w:firstLineChars="200"/>
              <w:rPr>
                <w:u w:val="single"/>
              </w:rPr>
            </w:pPr>
            <w:r>
              <w:rPr>
                <w:u w:val="single"/>
              </w:rPr>
              <w:t>由于施工机械声压级较高，施工时对施工现场及周围环境将产生一定影响，同时对现场施工人员、拟建道路沿线两侧居民的生活环境造成影响。</w:t>
            </w:r>
          </w:p>
          <w:p>
            <w:pPr>
              <w:bidi w:val="0"/>
              <w:ind w:firstLine="480" w:firstLineChars="200"/>
              <w:rPr>
                <w:rFonts w:hint="eastAsia"/>
                <w:u w:val="single"/>
              </w:rPr>
            </w:pPr>
            <w:r>
              <w:rPr>
                <w:rFonts w:hint="eastAsia"/>
                <w:u w:val="single"/>
              </w:rPr>
              <w:t>从上表可以看出，单台机械设备在60m外产生的声级值均能满足施工场界噪声昼间标准要求，夜间场界施工噪声达标距离约300m。道路施工现场往往是多种施工机械同时进行作业，施工噪声的达标距离约昼间100m，夜间500m。</w:t>
            </w:r>
          </w:p>
          <w:p>
            <w:pPr>
              <w:bidi w:val="0"/>
              <w:ind w:firstLine="480" w:firstLineChars="200"/>
              <w:rPr>
                <w:rFonts w:hint="eastAsia"/>
                <w:u w:val="single"/>
              </w:rPr>
            </w:pPr>
            <w:r>
              <w:rPr>
                <w:u w:val="single"/>
              </w:rPr>
              <w:t>相对于营运期来说，施工期的噪声具有无规则、强度大的特点，对于某一时间段、某一区域的暂时性突出。随着施工活动的结束，施工噪声也就随之结束。但是施工期噪声对周围声环境的影响较大，超标较为严重，将干扰附近居民生活的安静环境，并有可能产等不良现象。</w:t>
            </w:r>
            <w:r>
              <w:rPr>
                <w:rFonts w:hint="eastAsia"/>
                <w:u w:val="single"/>
              </w:rPr>
              <w:t>通过采取合理安排施工时间，制定施工计划；合理布局施工现场；选用低噪声设备和工艺；尽可能避免大量高噪声设备同时施工，施工时间尽量安排在昼间，夜间（22：00～6：00）禁止施工；建议采用低噪声施工设备，设备安装消声减振措施</w:t>
            </w:r>
            <w:r>
              <w:rPr>
                <w:rFonts w:hint="eastAsia"/>
                <w:u w:val="single"/>
                <w:lang w:eastAsia="zh-CN"/>
              </w:rPr>
              <w:t>；</w:t>
            </w:r>
            <w:r>
              <w:rPr>
                <w:rFonts w:hint="eastAsia"/>
                <w:u w:val="single"/>
              </w:rPr>
              <w:t>对运输车辆定期维修、养护，减少或杜绝鸣笛，合理安排运输路线等措施，可将施工机械噪声对周围声环境的影响可得到有效控制</w:t>
            </w:r>
            <w:r>
              <w:rPr>
                <w:rFonts w:hint="eastAsia"/>
                <w:u w:val="single"/>
                <w:lang w:eastAsia="zh-CN"/>
              </w:rPr>
              <w:t>，使</w:t>
            </w:r>
            <w:r>
              <w:rPr>
                <w:rFonts w:hint="eastAsia"/>
                <w:u w:val="single"/>
              </w:rPr>
              <w:t>施工厂界噪声排放满足《建筑施工场界环境噪声排放标准》(GB12523-2011)，即昼间70dB(A)、夜间55dB(A)。</w:t>
            </w:r>
          </w:p>
          <w:p>
            <w:pPr>
              <w:bidi w:val="0"/>
              <w:ind w:firstLine="480" w:firstLineChars="200"/>
            </w:pPr>
            <w:r>
              <w:rPr>
                <w:rFonts w:hint="eastAsia"/>
              </w:rPr>
              <w:t>本项目实际施工期约为</w:t>
            </w:r>
            <w:r>
              <w:rPr>
                <w:rFonts w:hint="eastAsia"/>
                <w:lang w:val="en-US" w:eastAsia="zh-CN"/>
              </w:rPr>
              <w:t>28</w:t>
            </w:r>
            <w:r>
              <w:rPr>
                <w:rFonts w:hint="eastAsia"/>
              </w:rPr>
              <w:t>个月，施工噪声对声环境的影响属于短期的、暂时的，施工结束后就会自然消失。</w:t>
            </w:r>
          </w:p>
          <w:p>
            <w:pPr>
              <w:spacing w:line="240" w:lineRule="auto"/>
              <w:ind w:firstLine="482"/>
              <w:rPr>
                <w:rFonts w:hAnsi="Times New Roman" w:cs="Times New Roman"/>
                <w:b/>
                <w:szCs w:val="24"/>
              </w:rPr>
            </w:pPr>
            <w:r>
              <w:rPr>
                <w:rFonts w:hAnsi="Times New Roman" w:cs="Times New Roman"/>
                <w:b/>
                <w:szCs w:val="24"/>
              </w:rPr>
              <w:t>4、固体废物影响分析</w:t>
            </w:r>
          </w:p>
          <w:p>
            <w:pPr>
              <w:bidi w:val="0"/>
              <w:ind w:firstLine="480" w:firstLineChars="200"/>
            </w:pPr>
            <w:r>
              <w:t>施工期产生的路基清表。施工过程中产生的临时堆放土方、外运土方、表层土等固体废物的临时堆放对环境的影响主要表现在雨季防护不当造成水土流失的发生，起风时干燥土方可能会因防护不当起尘，影响大气环境。</w:t>
            </w:r>
          </w:p>
          <w:p>
            <w:pPr>
              <w:bidi w:val="0"/>
              <w:ind w:firstLine="480" w:firstLineChars="200"/>
              <w:rPr>
                <w:u w:val="single"/>
              </w:rPr>
            </w:pPr>
            <w:r>
              <w:rPr>
                <w:rFonts w:hint="eastAsia"/>
                <w:u w:val="single"/>
                <w:lang w:val="en-US" w:eastAsia="zh-CN"/>
              </w:rPr>
              <w:t>本项目中，</w:t>
            </w:r>
            <w:r>
              <w:rPr>
                <w:color w:val="000000"/>
                <w:sz w:val="24"/>
                <w:u w:val="single"/>
              </w:rPr>
              <w:t>全线挖方总量为</w:t>
            </w:r>
            <w:r>
              <w:rPr>
                <w:rFonts w:hint="eastAsia"/>
                <w:color w:val="000000"/>
                <w:sz w:val="24"/>
                <w:u w:val="single"/>
              </w:rPr>
              <w:t>95935.3</w:t>
            </w:r>
            <w:r>
              <w:rPr>
                <w:color w:val="000000"/>
                <w:sz w:val="24"/>
                <w:u w:val="single"/>
              </w:rPr>
              <w:t>m</w:t>
            </w:r>
            <w:r>
              <w:rPr>
                <w:color w:val="000000"/>
                <w:sz w:val="24"/>
                <w:u w:val="single"/>
                <w:vertAlign w:val="superscript"/>
              </w:rPr>
              <w:t>3</w:t>
            </w:r>
            <w:r>
              <w:rPr>
                <w:color w:val="000000"/>
                <w:sz w:val="24"/>
                <w:u w:val="single"/>
              </w:rPr>
              <w:t>，</w:t>
            </w:r>
            <w:r>
              <w:rPr>
                <w:rFonts w:hint="eastAsia"/>
                <w:color w:val="000000"/>
                <w:sz w:val="24"/>
                <w:u w:val="single"/>
                <w:lang w:eastAsia="zh-CN"/>
              </w:rPr>
              <w:t>全部回填，无弃土；清表总量93817.7</w:t>
            </w:r>
            <w:r>
              <w:rPr>
                <w:color w:val="000000"/>
                <w:sz w:val="24"/>
                <w:u w:val="single"/>
              </w:rPr>
              <w:t>m</w:t>
            </w:r>
            <w:r>
              <w:rPr>
                <w:color w:val="000000"/>
                <w:sz w:val="24"/>
                <w:u w:val="single"/>
                <w:vertAlign w:val="superscript"/>
              </w:rPr>
              <w:t>3</w:t>
            </w:r>
            <w:r>
              <w:rPr>
                <w:rFonts w:hint="eastAsia"/>
                <w:color w:val="000000"/>
                <w:sz w:val="24"/>
                <w:u w:val="single"/>
                <w:vertAlign w:val="baseline"/>
                <w:lang w:eastAsia="zh-CN"/>
              </w:rPr>
              <w:t>（</w:t>
            </w:r>
            <w:r>
              <w:rPr>
                <w:rFonts w:hint="eastAsia"/>
                <w:sz w:val="24"/>
                <w:u w:val="single"/>
                <w:lang w:eastAsia="zh-CN"/>
              </w:rPr>
              <w:t>主要</w:t>
            </w:r>
            <w:r>
              <w:rPr>
                <w:rFonts w:hint="eastAsia"/>
                <w:sz w:val="24"/>
                <w:u w:val="single"/>
              </w:rPr>
              <w:t>用于</w:t>
            </w:r>
            <w:r>
              <w:rPr>
                <w:rFonts w:hint="eastAsia"/>
                <w:sz w:val="24"/>
                <w:u w:val="single"/>
                <w:lang w:eastAsia="zh-CN"/>
              </w:rPr>
              <w:t>本项目</w:t>
            </w:r>
            <w:r>
              <w:rPr>
                <w:rFonts w:hint="eastAsia"/>
                <w:sz w:val="24"/>
                <w:u w:val="single"/>
              </w:rPr>
              <w:t>绿化带回填或边坡植草时覆土</w:t>
            </w:r>
            <w:r>
              <w:rPr>
                <w:rFonts w:hint="eastAsia"/>
                <w:color w:val="000000"/>
                <w:sz w:val="24"/>
                <w:u w:val="single"/>
                <w:vertAlign w:val="baseline"/>
                <w:lang w:eastAsia="zh-CN"/>
              </w:rPr>
              <w:t>）</w:t>
            </w:r>
            <w:r>
              <w:rPr>
                <w:color w:val="000000"/>
                <w:sz w:val="24"/>
                <w:u w:val="single"/>
              </w:rPr>
              <w:t>，填方总量为</w:t>
            </w:r>
            <w:r>
              <w:rPr>
                <w:rFonts w:hint="eastAsia"/>
                <w:color w:val="000000"/>
                <w:sz w:val="24"/>
                <w:u w:val="single"/>
                <w:lang w:val="en-US" w:eastAsia="zh-CN"/>
              </w:rPr>
              <w:t>505003</w:t>
            </w:r>
            <w:r>
              <w:rPr>
                <w:color w:val="000000"/>
                <w:sz w:val="24"/>
                <w:u w:val="single"/>
              </w:rPr>
              <w:t>m</w:t>
            </w:r>
            <w:r>
              <w:rPr>
                <w:color w:val="000000"/>
                <w:sz w:val="24"/>
                <w:u w:val="single"/>
                <w:vertAlign w:val="superscript"/>
              </w:rPr>
              <w:t>3</w:t>
            </w:r>
            <w:r>
              <w:rPr>
                <w:color w:val="000000"/>
                <w:sz w:val="24"/>
                <w:u w:val="single"/>
              </w:rPr>
              <w:t>，借方总量为</w:t>
            </w:r>
            <w:r>
              <w:rPr>
                <w:rFonts w:hint="eastAsia"/>
                <w:sz w:val="21"/>
                <w:szCs w:val="21"/>
                <w:u w:val="single"/>
                <w:lang w:val="en-US" w:eastAsia="zh-CN"/>
              </w:rPr>
              <w:t>431318.7</w:t>
            </w:r>
            <w:r>
              <w:rPr>
                <w:color w:val="000000"/>
                <w:sz w:val="24"/>
                <w:u w:val="single"/>
              </w:rPr>
              <w:t>m</w:t>
            </w:r>
            <w:r>
              <w:rPr>
                <w:color w:val="000000"/>
                <w:sz w:val="24"/>
                <w:u w:val="single"/>
                <w:vertAlign w:val="superscript"/>
              </w:rPr>
              <w:t>3</w:t>
            </w:r>
            <w:r>
              <w:rPr>
                <w:color w:val="000000"/>
                <w:sz w:val="24"/>
                <w:u w:val="single"/>
              </w:rPr>
              <w:t>(</w:t>
            </w:r>
            <w:r>
              <w:rPr>
                <w:rFonts w:hint="eastAsia"/>
                <w:color w:val="000000"/>
                <w:sz w:val="24"/>
                <w:u w:val="single"/>
                <w:lang w:eastAsia="zh-CN"/>
              </w:rPr>
              <w:t>其中</w:t>
            </w:r>
            <w:r>
              <w:rPr>
                <w:rFonts w:hint="eastAsia"/>
                <w:color w:val="000000"/>
                <w:sz w:val="24"/>
                <w:u w:val="single"/>
                <w:lang w:val="en-US" w:eastAsia="zh-CN"/>
              </w:rPr>
              <w:t>410053.7</w:t>
            </w:r>
            <w:r>
              <w:rPr>
                <w:color w:val="000000"/>
                <w:sz w:val="24"/>
                <w:u w:val="single"/>
              </w:rPr>
              <w:t>m</w:t>
            </w:r>
            <w:r>
              <w:rPr>
                <w:color w:val="000000"/>
                <w:sz w:val="24"/>
                <w:u w:val="single"/>
                <w:vertAlign w:val="superscript"/>
              </w:rPr>
              <w:t>3</w:t>
            </w:r>
            <w:r>
              <w:rPr>
                <w:rFonts w:hint="eastAsia"/>
                <w:color w:val="000000"/>
                <w:sz w:val="24"/>
                <w:u w:val="single"/>
                <w:lang w:eastAsia="zh-CN"/>
              </w:rPr>
              <w:t>来自大数据产业服务中心项目</w:t>
            </w:r>
            <w:r>
              <w:rPr>
                <w:color w:val="000000"/>
                <w:sz w:val="24"/>
                <w:u w:val="single"/>
              </w:rPr>
              <w:t>)，弃方总量为</w:t>
            </w:r>
            <w:r>
              <w:rPr>
                <w:rFonts w:hint="eastAsia"/>
                <w:color w:val="000000"/>
                <w:sz w:val="24"/>
                <w:u w:val="single"/>
                <w:lang w:val="en-US" w:eastAsia="zh-CN"/>
              </w:rPr>
              <w:t>20498</w:t>
            </w:r>
            <w:r>
              <w:rPr>
                <w:color w:val="000000"/>
                <w:sz w:val="24"/>
                <w:u w:val="single"/>
              </w:rPr>
              <w:t>m</w:t>
            </w:r>
            <w:r>
              <w:rPr>
                <w:color w:val="000000"/>
                <w:sz w:val="24"/>
                <w:u w:val="single"/>
                <w:vertAlign w:val="superscript"/>
              </w:rPr>
              <w:t>3</w:t>
            </w:r>
            <w:r>
              <w:rPr>
                <w:rFonts w:hint="eastAsia"/>
                <w:color w:val="000000"/>
                <w:sz w:val="24"/>
                <w:u w:val="single"/>
                <w:vertAlign w:val="baseline"/>
                <w:lang w:eastAsia="zh-CN"/>
              </w:rPr>
              <w:t>（主要为清淤）</w:t>
            </w:r>
            <w:r>
              <w:rPr>
                <w:rFonts w:hint="eastAsia"/>
                <w:color w:val="000000"/>
                <w:sz w:val="24"/>
                <w:u w:val="single"/>
                <w:lang w:eastAsia="zh-CN"/>
              </w:rPr>
              <w:t>。</w:t>
            </w:r>
            <w:r>
              <w:rPr>
                <w:u w:val="single"/>
              </w:rPr>
              <w:t>针对这些影响，需要采取必要的防护措施，包括临时堆场的防护措施如：修筑临时堆渣场围挡、四周开挖边沟防止水土流失、覆盖篷布等防护物资。</w:t>
            </w:r>
          </w:p>
          <w:p>
            <w:pPr>
              <w:bidi w:val="0"/>
              <w:ind w:firstLine="480" w:firstLineChars="200"/>
            </w:pPr>
            <w:r>
              <w:rPr>
                <w:rFonts w:hint="eastAsia"/>
              </w:rPr>
              <w:t>本项目的</w:t>
            </w:r>
            <w:r>
              <w:t>建筑垃圾</w:t>
            </w:r>
            <w:r>
              <w:rPr>
                <w:rFonts w:hint="eastAsia"/>
              </w:rPr>
              <w:t>主要为</w:t>
            </w:r>
            <w:r>
              <w:t>清理场地阶段</w:t>
            </w:r>
            <w:r>
              <w:rPr>
                <w:rFonts w:hint="eastAsia"/>
              </w:rPr>
              <w:t>产生的建筑垃圾及</w:t>
            </w:r>
            <w:r>
              <w:t>杂草树木，</w:t>
            </w:r>
            <w:r>
              <w:rPr>
                <w:rFonts w:hint="eastAsia"/>
              </w:rPr>
              <w:t>以及</w:t>
            </w:r>
            <w:r>
              <w:t>剩余的筑路材料</w:t>
            </w:r>
            <w:r>
              <w:rPr>
                <w:rFonts w:hint="eastAsia"/>
              </w:rPr>
              <w:t>，</w:t>
            </w:r>
            <w:r>
              <w:t>包括石料、砂、石灰、水泥、钢材、木料、预制构件等。</w:t>
            </w:r>
            <w:r>
              <w:rPr>
                <w:rFonts w:hint="eastAsia"/>
              </w:rPr>
              <w:t>为</w:t>
            </w:r>
            <w:r>
              <w:t>减轻建筑垃圾对环境的影响</w:t>
            </w:r>
            <w:r>
              <w:rPr>
                <w:rFonts w:hint="eastAsia"/>
              </w:rPr>
              <w:t>，</w:t>
            </w:r>
            <w:r>
              <w:t>对施工的建筑垃圾尽量做到回用，若不能回用，</w:t>
            </w:r>
            <w:r>
              <w:rPr>
                <w:rFonts w:hint="eastAsia"/>
              </w:rPr>
              <w:t>委托有资质的渣土公司处理</w:t>
            </w:r>
            <w:r>
              <w:t>。</w:t>
            </w:r>
          </w:p>
          <w:p>
            <w:pPr>
              <w:bidi w:val="0"/>
              <w:ind w:firstLine="480" w:firstLineChars="200"/>
            </w:pPr>
            <w:r>
              <w:rPr>
                <w:rFonts w:hint="eastAsia"/>
              </w:rPr>
              <w:t>生活垃圾应定点收集，集中管理，定期由环卫部门统一清运。</w:t>
            </w:r>
          </w:p>
          <w:p>
            <w:pPr>
              <w:bidi w:val="0"/>
              <w:ind w:firstLine="480" w:firstLineChars="200"/>
              <w:rPr>
                <w:u w:val="single"/>
              </w:rPr>
            </w:pPr>
            <w:r>
              <w:rPr>
                <w:rFonts w:hint="eastAsia"/>
              </w:rPr>
              <w:t>采取上述措施后，施工期固体废物均能得到合理处置，对外环境影响较小。</w:t>
            </w:r>
          </w:p>
          <w:p>
            <w:pPr>
              <w:spacing w:line="240" w:lineRule="auto"/>
              <w:ind w:firstLine="482"/>
              <w:rPr>
                <w:rFonts w:hAnsi="Times New Roman" w:cs="Times New Roman"/>
                <w:b/>
                <w:szCs w:val="24"/>
              </w:rPr>
            </w:pPr>
            <w:r>
              <w:rPr>
                <w:rFonts w:hAnsi="Times New Roman" w:cs="Times New Roman"/>
                <w:b/>
                <w:szCs w:val="24"/>
              </w:rPr>
              <w:t>5、生态环境影响分析</w:t>
            </w:r>
          </w:p>
          <w:p>
            <w:pPr>
              <w:adjustRightInd w:val="0"/>
              <w:snapToGrid w:val="0"/>
              <w:ind w:firstLine="482" w:firstLineChars="200"/>
              <w:rPr>
                <w:b/>
                <w:bCs/>
                <w:sz w:val="24"/>
              </w:rPr>
            </w:pPr>
            <w:r>
              <w:rPr>
                <w:b/>
                <w:bCs/>
                <w:sz w:val="24"/>
              </w:rPr>
              <w:t>5.1对土地利用的影响</w:t>
            </w:r>
          </w:p>
          <w:p>
            <w:pPr>
              <w:ind w:firstLine="560"/>
              <w:rPr>
                <w:sz w:val="24"/>
              </w:rPr>
            </w:pPr>
            <w:r>
              <w:rPr>
                <w:sz w:val="24"/>
              </w:rPr>
              <w:t>一般情况下，道路工程建设占地将对拟占用地原有宅基地等其它用地的土地利用性质造成的一定的扰动与破坏。项目土地现状类型主要为</w:t>
            </w:r>
            <w:r>
              <w:rPr>
                <w:rFonts w:hint="default"/>
              </w:rPr>
              <w:t>农田、水塘、丘陵、菜地、荒地</w:t>
            </w:r>
            <w:r>
              <w:rPr>
                <w:rFonts w:hint="eastAsia"/>
                <w:lang w:eastAsia="zh-CN"/>
              </w:rPr>
              <w:t>、</w:t>
            </w:r>
            <w:r>
              <w:rPr>
                <w:rFonts w:hint="default"/>
              </w:rPr>
              <w:t>林地</w:t>
            </w:r>
            <w:r>
              <w:rPr>
                <w:rFonts w:hint="eastAsia"/>
                <w:lang w:eastAsia="zh-CN"/>
              </w:rPr>
              <w:t>、</w:t>
            </w:r>
            <w:r>
              <w:rPr>
                <w:rFonts w:hint="default"/>
              </w:rPr>
              <w:t>建设用地</w:t>
            </w:r>
            <w:r>
              <w:rPr>
                <w:rFonts w:hint="eastAsia"/>
                <w:lang w:eastAsia="zh-CN"/>
              </w:rPr>
              <w:t>等</w:t>
            </w:r>
            <w:r>
              <w:rPr>
                <w:rFonts w:hint="eastAsia"/>
                <w:highlight w:val="none"/>
                <w:lang w:eastAsia="zh-CN"/>
              </w:rPr>
              <w:t>。本项目临时占地位于拟建纬四路南侧现状空地，该处地势较平坦，且为闲置空地，主要作为施工设备组装场地和机械存放地、材料仓库等。项目临时堆土场和临时施工场地距离周边水体和集中居民区相对较远，选址较合理。</w:t>
            </w:r>
            <w:r>
              <w:rPr>
                <w:sz w:val="24"/>
              </w:rPr>
              <w:t>本项目</w:t>
            </w:r>
            <w:r>
              <w:rPr>
                <w:rFonts w:hint="default"/>
              </w:rPr>
              <w:t>马鞍路</w:t>
            </w:r>
            <w:r>
              <w:rPr>
                <w:sz w:val="24"/>
              </w:rPr>
              <w:t>占地面积为</w:t>
            </w:r>
            <w:r>
              <w:rPr>
                <w:szCs w:val="28"/>
              </w:rPr>
              <w:t>23.60亩，</w:t>
            </w:r>
            <w:r>
              <w:rPr>
                <w:rFonts w:hint="default"/>
              </w:rPr>
              <w:t>桃园路</w:t>
            </w:r>
            <w:r>
              <w:rPr>
                <w:sz w:val="24"/>
              </w:rPr>
              <w:t>占地面积为</w:t>
            </w:r>
            <w:r>
              <w:rPr>
                <w:szCs w:val="28"/>
              </w:rPr>
              <w:t>54.10亩</w:t>
            </w:r>
            <w:r>
              <w:rPr>
                <w:rFonts w:hint="eastAsia"/>
                <w:szCs w:val="28"/>
                <w:lang w:eastAsia="zh-CN"/>
              </w:rPr>
              <w:t>，</w:t>
            </w:r>
            <w:r>
              <w:rPr>
                <w:rFonts w:hint="default"/>
              </w:rPr>
              <w:t>纬四路</w:t>
            </w:r>
            <w:r>
              <w:rPr>
                <w:sz w:val="24"/>
              </w:rPr>
              <w:t>占地面积为</w:t>
            </w:r>
            <w:r>
              <w:rPr>
                <w:szCs w:val="28"/>
              </w:rPr>
              <w:t>18.80亩，</w:t>
            </w:r>
            <w:r>
              <w:rPr>
                <w:rFonts w:hint="default"/>
              </w:rPr>
              <w:t>百合路</w:t>
            </w:r>
            <w:r>
              <w:rPr>
                <w:rFonts w:hint="eastAsia"/>
                <w:lang w:eastAsia="zh-CN"/>
              </w:rPr>
              <w:t>一期工程</w:t>
            </w:r>
            <w:r>
              <w:rPr>
                <w:rFonts w:hint="default"/>
              </w:rPr>
              <w:t>（马鞍路-云龙大道）</w:t>
            </w:r>
            <w:r>
              <w:rPr>
                <w:sz w:val="24"/>
              </w:rPr>
              <w:t>占地面积为</w:t>
            </w:r>
            <w:r>
              <w:rPr>
                <w:szCs w:val="28"/>
              </w:rPr>
              <w:t>19.90亩，百合路二期工程（云峰大道-马鞍路</w:t>
            </w:r>
            <w:r>
              <w:rPr>
                <w:rFonts w:hint="eastAsia"/>
                <w:szCs w:val="28"/>
                <w:lang w:eastAsia="zh-CN"/>
              </w:rPr>
              <w:t>）</w:t>
            </w:r>
            <w:r>
              <w:rPr>
                <w:sz w:val="24"/>
              </w:rPr>
              <w:t>占地面积为</w:t>
            </w:r>
            <w:r>
              <w:rPr>
                <w:szCs w:val="28"/>
              </w:rPr>
              <w:t>30.30亩</w:t>
            </w:r>
            <w:r>
              <w:rPr>
                <w:rFonts w:hint="eastAsia"/>
                <w:szCs w:val="28"/>
                <w:lang w:eastAsia="zh-CN"/>
              </w:rPr>
              <w:t>。</w:t>
            </w:r>
            <w:r>
              <w:rPr>
                <w:sz w:val="24"/>
              </w:rPr>
              <w:t>建设过程中将这些地表土暂存用作道路绿化，对土壤养分进行了回收，以大大减轻土壤肥力的损失量。本项目建设虽然对道路占地沿线的现状土地利用性质造成一定的占用，但其建设符合片区内道路规划，不会对片区内土地利用产生不利影响。</w:t>
            </w:r>
          </w:p>
          <w:p>
            <w:pPr>
              <w:pStyle w:val="14"/>
              <w:adjustRightInd w:val="0"/>
              <w:snapToGrid w:val="0"/>
              <w:spacing w:after="0"/>
              <w:ind w:firstLine="482" w:firstLineChars="200"/>
              <w:rPr>
                <w:b/>
                <w:bCs/>
                <w:sz w:val="24"/>
              </w:rPr>
            </w:pPr>
            <w:r>
              <w:rPr>
                <w:b/>
                <w:bCs/>
                <w:sz w:val="24"/>
              </w:rPr>
              <w:t>5.2对植被与动物的影响</w:t>
            </w:r>
          </w:p>
          <w:p>
            <w:pPr>
              <w:bidi w:val="0"/>
              <w:ind w:firstLine="480" w:firstLineChars="200"/>
            </w:pPr>
            <w:r>
              <w:t>（1）植被</w:t>
            </w:r>
          </w:p>
          <w:p>
            <w:pPr>
              <w:bidi w:val="0"/>
              <w:ind w:firstLine="480" w:firstLineChars="200"/>
            </w:pPr>
            <w:r>
              <w:t>本项目建设过程中，进行路基填挖时将破坏原有的地形地貌，使地表裸露。片区内原有的植被覆盖均将因城市发展要求进行调整与重塑，本项目建设只是</w:t>
            </w:r>
            <w:r>
              <w:rPr>
                <w:rFonts w:hint="eastAsia"/>
              </w:rPr>
              <w:t>石峰区</w:t>
            </w:r>
            <w:r>
              <w:t>基础工程建设的一部分，随着本工程施工期结束及道路沿线景观植被人工恢复，项目区植被覆盖将得到逐步恢复与改善。</w:t>
            </w:r>
          </w:p>
          <w:p>
            <w:pPr>
              <w:bidi w:val="0"/>
              <w:ind w:firstLine="480" w:firstLineChars="200"/>
            </w:pPr>
            <w:r>
              <w:t>（2）动物</w:t>
            </w:r>
          </w:p>
          <w:p>
            <w:pPr>
              <w:bidi w:val="0"/>
              <w:ind w:firstLine="480" w:firstLineChars="200"/>
            </w:pPr>
            <w:r>
              <w:t>本项目所在区域人类活动频繁，开发强度大，野生动物物种、数量均不大，主要是适应这种环境的常见种类，无珍稀保护野生动物。故工程建设过程虽对动物活动产生了一定程度的不利影响，但不会改变其种群结构，其种群数量也不会因本项目建设而受到大的影响。</w:t>
            </w:r>
          </w:p>
          <w:p>
            <w:pPr>
              <w:pStyle w:val="14"/>
              <w:adjustRightInd w:val="0"/>
              <w:snapToGrid w:val="0"/>
              <w:spacing w:after="0"/>
              <w:ind w:firstLine="482" w:firstLineChars="200"/>
              <w:rPr>
                <w:b/>
                <w:bCs/>
                <w:sz w:val="24"/>
              </w:rPr>
            </w:pPr>
            <w:r>
              <w:rPr>
                <w:b/>
                <w:bCs/>
                <w:sz w:val="24"/>
              </w:rPr>
              <w:t>5.3对景观环境的影响</w:t>
            </w:r>
          </w:p>
          <w:p>
            <w:pPr>
              <w:bidi w:val="0"/>
              <w:ind w:firstLine="480" w:firstLineChars="200"/>
            </w:pPr>
            <w:r>
              <w:t>（1）主体工程施工对景观环境的影响</w:t>
            </w:r>
          </w:p>
          <w:p>
            <w:pPr>
              <w:bidi w:val="0"/>
              <w:ind w:firstLine="480" w:firstLineChars="200"/>
            </w:pPr>
            <w:r>
              <w:t>由于工程施工对地表植被的破坏和工程区土壤的扰动，在雨季松散裸露的坡面易形成水土流失，导致区域土壤侵蚀模数增大，对区域景观环境质量产生影响。而在旱季，松散的地表在有风和车辆行驶时易形成扬尘，扬尘覆盖在施工场植被及附近建筑表面，使周围景观的美度降低。</w:t>
            </w:r>
          </w:p>
          <w:p>
            <w:pPr>
              <w:bidi w:val="0"/>
              <w:ind w:firstLine="480" w:firstLineChars="200"/>
            </w:pPr>
            <w:r>
              <w:t>（2）临时弃土对景观环境的影响</w:t>
            </w:r>
          </w:p>
          <w:p>
            <w:pPr>
              <w:bidi w:val="0"/>
              <w:ind w:firstLine="480" w:firstLineChars="200"/>
            </w:pPr>
            <w:r>
              <w:t>临时弃土的产生与无序堆置，将直接破坏选址的原地形地貌及植被。临时弃土无序堆置过程中形成突兀、不规则的堆状物，与周围景观形成反差。同时，临时弃土及运输作业过程中，旱季易形成扬尘，雨季易产生土壤侵蚀，对周围景观产生破坏和影响。</w:t>
            </w:r>
          </w:p>
          <w:p>
            <w:pPr>
              <w:pStyle w:val="14"/>
              <w:adjustRightInd w:val="0"/>
              <w:snapToGrid w:val="0"/>
              <w:spacing w:after="0"/>
              <w:ind w:firstLine="482" w:firstLineChars="200"/>
              <w:rPr>
                <w:b/>
                <w:bCs/>
                <w:sz w:val="24"/>
              </w:rPr>
            </w:pPr>
            <w:r>
              <w:rPr>
                <w:b/>
                <w:bCs/>
                <w:sz w:val="24"/>
              </w:rPr>
              <w:t>5.4水土流失影响分析</w:t>
            </w:r>
          </w:p>
          <w:p>
            <w:pPr>
              <w:bidi w:val="0"/>
              <w:ind w:firstLine="480" w:firstLineChars="200"/>
            </w:pPr>
            <w:r>
              <w:t>本项目用地范围内生态主要为</w:t>
            </w:r>
            <w:r>
              <w:rPr>
                <w:rFonts w:hint="eastAsia"/>
              </w:rPr>
              <w:t>农田、水塘、丘陵、菜地、荒地、林地</w:t>
            </w:r>
            <w:r>
              <w:rPr>
                <w:rFonts w:hint="eastAsia"/>
                <w:lang w:eastAsia="zh-CN"/>
              </w:rPr>
              <w:t>、</w:t>
            </w:r>
            <w:r>
              <w:rPr>
                <w:rFonts w:hint="eastAsia"/>
              </w:rPr>
              <w:t>建设用地</w:t>
            </w:r>
            <w:r>
              <w:rPr>
                <w:rFonts w:hint="eastAsia"/>
                <w:lang w:eastAsia="zh-CN"/>
              </w:rPr>
              <w:t>等</w:t>
            </w:r>
            <w:r>
              <w:t>。根据现状调查，本项目区内水土流失以水力侵蚀为主，主要形式为面蚀。</w:t>
            </w:r>
          </w:p>
          <w:p>
            <w:pPr>
              <w:bidi w:val="0"/>
              <w:ind w:firstLine="480" w:firstLineChars="200"/>
            </w:pPr>
            <w:r>
              <w:t>（1）水土流失产生的原因</w:t>
            </w:r>
          </w:p>
          <w:p>
            <w:pPr>
              <w:bidi w:val="0"/>
              <w:ind w:firstLine="480" w:firstLineChars="200"/>
            </w:pPr>
            <w:r>
              <w:t>本项目区地处亚热带湿润气候区，年均降雨量1389.8mm，降雨集中发生在4~8月，约占全年总降雨量的69.3%，降雨强度大、雨量集中为项目区土壤侵蚀的发生创造了外营力。</w:t>
            </w:r>
          </w:p>
          <w:p>
            <w:pPr>
              <w:bidi w:val="0"/>
              <w:ind w:firstLine="480" w:firstLineChars="200"/>
            </w:pPr>
            <w:r>
              <w:t>施工道路的修建多数采用半挖半填的方式，使得土壤固结能力降低，土地裸露面积加大，清除、压埋、损坏沿线植被，降低了原地貌水土保持功能；在施工过程中道路路基由沙土、石料堆垫经过分层压实后形成，虽然内部结构紧密，但边坡表层结构比较松散，易发生片蚀、浅沟蚀等形式的水土流失。</w:t>
            </w:r>
          </w:p>
          <w:p>
            <w:pPr>
              <w:bidi w:val="0"/>
              <w:ind w:firstLine="480" w:firstLineChars="200"/>
            </w:pPr>
            <w:r>
              <w:t>本工程施工准备期、施工期预测时段根据各预测分区单元工程的施工进度、工期安排等分施工单元分别确定，对不同的区域采取不同的预测时段，各单元的预测时段结合产生水土流失的季节，按最不利的影响时段考虑，施工时段超过雨季时段的按全年计算，未超过雨季时段（本项目所在区域雨季为4~8月，历时5个月）的按占雨季长度比例计算。自然恢复期按项目区气候和土壤条件取1年。</w:t>
            </w:r>
          </w:p>
          <w:p>
            <w:pPr>
              <w:bidi w:val="0"/>
              <w:ind w:firstLine="480" w:firstLineChars="200"/>
            </w:pPr>
            <w:r>
              <w:t>（2）水土流失量</w:t>
            </w:r>
          </w:p>
          <w:p>
            <w:pPr>
              <w:bidi w:val="0"/>
              <w:ind w:firstLine="480" w:firstLineChars="200"/>
            </w:pPr>
            <w:r>
              <w:t>水土流失与测量采取以下公式进行计算：</w:t>
            </w:r>
          </w:p>
          <w:p>
            <w:pPr>
              <w:bidi w:val="0"/>
              <w:ind w:firstLine="480" w:firstLineChars="200"/>
            </w:pPr>
            <w:r>
              <w:t>水土流失侵蚀量=水土侵蚀模数×水土流失面积×年限</w:t>
            </w:r>
          </w:p>
          <w:p>
            <w:pPr>
              <w:bidi w:val="0"/>
              <w:ind w:firstLine="480" w:firstLineChars="200"/>
            </w:pPr>
            <w:r>
              <w:t>经计算，项目新增征地面积为</w:t>
            </w:r>
            <w:r>
              <w:rPr>
                <w:rFonts w:hint="eastAsia"/>
                <w:lang w:val="en-US" w:eastAsia="zh-CN"/>
              </w:rPr>
              <w:t>146.7</w:t>
            </w:r>
            <w:r>
              <w:t>亩，按株洲地区施工期丘陵地水土流失侵蚀模数5000t/km</w:t>
            </w:r>
            <w:r>
              <w:rPr>
                <w:vertAlign w:val="superscript"/>
              </w:rPr>
              <w:t>2</w:t>
            </w:r>
            <w:r>
              <w:t>•a估算，本项目造成的年水土流失量为</w:t>
            </w:r>
            <w:r>
              <w:rPr>
                <w:rFonts w:hint="eastAsia"/>
                <w:lang w:val="en-US" w:eastAsia="zh-CN"/>
              </w:rPr>
              <w:t>489.0</w:t>
            </w:r>
            <w:r>
              <w:t>t/a。</w:t>
            </w:r>
          </w:p>
          <w:p>
            <w:pPr>
              <w:bidi w:val="0"/>
              <w:ind w:firstLine="480" w:firstLineChars="200"/>
            </w:pPr>
            <w:r>
              <w:t>（3）可能造成水土流失危害预测</w:t>
            </w:r>
          </w:p>
          <w:p>
            <w:pPr>
              <w:bidi w:val="0"/>
              <w:ind w:firstLine="480" w:firstLineChars="200"/>
            </w:pPr>
            <w:r>
              <w:t>水土流失危害往往具有潜在性，若形成水土流失危害后才进行治理，不但会造成土地资源破坏和土地生产力下降、河流水系淤积等问题，而且治理难度大、费用高、效果差。如果没有做到</w:t>
            </w:r>
            <w:r>
              <w:rPr>
                <w:rFonts w:hint="eastAsia"/>
              </w:rPr>
              <w:t>“</w:t>
            </w:r>
            <w:r>
              <w:t>三同时</w:t>
            </w:r>
            <w:r>
              <w:rPr>
                <w:rFonts w:hint="eastAsia"/>
              </w:rPr>
              <w:t>”</w:t>
            </w:r>
            <w:r>
              <w:t>，设计、施工中没有充分考虑相关水保措施，就本段项目而言，可能造成以下水土流失危害：</w:t>
            </w:r>
          </w:p>
          <w:p>
            <w:pPr>
              <w:bidi w:val="0"/>
              <w:ind w:firstLine="480" w:firstLineChars="200"/>
            </w:pPr>
            <w:r>
              <w:rPr>
                <w:rFonts w:hint="eastAsia"/>
              </w:rPr>
              <w:t>①</w:t>
            </w:r>
            <w:r>
              <w:t xml:space="preserve"> 对项目区生态环境可能造成的危害</w:t>
            </w:r>
          </w:p>
          <w:p>
            <w:pPr>
              <w:bidi w:val="0"/>
              <w:ind w:firstLine="480" w:firstLineChars="200"/>
            </w:pPr>
            <w:r>
              <w:t>工程施工扰动地表面积和土石方工程将损坏部分植被，扰动原地貌，形成大面积的开挖坡面和裸露地表，植被破坏后不易恢复，减少了植被覆盖率，改变了土体结构，破坏了土体的自然平衡。</w:t>
            </w:r>
          </w:p>
          <w:p>
            <w:pPr>
              <w:bidi w:val="0"/>
              <w:ind w:firstLine="480" w:firstLineChars="200"/>
            </w:pPr>
            <w:r>
              <w:rPr>
                <w:rFonts w:hint="eastAsia"/>
              </w:rPr>
              <w:t>②</w:t>
            </w:r>
            <w:r>
              <w:t xml:space="preserve"> 对土地资源可能造成破坏</w:t>
            </w:r>
          </w:p>
          <w:p>
            <w:pPr>
              <w:bidi w:val="0"/>
              <w:ind w:firstLine="480" w:firstLineChars="200"/>
            </w:pPr>
            <w:r>
              <w:t>工程建设破坏了地表植被，使土壤裸露，表土失去有效保护层，影响土壤的含水量、透水性、抗蚀性、抗冲性等，造成土壤质地的下降，土壤中腐殖质、有机质含量明显降低，肥力下降，生长条件恶化，进而造成土地生产力迅速衰减。</w:t>
            </w:r>
          </w:p>
          <w:p>
            <w:pPr>
              <w:pStyle w:val="14"/>
              <w:tabs>
                <w:tab w:val="left" w:pos="3960"/>
              </w:tabs>
              <w:adjustRightInd w:val="0"/>
              <w:snapToGrid w:val="0"/>
              <w:spacing w:after="0"/>
              <w:ind w:firstLine="482" w:firstLineChars="200"/>
              <w:rPr>
                <w:b/>
                <w:bCs/>
                <w:sz w:val="24"/>
                <w:u w:val="single"/>
              </w:rPr>
            </w:pPr>
            <w:r>
              <w:rPr>
                <w:b/>
                <w:bCs/>
                <w:sz w:val="24"/>
                <w:u w:val="single"/>
              </w:rPr>
              <w:t>5.</w:t>
            </w:r>
            <w:r>
              <w:rPr>
                <w:rFonts w:hint="eastAsia"/>
                <w:b/>
                <w:bCs/>
                <w:sz w:val="24"/>
                <w:u w:val="single"/>
              </w:rPr>
              <w:t>5临时堆场环境合理性分析</w:t>
            </w:r>
            <w:r>
              <w:rPr>
                <w:b/>
                <w:bCs/>
                <w:sz w:val="24"/>
                <w:u w:val="single"/>
              </w:rPr>
              <w:tab/>
            </w:r>
          </w:p>
          <w:p>
            <w:pPr>
              <w:bidi w:val="0"/>
              <w:ind w:firstLine="480" w:firstLineChars="200"/>
              <w:rPr>
                <w:u w:val="single"/>
              </w:rPr>
            </w:pPr>
            <w:r>
              <w:rPr>
                <w:rFonts w:hint="eastAsia"/>
                <w:u w:val="single"/>
              </w:rPr>
              <w:t>本项目表土为临时堆存，用于后期道路边坡绿化。</w:t>
            </w:r>
            <w:r>
              <w:rPr>
                <w:rFonts w:hint="eastAsia"/>
                <w:highlight w:val="none"/>
                <w:u w:val="single"/>
              </w:rPr>
              <w:t>表土堆置场位于主体工程路基边缘土路肩范围内，</w:t>
            </w:r>
            <w:r>
              <w:rPr>
                <w:rFonts w:hint="eastAsia"/>
                <w:u w:val="single"/>
              </w:rPr>
              <w:t>此区域位于永久占地范围，减少了挖填调运距离和新增占地。临时堆置的表土较松散，对表土堆场采取相应的扬尘防治措施和水土流失防治措施后，对区域环境影响较小，表土堆场选址较为合理。拟采取的具体措施如下：</w:t>
            </w:r>
          </w:p>
          <w:p>
            <w:pPr>
              <w:bidi w:val="0"/>
              <w:ind w:firstLine="480" w:firstLineChars="200"/>
              <w:rPr>
                <w:u w:val="single"/>
              </w:rPr>
            </w:pPr>
            <w:r>
              <w:rPr>
                <w:rFonts w:hint="eastAsia" w:ascii="宋体" w:hAnsi="宋体" w:eastAsia="宋体" w:cs="宋体"/>
                <w:u w:val="single"/>
              </w:rPr>
              <w:t>①</w:t>
            </w:r>
            <w:r>
              <w:rPr>
                <w:rFonts w:hint="eastAsia"/>
                <w:u w:val="single"/>
              </w:rPr>
              <w:t>在堆置范围周边兴修临时排水并结合临时沉砂池。</w:t>
            </w:r>
          </w:p>
          <w:p>
            <w:pPr>
              <w:bidi w:val="0"/>
              <w:ind w:firstLine="480" w:firstLineChars="200"/>
              <w:rPr>
                <w:u w:val="single"/>
              </w:rPr>
            </w:pPr>
            <w:r>
              <w:rPr>
                <w:rFonts w:hint="eastAsia" w:ascii="宋体" w:hAnsi="宋体" w:eastAsia="宋体" w:cs="宋体"/>
                <w:u w:val="single"/>
              </w:rPr>
              <w:t>②</w:t>
            </w:r>
            <w:r>
              <w:rPr>
                <w:rFonts w:hint="eastAsia"/>
                <w:u w:val="single"/>
              </w:rPr>
              <w:t>在堆置区周边先采用袋装土垒砌，梯形结构。</w:t>
            </w:r>
          </w:p>
          <w:p>
            <w:pPr>
              <w:bidi w:val="0"/>
              <w:ind w:firstLine="480" w:firstLineChars="200"/>
              <w:rPr>
                <w:u w:val="single"/>
              </w:rPr>
            </w:pPr>
            <w:r>
              <w:rPr>
                <w:rFonts w:hint="eastAsia"/>
                <w:u w:val="single"/>
              </w:rPr>
              <w:fldChar w:fldCharType="begin"/>
            </w:r>
            <w:r>
              <w:rPr>
                <w:rFonts w:hint="eastAsia"/>
                <w:u w:val="single"/>
              </w:rPr>
              <w:instrText xml:space="preserve"> = 3 \* GB3 </w:instrText>
            </w:r>
            <w:r>
              <w:rPr>
                <w:rFonts w:hint="eastAsia"/>
                <w:u w:val="single"/>
              </w:rPr>
              <w:fldChar w:fldCharType="separate"/>
            </w:r>
            <w:r>
              <w:rPr>
                <w:rFonts w:hint="eastAsia"/>
                <w:u w:val="single"/>
              </w:rPr>
              <w:t>③</w:t>
            </w:r>
            <w:r>
              <w:rPr>
                <w:rFonts w:hint="eastAsia"/>
                <w:u w:val="single"/>
              </w:rPr>
              <w:fldChar w:fldCharType="end"/>
            </w:r>
            <w:r>
              <w:rPr>
                <w:rFonts w:hint="eastAsia"/>
                <w:u w:val="single"/>
              </w:rPr>
              <w:t>表土堆置后，采用防尘网覆盖，减少粉尘飞扬，并避免松散表土被雨水冲刷，造成水土流失。</w:t>
            </w:r>
          </w:p>
          <w:p>
            <w:pPr>
              <w:bidi w:val="0"/>
              <w:ind w:firstLine="480" w:firstLineChars="200"/>
            </w:pPr>
            <w:r>
              <w:rPr>
                <w:rFonts w:hint="eastAsia"/>
                <w:u w:val="single"/>
              </w:rPr>
              <w:t>④表土利用后立即进行恢复。</w:t>
            </w:r>
          </w:p>
          <w:p>
            <w:pPr>
              <w:spacing w:line="240" w:lineRule="auto"/>
              <w:ind w:firstLine="482"/>
              <w:rPr>
                <w:rFonts w:hAnsi="Times New Roman" w:cs="Times New Roman"/>
                <w:b/>
                <w:szCs w:val="24"/>
              </w:rPr>
            </w:pPr>
            <w:r>
              <w:rPr>
                <w:rFonts w:hAnsi="Times New Roman" w:cs="Times New Roman"/>
                <w:b/>
                <w:szCs w:val="24"/>
              </w:rPr>
              <w:t>6、社会环境影响分析</w:t>
            </w:r>
          </w:p>
          <w:p>
            <w:pPr>
              <w:autoSpaceDE w:val="0"/>
              <w:autoSpaceDN w:val="0"/>
              <w:ind w:firstLine="480" w:firstLineChars="200"/>
              <w:rPr>
                <w:color w:val="000000"/>
                <w:sz w:val="24"/>
              </w:rPr>
            </w:pPr>
            <w:r>
              <w:rPr>
                <w:rFonts w:hint="eastAsia"/>
                <w:sz w:val="24"/>
                <w:u w:val="none"/>
              </w:rPr>
              <w:t>施工产生的社会环境影响主要为：对沿线基础设施的影响、征地影响及区域景观影响。道路在建设过程中必将对居民出行带来一定的不便，项目建设还将涉及到部分管线改造，会引起短时的停电，停水，停气等，对居民生活和工作将造成一定的影响。本项目征收土地</w:t>
            </w:r>
            <w:r>
              <w:rPr>
                <w:rFonts w:hint="eastAsia"/>
                <w:sz w:val="24"/>
                <w:u w:val="none"/>
                <w:lang w:val="en-US" w:eastAsia="zh-CN"/>
              </w:rPr>
              <w:t>146.7亩</w:t>
            </w:r>
            <w:r>
              <w:rPr>
                <w:rFonts w:hint="eastAsia"/>
                <w:sz w:val="24"/>
                <w:u w:val="none"/>
              </w:rPr>
              <w:t>，征地范围内主要为</w:t>
            </w:r>
            <w:r>
              <w:rPr>
                <w:rFonts w:hint="eastAsia"/>
              </w:rPr>
              <w:t>农田、水塘、丘陵、菜地、荒地、部分林地与部分建设用地</w:t>
            </w:r>
            <w:r>
              <w:rPr>
                <w:rFonts w:hint="eastAsia"/>
                <w:sz w:val="24"/>
                <w:u w:val="none"/>
              </w:rPr>
              <w:t>。</w:t>
            </w:r>
            <w:r>
              <w:rPr>
                <w:color w:val="000000"/>
                <w:sz w:val="24"/>
              </w:rPr>
              <w:t>施工期物料运输产生的扬尘、交通量增加、路面破坏、泥泞引起交通堵塞导致出行不便等。运行期的影响主要体现在局部路段交通噪声和大气污染所引起的污染等</w:t>
            </w:r>
            <w:r>
              <w:rPr>
                <w:rFonts w:hint="eastAsia"/>
                <w:color w:val="000000"/>
                <w:sz w:val="24"/>
                <w:lang w:eastAsia="zh-CN"/>
              </w:rPr>
              <w:t>。</w:t>
            </w:r>
            <w:r>
              <w:rPr>
                <w:rFonts w:hint="eastAsia"/>
                <w:sz w:val="24"/>
                <w:u w:val="none"/>
              </w:rPr>
              <w:t>施工期会对区域的景观产生一定影响，随施工结束而结束。</w:t>
            </w:r>
          </w:p>
          <w:p>
            <w:pPr>
              <w:adjustRightInd w:val="0"/>
              <w:snapToGrid w:val="0"/>
              <w:spacing w:line="240" w:lineRule="auto"/>
              <w:ind w:firstLine="482"/>
              <w:rPr>
                <w:rFonts w:hAnsi="Times New Roman" w:cs="Times New Roman"/>
                <w:b/>
              </w:rPr>
            </w:pPr>
            <w:r>
              <w:rPr>
                <w:rFonts w:hint="eastAsia" w:hAnsi="Times New Roman" w:cs="Times New Roman"/>
                <w:b/>
              </w:rPr>
              <w:t>7</w:t>
            </w:r>
            <w:r>
              <w:rPr>
                <w:rFonts w:hAnsi="Times New Roman" w:cs="Times New Roman"/>
                <w:b/>
              </w:rPr>
              <w:t>、施工期环境保护措施</w:t>
            </w:r>
          </w:p>
          <w:p>
            <w:pPr>
              <w:adjustRightInd w:val="0"/>
              <w:snapToGrid w:val="0"/>
              <w:spacing w:line="240" w:lineRule="auto"/>
              <w:ind w:firstLine="482"/>
              <w:rPr>
                <w:rFonts w:hAnsi="Times New Roman" w:cs="Times New Roman"/>
                <w:b/>
                <w:u w:val="single"/>
              </w:rPr>
            </w:pPr>
            <w:r>
              <w:rPr>
                <w:rFonts w:hint="eastAsia" w:hAnsi="Times New Roman" w:cs="Times New Roman"/>
                <w:b/>
                <w:u w:val="single"/>
              </w:rPr>
              <w:t>7</w:t>
            </w:r>
            <w:r>
              <w:rPr>
                <w:rFonts w:hAnsi="Times New Roman" w:cs="Times New Roman"/>
                <w:b/>
                <w:u w:val="single"/>
              </w:rPr>
              <w:t>.1 施工期环境空气保护措施</w:t>
            </w:r>
          </w:p>
          <w:p>
            <w:pPr>
              <w:tabs>
                <w:tab w:val="left" w:pos="1900"/>
              </w:tabs>
              <w:ind w:firstLine="480" w:firstLineChars="200"/>
              <w:rPr>
                <w:sz w:val="24"/>
                <w:u w:val="single"/>
              </w:rPr>
            </w:pPr>
            <w:r>
              <w:rPr>
                <w:sz w:val="24"/>
                <w:u w:val="single"/>
              </w:rPr>
              <w:t>（1）施工单位扬尘污染控制区</w:t>
            </w:r>
            <w:r>
              <w:rPr>
                <w:rFonts w:hint="eastAsia"/>
                <w:sz w:val="24"/>
                <w:u w:val="single"/>
                <w:lang w:val="en-US" w:eastAsia="zh-CN"/>
              </w:rPr>
              <w:t>（</w:t>
            </w:r>
            <w:r>
              <w:rPr>
                <w:sz w:val="24"/>
                <w:u w:val="single"/>
              </w:rPr>
              <w:t>保洁责任区）的范围</w:t>
            </w:r>
          </w:p>
          <w:p>
            <w:pPr>
              <w:tabs>
                <w:tab w:val="left" w:pos="1900"/>
              </w:tabs>
              <w:ind w:firstLine="480" w:firstLineChars="200"/>
              <w:rPr>
                <w:sz w:val="24"/>
                <w:u w:val="single"/>
              </w:rPr>
            </w:pPr>
            <w:r>
              <w:rPr>
                <w:sz w:val="24"/>
                <w:u w:val="single"/>
              </w:rPr>
              <w:t>应根据施工扬尘影响情况确定，一般设在施工工地周围20米范围内。</w:t>
            </w:r>
          </w:p>
          <w:p>
            <w:pPr>
              <w:tabs>
                <w:tab w:val="left" w:pos="1900"/>
              </w:tabs>
              <w:ind w:firstLine="480" w:firstLineChars="200"/>
              <w:rPr>
                <w:sz w:val="24"/>
                <w:u w:val="single"/>
              </w:rPr>
            </w:pPr>
            <w:r>
              <w:rPr>
                <w:sz w:val="24"/>
                <w:u w:val="single"/>
              </w:rPr>
              <w:t>（2）设置施工环境保护标志牌，落实施工扬尘控制管理人员</w:t>
            </w:r>
          </w:p>
          <w:p>
            <w:pPr>
              <w:tabs>
                <w:tab w:val="left" w:pos="1900"/>
              </w:tabs>
              <w:ind w:firstLine="480" w:firstLineChars="200"/>
              <w:rPr>
                <w:sz w:val="24"/>
                <w:u w:val="single"/>
              </w:rPr>
            </w:pPr>
            <w:r>
              <w:rPr>
                <w:sz w:val="24"/>
                <w:u w:val="single"/>
              </w:rPr>
              <w:t>施工单位应根据《株洲市建筑施工防治扬尘污染责任书》的规定规格和内容设置项目施工环境保护标志牌，内容包括：建设单位、施工单位、工期、防治扬尘污染现场管理人员名单、监督电话牌及有关防尘措施等。本项目根据施工工期、阶段和进度，整个施工期必须设专职保洁员4人。主要职责：车辆进出场冲洗、项目施工场地洒水降尘、场内裸露堆场覆盖、场内裸露地面覆盖、道路冲洗清扫及日常扬尘控制管理。</w:t>
            </w:r>
          </w:p>
          <w:p>
            <w:pPr>
              <w:bidi w:val="0"/>
              <w:ind w:firstLine="480" w:firstLineChars="200"/>
              <w:rPr>
                <w:u w:val="single"/>
              </w:rPr>
            </w:pPr>
            <w:r>
              <w:rPr>
                <w:u w:val="single"/>
              </w:rPr>
              <w:t>（3）</w:t>
            </w:r>
            <w:r>
              <w:rPr>
                <w:rFonts w:hint="eastAsia"/>
                <w:u w:val="single"/>
              </w:rPr>
              <w:t>按照</w:t>
            </w:r>
            <w:r>
              <w:rPr>
                <w:rFonts w:hint="eastAsia" w:hAnsi="Times New Roman" w:cs="Times New Roman"/>
                <w:szCs w:val="24"/>
                <w:u w:val="single"/>
              </w:rPr>
              <w:t>《株洲市2019年建筑施工工地“扬尘污染防治攻坚战”实施方案》</w:t>
            </w:r>
            <w:r>
              <w:rPr>
                <w:rFonts w:hint="eastAsia" w:hAnsi="Times New Roman" w:cs="Times New Roman"/>
                <w:szCs w:val="24"/>
                <w:u w:val="single"/>
                <w:lang w:eastAsia="zh-CN"/>
              </w:rPr>
              <w:t>的要求</w:t>
            </w:r>
            <w:r>
              <w:rPr>
                <w:rFonts w:hint="eastAsia" w:hAnsi="Times New Roman" w:cs="Times New Roman"/>
                <w:szCs w:val="24"/>
                <w:u w:val="single"/>
              </w:rPr>
              <w:t>，建设施工工地扬尘应做到八个百分百：施工工地现场围挡和外架防护100%全封闭，围挡保持整洁美观，外架安全网挡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pPr>
              <w:bidi w:val="0"/>
              <w:ind w:firstLine="480" w:firstLineChars="200"/>
              <w:rPr>
                <w:u w:val="single"/>
              </w:rPr>
            </w:pPr>
            <w:r>
              <w:rPr>
                <w:u w:val="single"/>
              </w:rPr>
              <w:t>（4）施工场地洒水</w:t>
            </w:r>
          </w:p>
          <w:p>
            <w:pPr>
              <w:bidi w:val="0"/>
              <w:ind w:firstLine="480" w:firstLineChars="200"/>
              <w:rPr>
                <w:u w:val="single"/>
              </w:rPr>
            </w:pPr>
            <w:r>
              <w:rPr>
                <w:u w:val="single"/>
              </w:rPr>
              <w:t>场地内施工区采用人力洒水车或水枪洒水，辅以洒水压尘，尽量缩短起尘操作时间。遇到四级或四级以上大风天气，应停止土方作业，同时作业处覆以防尘网。</w:t>
            </w:r>
          </w:p>
          <w:p>
            <w:pPr>
              <w:bidi w:val="0"/>
              <w:ind w:firstLine="480" w:firstLineChars="200"/>
              <w:rPr>
                <w:u w:val="single"/>
              </w:rPr>
            </w:pPr>
            <w:r>
              <w:rPr>
                <w:u w:val="single"/>
              </w:rPr>
              <w:t>施工场地洒水、保洁频次应根据季节气候变化及空气污染情况进行调整，晴朗天气时，当空气污染指数大于100时不许土方作业和人工干扫。在空气污染指数80-100时应每隔4个小时保洁一次，洒水与清扫交替使用。当空气污染指数大于100时，应加密保洁。当空气污染指数低于50时，可以在保持清洁的前提下适度降低保洁强度。</w:t>
            </w:r>
          </w:p>
          <w:p>
            <w:pPr>
              <w:tabs>
                <w:tab w:val="left" w:pos="1900"/>
              </w:tabs>
              <w:ind w:firstLine="480" w:firstLineChars="200"/>
              <w:rPr>
                <w:sz w:val="24"/>
                <w:u w:val="single"/>
              </w:rPr>
            </w:pPr>
            <w:r>
              <w:rPr>
                <w:sz w:val="24"/>
                <w:u w:val="single"/>
              </w:rPr>
              <w:t>（5）项目渣土堆、裸地防尘措施</w:t>
            </w:r>
          </w:p>
          <w:p>
            <w:pPr>
              <w:tabs>
                <w:tab w:val="left" w:pos="1900"/>
              </w:tabs>
              <w:ind w:firstLine="480" w:firstLineChars="200"/>
              <w:rPr>
                <w:sz w:val="24"/>
                <w:u w:val="single"/>
              </w:rPr>
            </w:pPr>
            <w:r>
              <w:rPr>
                <w:rFonts w:hint="eastAsia" w:ascii="宋体" w:hAnsi="宋体" w:eastAsia="宋体" w:cs="宋体"/>
                <w:sz w:val="24"/>
                <w:u w:val="single"/>
                <w:lang w:val="en-US" w:eastAsia="zh-CN"/>
              </w:rPr>
              <w:t>①</w:t>
            </w:r>
            <w:r>
              <w:rPr>
                <w:sz w:val="24"/>
                <w:u w:val="single"/>
              </w:rPr>
              <w:t>短期（3个月内，以土地平整、基坑开挖为主）</w:t>
            </w:r>
          </w:p>
          <w:p>
            <w:pPr>
              <w:tabs>
                <w:tab w:val="left" w:pos="1900"/>
              </w:tabs>
              <w:ind w:firstLine="480" w:firstLineChars="200"/>
              <w:rPr>
                <w:sz w:val="24"/>
                <w:u w:val="single"/>
              </w:rPr>
            </w:pPr>
            <w:r>
              <w:rPr>
                <w:sz w:val="24"/>
                <w:u w:val="single"/>
              </w:rPr>
              <w:t>工程渣土在48小时内不能完成清运的，必须设置临时堆放场，并采取围挡、</w:t>
            </w:r>
            <w:r>
              <w:rPr>
                <w:rFonts w:hint="eastAsia"/>
                <w:sz w:val="24"/>
                <w:u w:val="single"/>
                <w:lang w:eastAsia="zh-CN"/>
              </w:rPr>
              <w:t>布设</w:t>
            </w:r>
            <w:r>
              <w:rPr>
                <w:rFonts w:hint="eastAsia"/>
                <w:sz w:val="24"/>
                <w:u w:val="single"/>
              </w:rPr>
              <w:t>围挡喷雾装置</w:t>
            </w:r>
            <w:r>
              <w:rPr>
                <w:rFonts w:hint="eastAsia"/>
                <w:sz w:val="24"/>
                <w:u w:val="single"/>
                <w:lang w:eastAsia="zh-CN"/>
              </w:rPr>
              <w:t>、</w:t>
            </w:r>
            <w:r>
              <w:rPr>
                <w:sz w:val="24"/>
                <w:u w:val="single"/>
              </w:rPr>
              <w:t>覆盖等防尘措施。暴露时间在3个月以内的渣土堆、开挖及平整后裸地应使用定期喷水压尘或定期喷涂凝固剂和使用防尘布或铺设礁渣、细石或其他功能相当的材料覆盖等方式防尘。晴朗天气时使用定期喷水压尘，视情况每天洒水二至六次，扬尘严重时应加大洒水。</w:t>
            </w:r>
          </w:p>
          <w:p>
            <w:pPr>
              <w:tabs>
                <w:tab w:val="left" w:pos="1900"/>
              </w:tabs>
              <w:ind w:firstLine="480" w:firstLineChars="200"/>
              <w:rPr>
                <w:sz w:val="24"/>
                <w:u w:val="single"/>
              </w:rPr>
            </w:pPr>
            <w:r>
              <w:rPr>
                <w:rFonts w:hint="eastAsia" w:ascii="宋体" w:hAnsi="宋体" w:eastAsia="宋体" w:cs="宋体"/>
                <w:sz w:val="24"/>
                <w:u w:val="single"/>
                <w:lang w:val="en-US" w:eastAsia="zh-CN"/>
              </w:rPr>
              <w:t>②</w:t>
            </w:r>
            <w:r>
              <w:rPr>
                <w:sz w:val="24"/>
                <w:u w:val="single"/>
              </w:rPr>
              <w:t>中期（3个月以上至主体工程竣工，包含基础施工、主体施工）</w:t>
            </w:r>
          </w:p>
          <w:p>
            <w:pPr>
              <w:tabs>
                <w:tab w:val="left" w:pos="1900"/>
              </w:tabs>
              <w:ind w:firstLine="480" w:firstLineChars="200"/>
              <w:rPr>
                <w:sz w:val="24"/>
                <w:u w:val="single"/>
              </w:rPr>
            </w:pPr>
            <w:r>
              <w:rPr>
                <w:sz w:val="24"/>
                <w:u w:val="single"/>
              </w:rPr>
              <w:t>暴露时间在3个月以上至主体工程竣工的渣土堆、开挖及平整后暂不施工裸地应使用防尘布覆盖或铺设礁渣、细石或其他功能相当的材料覆盖和简易绿化等方式防尘。</w:t>
            </w:r>
          </w:p>
          <w:p>
            <w:pPr>
              <w:tabs>
                <w:tab w:val="left" w:pos="1900"/>
              </w:tabs>
              <w:ind w:firstLine="480" w:firstLineChars="200"/>
              <w:rPr>
                <w:sz w:val="24"/>
                <w:u w:val="single"/>
              </w:rPr>
            </w:pPr>
            <w:r>
              <w:rPr>
                <w:rFonts w:hint="eastAsia" w:ascii="宋体" w:hAnsi="宋体" w:eastAsia="宋体" w:cs="宋体"/>
                <w:sz w:val="24"/>
                <w:u w:val="single"/>
                <w:lang w:val="en-US" w:eastAsia="zh-CN"/>
              </w:rPr>
              <w:t>③</w:t>
            </w:r>
            <w:r>
              <w:rPr>
                <w:sz w:val="24"/>
                <w:u w:val="single"/>
              </w:rPr>
              <w:t>长期（主体工程竣工以后，包含道路配套附属工程）</w:t>
            </w:r>
          </w:p>
          <w:p>
            <w:pPr>
              <w:tabs>
                <w:tab w:val="left" w:pos="1900"/>
              </w:tabs>
              <w:ind w:firstLine="480" w:firstLineChars="200"/>
              <w:rPr>
                <w:sz w:val="24"/>
                <w:u w:val="single"/>
              </w:rPr>
            </w:pPr>
            <w:r>
              <w:rPr>
                <w:sz w:val="24"/>
                <w:u w:val="single"/>
              </w:rPr>
              <w:t>项目主体工程建筑施工完工后，应在30天内完成渣土清理和绿化、硬化防尘措施，裸地必须按照《城市绿化条例》、《株洲市城市绿线管理条例》相关规定采用草皮、植被全面绿化覆盖，工程竣工验收时不得有裸地。</w:t>
            </w:r>
          </w:p>
          <w:p>
            <w:pPr>
              <w:tabs>
                <w:tab w:val="left" w:pos="1900"/>
              </w:tabs>
              <w:ind w:firstLine="480" w:firstLineChars="200"/>
              <w:rPr>
                <w:rFonts w:hint="eastAsia"/>
                <w:sz w:val="24"/>
                <w:u w:val="single"/>
              </w:rPr>
            </w:pPr>
            <w:r>
              <w:rPr>
                <w:sz w:val="24"/>
                <w:u w:val="single"/>
              </w:rPr>
              <w:t>本项目不同时期的渣土堆、裸地防尘措施如下表</w:t>
            </w:r>
            <w:r>
              <w:rPr>
                <w:rFonts w:hint="eastAsia"/>
                <w:sz w:val="24"/>
                <w:u w:val="single"/>
              </w:rPr>
              <w:t>。</w:t>
            </w:r>
          </w:p>
          <w:p>
            <w:pPr>
              <w:bidi w:val="0"/>
              <w:jc w:val="center"/>
              <w:rPr>
                <w:b/>
                <w:bCs/>
                <w:u w:val="single"/>
              </w:rPr>
            </w:pPr>
            <w:r>
              <w:rPr>
                <w:b/>
                <w:bCs/>
                <w:u w:val="single"/>
              </w:rPr>
              <w:t>表3</w:t>
            </w:r>
            <w:r>
              <w:rPr>
                <w:rFonts w:hint="eastAsia"/>
                <w:b/>
                <w:bCs/>
                <w:u w:val="single"/>
                <w:lang w:val="en-US" w:eastAsia="zh-CN"/>
              </w:rPr>
              <w:t>8</w:t>
            </w:r>
            <w:r>
              <w:rPr>
                <w:b/>
                <w:bCs/>
                <w:u w:val="single"/>
              </w:rPr>
              <w:t xml:space="preserve">    本项目渣土堆、裸地防尘措施</w:t>
            </w:r>
          </w:p>
          <w:tbl>
            <w:tblPr>
              <w:tblStyle w:val="34"/>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3226"/>
              <w:gridCol w:w="4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时段</w:t>
                  </w:r>
                </w:p>
              </w:tc>
              <w:tc>
                <w:tcPr>
                  <w:tcW w:w="322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施工阶段</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主要防尘措施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4"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短期</w:t>
                  </w:r>
                </w:p>
              </w:tc>
              <w:tc>
                <w:tcPr>
                  <w:tcW w:w="322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土地平整及路基工程</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喷水洒水、压尘，辅以局部硬化、防尘布覆盖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322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渣土临时堆场</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围挡、喷水洒水、压尘，防尘布覆盖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中期</w:t>
                  </w:r>
                </w:p>
              </w:tc>
              <w:tc>
                <w:tcPr>
                  <w:tcW w:w="322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基础、路面施工</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防尘布覆盖，局部硬化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4"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长期</w:t>
                  </w:r>
                </w:p>
              </w:tc>
              <w:tc>
                <w:tcPr>
                  <w:tcW w:w="322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附属工程施工至竣工</w:t>
                  </w:r>
                </w:p>
              </w:tc>
              <w:tc>
                <w:tcPr>
                  <w:tcW w:w="47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采用草皮、植被全面绿化</w:t>
                  </w:r>
                  <w:r>
                    <w:rPr>
                      <w:sz w:val="21"/>
                      <w:szCs w:val="21"/>
                      <w:u w:val="single"/>
                    </w:rPr>
                    <w:t>覆盖</w:t>
                  </w:r>
                </w:p>
              </w:tc>
            </w:tr>
          </w:tbl>
          <w:p>
            <w:pPr>
              <w:tabs>
                <w:tab w:val="left" w:pos="1900"/>
              </w:tabs>
              <w:ind w:firstLine="480" w:firstLineChars="200"/>
              <w:rPr>
                <w:sz w:val="24"/>
                <w:u w:val="single"/>
              </w:rPr>
            </w:pPr>
            <w:r>
              <w:rPr>
                <w:sz w:val="24"/>
                <w:u w:val="single"/>
              </w:rPr>
              <w:t>（6）地面及临时道路硬化</w:t>
            </w:r>
          </w:p>
          <w:p>
            <w:pPr>
              <w:tabs>
                <w:tab w:val="left" w:pos="1900"/>
              </w:tabs>
              <w:ind w:firstLine="480" w:firstLineChars="200"/>
              <w:rPr>
                <w:sz w:val="24"/>
                <w:u w:val="single"/>
              </w:rPr>
            </w:pPr>
            <w:r>
              <w:rPr>
                <w:sz w:val="24"/>
                <w:u w:val="single"/>
              </w:rPr>
              <w:t>施工工地作业地面和连接进出道路和场地内渣土运输道路目前为已硬化处理状态。施工期间，施工工地内及工地出口至铺装道路间的车行道路，应保持路面清洁，防止机动车扬尘：</w:t>
            </w:r>
          </w:p>
          <w:p>
            <w:pPr>
              <w:tabs>
                <w:tab w:val="left" w:pos="1900"/>
              </w:tabs>
              <w:ind w:firstLine="480" w:firstLineChars="200"/>
              <w:rPr>
                <w:rFonts w:hint="eastAsia"/>
                <w:sz w:val="24"/>
                <w:u w:val="single"/>
              </w:rPr>
            </w:pPr>
            <w:r>
              <w:rPr>
                <w:rFonts w:hint="eastAsia"/>
                <w:sz w:val="24"/>
                <w:u w:val="single"/>
              </w:rPr>
              <w:t>（7）工程车辆洗车、装载、运输扬尘防治</w:t>
            </w:r>
          </w:p>
          <w:p>
            <w:pPr>
              <w:tabs>
                <w:tab w:val="left" w:pos="1900"/>
              </w:tabs>
              <w:ind w:firstLine="480" w:firstLineChars="200"/>
              <w:rPr>
                <w:rFonts w:hint="eastAsia"/>
                <w:sz w:val="24"/>
                <w:u w:val="single"/>
              </w:rPr>
            </w:pPr>
            <w:r>
              <w:rPr>
                <w:rFonts w:hint="eastAsia" w:ascii="宋体" w:hAnsi="宋体" w:eastAsia="宋体" w:cs="宋体"/>
                <w:sz w:val="24"/>
                <w:u w:val="single"/>
              </w:rPr>
              <w:t>①</w:t>
            </w:r>
            <w:r>
              <w:rPr>
                <w:rFonts w:hint="eastAsia"/>
                <w:sz w:val="24"/>
                <w:u w:val="single"/>
              </w:rPr>
              <w:t>规范施工场地进出口设置，进出口处设置有一座洗车平台洗车位置，冲洗点必须配置清洗机和清洗员2名（一边一人）。</w:t>
            </w:r>
          </w:p>
          <w:p>
            <w:pPr>
              <w:tabs>
                <w:tab w:val="left" w:pos="1900"/>
              </w:tabs>
              <w:ind w:firstLine="480" w:firstLineChars="200"/>
              <w:rPr>
                <w:rFonts w:hint="eastAsia"/>
                <w:sz w:val="24"/>
                <w:u w:val="single"/>
              </w:rPr>
            </w:pPr>
            <w:r>
              <w:rPr>
                <w:rFonts w:hint="eastAsia" w:ascii="宋体" w:hAnsi="宋体" w:eastAsia="宋体" w:cs="宋体"/>
                <w:sz w:val="24"/>
                <w:u w:val="single"/>
              </w:rPr>
              <w:t>②</w:t>
            </w:r>
            <w:r>
              <w:rPr>
                <w:rFonts w:hint="eastAsia"/>
                <w:sz w:val="24"/>
                <w:u w:val="single"/>
              </w:rPr>
              <w:t>完善排水设施，禁止将施工污水直接排入自然水体，洗车平台四周应设置防溢座、废水导流渠、废水收集池、沉淀池及其它防治设施，收集洗车、施工以及降水过程中产生的废水和泥浆，泥浆不得外流，每周进行一次泥浆清理，清理后的废泥浆应采取密闭式罐车外运。施工作业废水经沉淀后回用于场地内洒水。</w:t>
            </w:r>
          </w:p>
          <w:p>
            <w:pPr>
              <w:tabs>
                <w:tab w:val="left" w:pos="1900"/>
              </w:tabs>
              <w:ind w:firstLine="480" w:firstLineChars="200"/>
              <w:rPr>
                <w:rFonts w:hint="eastAsia"/>
                <w:sz w:val="24"/>
                <w:u w:val="single"/>
              </w:rPr>
            </w:pPr>
            <w:r>
              <w:rPr>
                <w:rFonts w:hint="eastAsia" w:ascii="宋体" w:hAnsi="宋体" w:eastAsia="宋体" w:cs="宋体"/>
                <w:sz w:val="24"/>
                <w:u w:val="single"/>
              </w:rPr>
              <w:t>③</w:t>
            </w:r>
            <w:r>
              <w:rPr>
                <w:rFonts w:hint="eastAsia"/>
                <w:sz w:val="24"/>
                <w:u w:val="single"/>
              </w:rPr>
              <w:t>工地出口处连接城市道路不得有粘土泥水带。施工场地进出口处采用草垫或麻布毯进行铺垫，以吸附运输车辆夹带的泥土、泥浆水，确保车辆出场不带泥水。草垫或麻布毯铺垫面积须为5×20m。</w:t>
            </w:r>
          </w:p>
          <w:p>
            <w:pPr>
              <w:tabs>
                <w:tab w:val="left" w:pos="1900"/>
              </w:tabs>
              <w:ind w:firstLine="480" w:firstLineChars="200"/>
              <w:rPr>
                <w:rFonts w:hint="eastAsia"/>
                <w:sz w:val="24"/>
                <w:u w:val="single"/>
              </w:rPr>
            </w:pPr>
            <w:r>
              <w:rPr>
                <w:rFonts w:hint="eastAsia" w:ascii="宋体" w:hAnsi="宋体" w:eastAsia="宋体" w:cs="宋体"/>
                <w:sz w:val="24"/>
                <w:u w:val="single"/>
              </w:rPr>
              <w:t>④</w:t>
            </w:r>
            <w:r>
              <w:rPr>
                <w:rFonts w:hint="eastAsia"/>
                <w:sz w:val="24"/>
                <w:u w:val="single"/>
              </w:rPr>
              <w:t>进出工地的物料、渣土、垃圾运输车辆，应尽可能采用密闭车斗，并保证物料不遗撒外漏。若无密闭车斗，物料、垃圾、渣土的装载高度不得超过车辆槽帮上沿，车斗应用苫布遮盖严实。苫布边缘至少要遮住槽帮上沿以下15厘米，保证物料、渣土、垃圾等不露出。</w:t>
            </w:r>
          </w:p>
          <w:p>
            <w:pPr>
              <w:tabs>
                <w:tab w:val="left" w:pos="1900"/>
              </w:tabs>
              <w:ind w:firstLine="480" w:firstLineChars="200"/>
              <w:rPr>
                <w:rFonts w:hint="eastAsia"/>
                <w:sz w:val="24"/>
                <w:u w:val="single"/>
              </w:rPr>
            </w:pPr>
            <w:r>
              <w:rPr>
                <w:rFonts w:hint="eastAsia" w:ascii="宋体" w:hAnsi="宋体" w:eastAsia="宋体" w:cs="宋体"/>
                <w:sz w:val="24"/>
                <w:u w:val="single"/>
              </w:rPr>
              <w:t>⑤</w:t>
            </w:r>
            <w:r>
              <w:rPr>
                <w:rFonts w:hint="eastAsia"/>
                <w:sz w:val="24"/>
                <w:u w:val="single"/>
              </w:rPr>
              <w:t>配置专人对工地出入口及车辆运输道路进行清扫、冲洗，并有专人进行检查把关，以避免基建扬尘由点源变成沿运输线路的线源污染。</w:t>
            </w:r>
          </w:p>
          <w:p>
            <w:pPr>
              <w:tabs>
                <w:tab w:val="left" w:pos="1900"/>
              </w:tabs>
              <w:ind w:firstLine="480" w:firstLineChars="200"/>
              <w:rPr>
                <w:sz w:val="24"/>
                <w:u w:val="single"/>
              </w:rPr>
            </w:pPr>
            <w:r>
              <w:rPr>
                <w:rFonts w:hint="eastAsia" w:ascii="宋体" w:hAnsi="宋体" w:eastAsia="宋体" w:cs="宋体"/>
                <w:sz w:val="24"/>
                <w:u w:val="single"/>
              </w:rPr>
              <w:t>⑥</w:t>
            </w:r>
            <w:r>
              <w:rPr>
                <w:rFonts w:hint="eastAsia"/>
                <w:sz w:val="24"/>
                <w:u w:val="single"/>
              </w:rPr>
              <w:t>对渣土处理要求办理《株洲建筑垃圾处理许可证》，车辆应按照批准的路线和时间进行物料、渣土、垃圾的运输。</w:t>
            </w:r>
          </w:p>
          <w:p>
            <w:pPr>
              <w:tabs>
                <w:tab w:val="left" w:pos="1900"/>
              </w:tabs>
              <w:ind w:firstLine="480" w:firstLineChars="200"/>
              <w:rPr>
                <w:sz w:val="24"/>
                <w:u w:val="single"/>
              </w:rPr>
            </w:pPr>
            <w:r>
              <w:rPr>
                <w:sz w:val="24"/>
                <w:u w:val="single"/>
              </w:rPr>
              <w:t>（</w:t>
            </w:r>
            <w:r>
              <w:rPr>
                <w:rFonts w:hint="eastAsia"/>
                <w:sz w:val="24"/>
                <w:u w:val="single"/>
              </w:rPr>
              <w:t>8</w:t>
            </w:r>
            <w:r>
              <w:rPr>
                <w:sz w:val="24"/>
                <w:u w:val="single"/>
              </w:rPr>
              <w:t>）建筑材料的防尘管理措施</w:t>
            </w:r>
          </w:p>
          <w:p>
            <w:pPr>
              <w:tabs>
                <w:tab w:val="left" w:pos="1900"/>
              </w:tabs>
              <w:ind w:firstLine="480" w:firstLineChars="200"/>
              <w:rPr>
                <w:sz w:val="24"/>
                <w:u w:val="single"/>
              </w:rPr>
            </w:pPr>
            <w:r>
              <w:rPr>
                <w:sz w:val="24"/>
                <w:u w:val="single"/>
              </w:rPr>
              <w:t>施工过程中使用水泥、石灰、砂石、涂料、铺装材料等易产生扬尘的建筑材料，需合理布置临时料场位置，并应采取下列措施之一：</w:t>
            </w:r>
          </w:p>
          <w:p>
            <w:pPr>
              <w:tabs>
                <w:tab w:val="left" w:pos="1900"/>
              </w:tabs>
              <w:ind w:firstLine="480" w:firstLineChars="200"/>
              <w:rPr>
                <w:sz w:val="24"/>
                <w:u w:val="single"/>
              </w:rPr>
            </w:pPr>
            <w:r>
              <w:rPr>
                <w:rFonts w:hint="eastAsia" w:ascii="宋体" w:hAnsi="宋体" w:eastAsia="宋体" w:cs="宋体"/>
                <w:sz w:val="24"/>
                <w:u w:val="single"/>
              </w:rPr>
              <w:t>①</w:t>
            </w:r>
            <w:r>
              <w:rPr>
                <w:sz w:val="24"/>
                <w:u w:val="single"/>
              </w:rPr>
              <w:t>密闭方式存储及运输；</w:t>
            </w:r>
            <w:r>
              <w:rPr>
                <w:rFonts w:hint="eastAsia" w:ascii="宋体" w:hAnsi="宋体" w:eastAsia="宋体" w:cs="宋体"/>
                <w:sz w:val="24"/>
                <w:u w:val="single"/>
              </w:rPr>
              <w:t>②</w:t>
            </w:r>
            <w:r>
              <w:rPr>
                <w:sz w:val="24"/>
                <w:u w:val="single"/>
              </w:rPr>
              <w:t xml:space="preserve"> 设置围挡或堆砌围墙；</w:t>
            </w:r>
            <w:r>
              <w:rPr>
                <w:rFonts w:hint="eastAsia" w:ascii="宋体" w:hAnsi="宋体" w:eastAsia="宋体" w:cs="宋体"/>
                <w:sz w:val="24"/>
                <w:u w:val="single"/>
              </w:rPr>
              <w:t>③</w:t>
            </w:r>
            <w:r>
              <w:rPr>
                <w:sz w:val="24"/>
                <w:u w:val="single"/>
              </w:rPr>
              <w:t>采用防尘布苫盖；</w:t>
            </w:r>
            <w:r>
              <w:rPr>
                <w:rFonts w:hint="eastAsia" w:ascii="宋体" w:hAnsi="宋体" w:eastAsia="宋体" w:cs="宋体"/>
                <w:sz w:val="24"/>
                <w:u w:val="single"/>
              </w:rPr>
              <w:t>④</w:t>
            </w:r>
            <w:r>
              <w:rPr>
                <w:sz w:val="24"/>
                <w:u w:val="single"/>
              </w:rPr>
              <w:t>其他有效的防尘措施。项目施工现场不设置搅拌站，全路段全部采用商品混凝土。</w:t>
            </w:r>
          </w:p>
          <w:p>
            <w:pPr>
              <w:bidi w:val="0"/>
              <w:ind w:firstLine="480" w:firstLineChars="200"/>
              <w:rPr>
                <w:u w:val="single"/>
              </w:rPr>
            </w:pPr>
            <w:r>
              <w:rPr>
                <w:u w:val="single"/>
              </w:rPr>
              <w:t>（</w:t>
            </w:r>
            <w:r>
              <w:rPr>
                <w:rFonts w:hint="eastAsia"/>
                <w:u w:val="single"/>
              </w:rPr>
              <w:t>9</w:t>
            </w:r>
            <w:r>
              <w:rPr>
                <w:u w:val="single"/>
              </w:rPr>
              <w:t>）道路绿化工程防尘措施</w:t>
            </w:r>
          </w:p>
          <w:p>
            <w:pPr>
              <w:tabs>
                <w:tab w:val="left" w:pos="1900"/>
              </w:tabs>
              <w:ind w:firstLine="480" w:firstLineChars="200"/>
              <w:rPr>
                <w:sz w:val="24"/>
                <w:u w:val="single"/>
              </w:rPr>
            </w:pPr>
            <w:r>
              <w:rPr>
                <w:rFonts w:hint="eastAsia" w:ascii="宋体" w:hAnsi="宋体" w:eastAsia="宋体" w:cs="宋体"/>
                <w:sz w:val="24"/>
                <w:u w:val="single"/>
                <w:lang w:val="en-US" w:eastAsia="zh-CN"/>
              </w:rPr>
              <w:t>①</w:t>
            </w:r>
            <w:r>
              <w:rPr>
                <w:sz w:val="24"/>
                <w:u w:val="single"/>
              </w:rPr>
              <w:t>绿化工地应根据现场情况采取围挡等降尘措施。</w:t>
            </w:r>
          </w:p>
          <w:p>
            <w:pPr>
              <w:tabs>
                <w:tab w:val="left" w:pos="1900"/>
              </w:tabs>
              <w:ind w:firstLine="480" w:firstLineChars="200"/>
              <w:rPr>
                <w:sz w:val="24"/>
                <w:u w:val="single"/>
              </w:rPr>
            </w:pPr>
            <w:r>
              <w:rPr>
                <w:rFonts w:hint="eastAsia" w:ascii="宋体" w:hAnsi="宋体" w:eastAsia="宋体" w:cs="宋体"/>
                <w:sz w:val="24"/>
                <w:u w:val="single"/>
                <w:lang w:val="en-US" w:eastAsia="zh-CN"/>
              </w:rPr>
              <w:t>②</w:t>
            </w:r>
            <w:r>
              <w:rPr>
                <w:sz w:val="24"/>
                <w:u w:val="single"/>
              </w:rPr>
              <w:t>四级及四级以上大风天气，须停止土地平整、换土、原土过筛等作业。</w:t>
            </w:r>
          </w:p>
          <w:p>
            <w:pPr>
              <w:tabs>
                <w:tab w:val="left" w:pos="1900"/>
              </w:tabs>
              <w:ind w:firstLine="480" w:firstLineChars="200"/>
              <w:rPr>
                <w:sz w:val="24"/>
                <w:u w:val="single"/>
              </w:rPr>
            </w:pPr>
            <w:r>
              <w:rPr>
                <w:rFonts w:hint="eastAsia" w:ascii="宋体" w:hAnsi="宋体" w:eastAsia="宋体" w:cs="宋体"/>
                <w:sz w:val="24"/>
                <w:u w:val="single"/>
                <w:lang w:val="en-US" w:eastAsia="zh-CN"/>
              </w:rPr>
              <w:t>③</w:t>
            </w:r>
            <w:r>
              <w:rPr>
                <w:sz w:val="24"/>
                <w:u w:val="single"/>
              </w:rPr>
              <w:t>土地平整后，一周内要进行下一步建植工作；土地整理工作已结束，未进行建植工程期间，要每天洒水一至两次，如遇四级及四级以上大风天气必须及时洒水防尘或加以覆盖。</w:t>
            </w:r>
          </w:p>
          <w:p>
            <w:pPr>
              <w:tabs>
                <w:tab w:val="left" w:pos="1900"/>
              </w:tabs>
              <w:ind w:firstLine="480" w:firstLineChars="200"/>
              <w:rPr>
                <w:sz w:val="24"/>
                <w:u w:val="single"/>
              </w:rPr>
            </w:pPr>
            <w:r>
              <w:rPr>
                <w:rFonts w:hint="eastAsia" w:ascii="宋体" w:hAnsi="宋体" w:eastAsia="宋体" w:cs="宋体"/>
                <w:sz w:val="24"/>
                <w:u w:val="single"/>
                <w:lang w:val="en-US" w:eastAsia="zh-CN"/>
              </w:rPr>
              <w:t>④</w:t>
            </w:r>
            <w:r>
              <w:rPr>
                <w:sz w:val="24"/>
                <w:u w:val="single"/>
              </w:rPr>
              <w:t>植树树穴所出穴坑土，要加以整理或拍实；如遇特殊情况无法建植，穴坑土要加以覆盖，确保不扬尘。种植完成后，树坑应覆盖卵石、木屑、挡板、草皮，或者作其它覆盖、围栏处理等。</w:t>
            </w:r>
          </w:p>
          <w:p>
            <w:pPr>
              <w:tabs>
                <w:tab w:val="left" w:pos="1900"/>
              </w:tabs>
              <w:ind w:firstLine="480" w:firstLineChars="200"/>
              <w:rPr>
                <w:sz w:val="24"/>
                <w:u w:val="single"/>
              </w:rPr>
            </w:pPr>
            <w:r>
              <w:rPr>
                <w:rFonts w:hint="eastAsia" w:ascii="宋体" w:hAnsi="宋体" w:eastAsia="宋体" w:cs="宋体"/>
                <w:sz w:val="24"/>
                <w:u w:val="single"/>
                <w:lang w:val="en-US" w:eastAsia="zh-CN"/>
              </w:rPr>
              <w:t>⑤</w:t>
            </w:r>
            <w:r>
              <w:rPr>
                <w:sz w:val="24"/>
                <w:u w:val="single"/>
              </w:rPr>
              <w:t>道路或绿地内各类管线敷设工程完工后，一周内要恢复路面或景观，不得留裸土地面。</w:t>
            </w:r>
          </w:p>
          <w:p>
            <w:pPr>
              <w:tabs>
                <w:tab w:val="left" w:pos="1900"/>
              </w:tabs>
              <w:ind w:firstLine="480" w:firstLineChars="200"/>
              <w:rPr>
                <w:sz w:val="24"/>
                <w:u w:val="single"/>
              </w:rPr>
            </w:pPr>
            <w:r>
              <w:rPr>
                <w:rFonts w:hint="eastAsia" w:ascii="宋体" w:hAnsi="宋体" w:eastAsia="宋体" w:cs="宋体"/>
                <w:sz w:val="24"/>
                <w:u w:val="single"/>
                <w:lang w:val="en-US" w:eastAsia="zh-CN"/>
              </w:rPr>
              <w:t>⑥</w:t>
            </w:r>
            <w:r>
              <w:rPr>
                <w:sz w:val="24"/>
                <w:u w:val="single"/>
              </w:rPr>
              <w:t>绿化产生的垃圾，做到当天清除。</w:t>
            </w:r>
          </w:p>
          <w:p>
            <w:pPr>
              <w:spacing w:line="240" w:lineRule="auto"/>
              <w:ind w:firstLine="482"/>
              <w:rPr>
                <w:rFonts w:hAnsi="Times New Roman" w:cs="Times New Roman"/>
                <w:b/>
                <w:szCs w:val="24"/>
              </w:rPr>
            </w:pPr>
            <w:r>
              <w:rPr>
                <w:rFonts w:hint="eastAsia" w:hAnsi="Times New Roman" w:cs="Times New Roman"/>
                <w:b/>
                <w:szCs w:val="24"/>
              </w:rPr>
              <w:t>7</w:t>
            </w:r>
            <w:r>
              <w:rPr>
                <w:rFonts w:hAnsi="Times New Roman" w:cs="Times New Roman"/>
                <w:b/>
                <w:szCs w:val="24"/>
              </w:rPr>
              <w:t>.2 施工期水污染防治措施</w:t>
            </w:r>
          </w:p>
          <w:p>
            <w:pPr>
              <w:bidi w:val="0"/>
              <w:ind w:firstLine="480" w:firstLineChars="200"/>
            </w:pPr>
            <w:r>
              <w:t xml:space="preserve">（1）路堑边坡开挖前，预先做好截、排水工程，堑顶为土质或含有软弱夹层岩石时，天沟及时铺砌或采取其它防渗措旌，以减少雨水对堑坡面的冲刷。对高填以及不良地质路基等水土流失易发地带，要合理安排施工季节，尽量避免雨季施工；不能避免时，保证其施工期间排水通畅，不出现秘水浸泡工作面的现象。如防护不能紧跟开挖完成时，对开挖面采取加覆盖物等防护措施。 </w:t>
            </w:r>
          </w:p>
          <w:p>
            <w:pPr>
              <w:bidi w:val="0"/>
              <w:ind w:firstLine="480" w:firstLineChars="200"/>
            </w:pPr>
            <w:r>
              <w:t xml:space="preserve">（2）施工材料如油料、化学品物质等的堆放地点应远离沿线水体，并应备有临时遮挡的帆布或采取其他防止雨水冲刷的措施；含有害物质的建材如沥青、水泥等不准堆放在沿线水体附近，并应设蓬盖，必要时设围栏，防止被雨水冲刷入水体。 </w:t>
            </w:r>
          </w:p>
          <w:p>
            <w:pPr>
              <w:bidi w:val="0"/>
              <w:ind w:firstLine="480" w:firstLineChars="200"/>
            </w:pPr>
            <w:r>
              <w:t xml:space="preserve">（3）对机械和车辆冲洗废水，可在施工场地设临时蒸发池(可就近利用废弃的沟、坑)，等施工结束覆土掩埋。 </w:t>
            </w:r>
          </w:p>
          <w:p>
            <w:pPr>
              <w:bidi w:val="0"/>
              <w:ind w:firstLine="480" w:firstLineChars="200"/>
            </w:pPr>
            <w:r>
              <w:t xml:space="preserve">（4）施工中的废油及其它固体废物不得随意倾倒或排入水体，也不得堆放在水体旁，应及时清运至当地允许放置的地点。施工物料堆场应远离地表水体，并设置在径流不易冲刷处，粉状物料堆场应配有草包蓬布等遮盖物并在周围挖设明沟防止径流冲刷。 </w:t>
            </w:r>
          </w:p>
          <w:p>
            <w:pPr>
              <w:bidi w:val="0"/>
              <w:ind w:firstLine="480" w:firstLineChars="200"/>
            </w:pPr>
            <w:r>
              <w:t xml:space="preserve">（5）加强对施工机械的管理。防止机械跑、冒、滴、漏，防止施工船只油料倾倒水体中引起水污染。 </w:t>
            </w:r>
          </w:p>
          <w:p>
            <w:pPr>
              <w:bidi w:val="0"/>
              <w:ind w:firstLine="480" w:firstLineChars="200"/>
              <w:rPr>
                <w:rFonts w:hint="eastAsia" w:eastAsia="宋体"/>
                <w:u w:val="single"/>
                <w:lang w:val="en-US" w:eastAsia="zh-CN"/>
              </w:rPr>
            </w:pPr>
            <w:r>
              <w:rPr>
                <w:u w:val="single"/>
              </w:rPr>
              <w:t>（6）</w:t>
            </w:r>
            <w:r>
              <w:rPr>
                <w:rFonts w:hint="eastAsia"/>
                <w:u w:val="single"/>
                <w:lang w:eastAsia="zh-CN"/>
              </w:rPr>
              <w:t>隔油池布置在临时占地区域车辆冲洗场地附近，</w:t>
            </w:r>
            <w:r>
              <w:rPr>
                <w:u w:val="single"/>
              </w:rPr>
              <w:t>沉淀</w:t>
            </w:r>
            <w:r>
              <w:rPr>
                <w:rFonts w:hint="eastAsia"/>
                <w:u w:val="single"/>
                <w:lang w:eastAsia="zh-CN"/>
              </w:rPr>
              <w:t>池布置在临时占地区域混凝土搅拌机附近，隔油池、</w:t>
            </w:r>
            <w:r>
              <w:rPr>
                <w:u w:val="single"/>
              </w:rPr>
              <w:t>沉淀</w:t>
            </w:r>
            <w:r>
              <w:rPr>
                <w:rFonts w:hint="eastAsia"/>
                <w:u w:val="single"/>
                <w:lang w:eastAsia="zh-CN"/>
              </w:rPr>
              <w:t>池的日处理量约为</w:t>
            </w:r>
            <w:r>
              <w:rPr>
                <w:rFonts w:hint="eastAsia"/>
                <w:u w:val="single"/>
                <w:lang w:val="en-US" w:eastAsia="zh-CN"/>
              </w:rPr>
              <w:t>0.5m</w:t>
            </w:r>
            <w:r>
              <w:rPr>
                <w:rFonts w:hint="eastAsia"/>
                <w:u w:val="single"/>
                <w:vertAlign w:val="superscript"/>
                <w:lang w:val="en-US" w:eastAsia="zh-CN"/>
              </w:rPr>
              <w:t>3</w:t>
            </w:r>
            <w:r>
              <w:rPr>
                <w:rFonts w:hint="eastAsia"/>
                <w:u w:val="single"/>
                <w:lang w:val="en-US" w:eastAsia="zh-CN"/>
              </w:rPr>
              <w:t>/d。</w:t>
            </w:r>
            <w:r>
              <w:rPr>
                <w:color w:val="000000" w:themeColor="text1"/>
                <w:sz w:val="24"/>
                <w:u w:val="single"/>
                <w14:textFill>
                  <w14:solidFill>
                    <w14:schemeClr w14:val="tx1"/>
                  </w14:solidFill>
                </w14:textFill>
              </w:rPr>
              <w:t>项目施工场冲洗废水经沉淀处置后，上清液回用于绿化、降尘，不外排，沉淀物用于路基填筑</w:t>
            </w:r>
            <w:r>
              <w:rPr>
                <w:rFonts w:hint="eastAsia"/>
                <w:color w:val="000000" w:themeColor="text1"/>
                <w:sz w:val="24"/>
                <w:u w:val="single"/>
                <w:lang w:eastAsia="zh-CN"/>
                <w14:textFill>
                  <w14:solidFill>
                    <w14:schemeClr w14:val="tx1"/>
                  </w14:solidFill>
                </w14:textFill>
              </w:rPr>
              <w:t>。</w:t>
            </w:r>
          </w:p>
          <w:p>
            <w:pPr>
              <w:bidi w:val="0"/>
              <w:ind w:firstLine="480" w:firstLineChars="200"/>
            </w:pPr>
            <w:r>
              <w:rPr>
                <w:rFonts w:hint="eastAsia"/>
              </w:rPr>
              <w:t>（7）凡是被路基侵占、隔断的灌溉沟渠，必须采取补救措施，在不 压缩原有河沟泄水断面、不影响原灌溉渠道使用功能的前提下进行改移，并应保证先通 后拆。</w:t>
            </w:r>
          </w:p>
          <w:p>
            <w:pPr>
              <w:bidi w:val="0"/>
              <w:ind w:firstLine="480" w:firstLineChars="200"/>
            </w:pPr>
            <w:r>
              <w:rPr>
                <w:rFonts w:hint="eastAsia"/>
              </w:rPr>
              <w:t>（</w:t>
            </w:r>
            <w:r>
              <w:t>8</w:t>
            </w:r>
            <w:r>
              <w:rPr>
                <w:rFonts w:hint="eastAsia"/>
              </w:rPr>
              <w:t>）在建筑材料堆放地设置一定的防渗区域，专门存放油料及化学品物质。</w:t>
            </w:r>
          </w:p>
          <w:p>
            <w:pPr>
              <w:bidi w:val="0"/>
              <w:ind w:firstLine="480" w:firstLineChars="200"/>
            </w:pPr>
            <w:r>
              <w:t>综上所述，在采取上述措施后可有效减少施工废水对水环境的污染影响。</w:t>
            </w:r>
          </w:p>
          <w:p>
            <w:pPr>
              <w:spacing w:line="240" w:lineRule="auto"/>
              <w:ind w:firstLine="482"/>
              <w:rPr>
                <w:rFonts w:hAnsi="Times New Roman" w:cs="Times New Roman"/>
                <w:b/>
                <w:szCs w:val="24"/>
                <w:u w:val="single"/>
              </w:rPr>
            </w:pPr>
            <w:r>
              <w:rPr>
                <w:rFonts w:hint="eastAsia" w:hAnsi="Times New Roman" w:cs="Times New Roman"/>
                <w:b/>
                <w:szCs w:val="24"/>
                <w:u w:val="single"/>
              </w:rPr>
              <w:t>7</w:t>
            </w:r>
            <w:r>
              <w:rPr>
                <w:rFonts w:hAnsi="Times New Roman" w:cs="Times New Roman"/>
                <w:b/>
                <w:szCs w:val="24"/>
                <w:u w:val="single"/>
              </w:rPr>
              <w:t>.3 施工期声环境保护措施</w:t>
            </w:r>
          </w:p>
          <w:p>
            <w:pPr>
              <w:bidi w:val="0"/>
              <w:ind w:firstLine="480" w:firstLineChars="200"/>
              <w:rPr>
                <w:rFonts w:hint="eastAsia"/>
                <w:u w:val="single"/>
              </w:rPr>
            </w:pPr>
            <w:r>
              <w:rPr>
                <w:rFonts w:hint="eastAsia"/>
                <w:u w:val="single"/>
              </w:rPr>
              <w:t>（1）合理安排施工时间：避免高噪声设备同时施工，夜间（22：00～6：00）禁止施工。</w:t>
            </w:r>
          </w:p>
          <w:p>
            <w:pPr>
              <w:bidi w:val="0"/>
              <w:ind w:firstLine="480" w:firstLineChars="200"/>
              <w:rPr>
                <w:rFonts w:hint="eastAsia"/>
                <w:u w:val="single"/>
              </w:rPr>
            </w:pPr>
            <w:r>
              <w:rPr>
                <w:rFonts w:hint="eastAsia"/>
                <w:u w:val="single"/>
              </w:rPr>
              <w:t>（2）合理布局现场：避免在同一地点安排大量动力机械设备，是局部声级过高，噪声较大的设备尽量远离敏感点。</w:t>
            </w:r>
          </w:p>
          <w:p>
            <w:pPr>
              <w:bidi w:val="0"/>
              <w:ind w:firstLine="480" w:firstLineChars="200"/>
              <w:rPr>
                <w:rFonts w:hint="eastAsia"/>
                <w:u w:val="single"/>
              </w:rPr>
            </w:pPr>
            <w:r>
              <w:rPr>
                <w:rFonts w:hint="eastAsia"/>
                <w:u w:val="single"/>
              </w:rPr>
              <w:t>（3）选用低噪声设备，降低设备声级：加强检查、维护和保养机械设备，保持润滑，紧固各部件，并于地面保持良好接触，使用减振机座、围墙等措施，降低噪声。对设备定期保养，严格操作规范。</w:t>
            </w:r>
          </w:p>
          <w:p>
            <w:pPr>
              <w:bidi w:val="0"/>
              <w:ind w:firstLine="480" w:firstLineChars="200"/>
              <w:rPr>
                <w:rFonts w:hint="eastAsia"/>
                <w:u w:val="single"/>
              </w:rPr>
            </w:pPr>
            <w:r>
              <w:rPr>
                <w:rFonts w:hint="eastAsia"/>
                <w:u w:val="single"/>
              </w:rPr>
              <w:t>（4）设置围挡：项目在道路两侧、物料堆场周围设置的临时围挡防护物也可在一定程度上起到隔声作用。</w:t>
            </w:r>
          </w:p>
          <w:p>
            <w:pPr>
              <w:bidi w:val="0"/>
              <w:ind w:firstLine="480" w:firstLineChars="200"/>
              <w:rPr>
                <w:rFonts w:hint="eastAsia"/>
                <w:u w:val="single"/>
              </w:rPr>
            </w:pPr>
            <w:r>
              <w:rPr>
                <w:rFonts w:hint="eastAsia"/>
                <w:u w:val="single"/>
              </w:rPr>
              <w:t>（5）文明施工：建筑材料使用和施工过程中做到轻拿轻放，以减少撞击噪声。</w:t>
            </w:r>
          </w:p>
          <w:p>
            <w:pPr>
              <w:bidi w:val="0"/>
              <w:ind w:firstLine="480" w:firstLineChars="200"/>
              <w:rPr>
                <w:rFonts w:hint="eastAsia"/>
                <w:u w:val="single"/>
              </w:rPr>
            </w:pPr>
            <w:r>
              <w:rPr>
                <w:rFonts w:hint="eastAsia"/>
                <w:u w:val="single"/>
              </w:rPr>
              <w:t>（6）采取个人防护措施：对高噪声设备附近工作的施工人员，采用配备、使用耳塞、耳机、放声头盔等防噪用具。</w:t>
            </w:r>
          </w:p>
          <w:p>
            <w:pPr>
              <w:bidi w:val="0"/>
              <w:ind w:firstLine="480" w:firstLineChars="200"/>
              <w:rPr>
                <w:rFonts w:hint="eastAsia"/>
                <w:u w:val="single"/>
              </w:rPr>
            </w:pPr>
            <w:r>
              <w:rPr>
                <w:rFonts w:hint="eastAsia"/>
                <w:u w:val="single"/>
              </w:rPr>
              <w:t>（7）减少施工交通噪声：对运输车辆定期维修、养护，减少或杜绝鸣笛，合理安排运输路线。</w:t>
            </w:r>
          </w:p>
          <w:p>
            <w:pPr>
              <w:bidi w:val="0"/>
              <w:ind w:firstLine="480" w:firstLineChars="200"/>
              <w:rPr>
                <w:rFonts w:hint="eastAsia"/>
                <w:u w:val="single"/>
              </w:rPr>
            </w:pPr>
            <w:r>
              <w:rPr>
                <w:rFonts w:hint="eastAsia"/>
                <w:u w:val="single"/>
              </w:rPr>
              <w:t>（8）采取上述措施后，预计项目厂界噪声可达到《建筑施工场界环境噪声排放标准》（GB12523-2011）要求，对周围声环境影响较小，且影响随着施工的结束而消失。</w:t>
            </w:r>
          </w:p>
          <w:p>
            <w:pPr>
              <w:bidi w:val="0"/>
              <w:ind w:firstLine="480" w:firstLineChars="200"/>
            </w:pPr>
            <w:r>
              <w:rPr>
                <w:rFonts w:hint="eastAsia"/>
                <w:u w:val="single"/>
              </w:rPr>
              <w:t>采取上述噪声污染防治措施，可最大限度减小施工噪声对周围敏感点的污染影响</w:t>
            </w:r>
            <w:r>
              <w:rPr>
                <w:rFonts w:hint="eastAsia"/>
              </w:rPr>
              <w:t>。</w:t>
            </w:r>
          </w:p>
          <w:p>
            <w:pPr>
              <w:spacing w:line="240" w:lineRule="auto"/>
              <w:ind w:firstLine="482"/>
              <w:rPr>
                <w:rFonts w:hAnsi="Times New Roman" w:cs="Times New Roman"/>
                <w:b/>
                <w:szCs w:val="24"/>
              </w:rPr>
            </w:pPr>
            <w:r>
              <w:rPr>
                <w:rFonts w:hint="eastAsia" w:hAnsi="Times New Roman" w:cs="Times New Roman"/>
                <w:b/>
                <w:szCs w:val="24"/>
              </w:rPr>
              <w:t>7</w:t>
            </w:r>
            <w:r>
              <w:rPr>
                <w:rFonts w:hAnsi="Times New Roman" w:cs="Times New Roman"/>
                <w:b/>
                <w:szCs w:val="24"/>
              </w:rPr>
              <w:t>.4 施工期固体废物保护措施</w:t>
            </w:r>
          </w:p>
          <w:p>
            <w:pPr>
              <w:bidi w:val="0"/>
              <w:ind w:firstLine="480" w:firstLineChars="200"/>
              <w:rPr>
                <w:rFonts w:hint="eastAsia"/>
              </w:rPr>
            </w:pPr>
            <w:r>
              <w:rPr>
                <w:rFonts w:hint="eastAsia"/>
              </w:rPr>
              <w:t>路基清表产生的表土暂时堆存于施工场地的表土堆场，作为后期道路绿化的表土回填。本项目弃方</w:t>
            </w:r>
            <w:r>
              <w:rPr>
                <w:rFonts w:hint="eastAsia"/>
                <w:lang w:eastAsia="zh-CN"/>
              </w:rPr>
              <w:t>、</w:t>
            </w:r>
            <w:r>
              <w:rPr>
                <w:rFonts w:hint="eastAsia"/>
              </w:rPr>
              <w:t>建筑垃圾应按《株洲市城市建筑垃圾管理规定》的要求处置，与具有相关资质的渣土处置公司签订渣土处置协议，统一清运至政府指定的建筑垃圾堆放场地。工程挖方临时堆置于施工场地内，在采取水土保持措施恢复植被后，不会对周围环境产生较大的不利影响。施工期产生的生活垃圾定点收集，集中管理，定期由环卫部门统一清运。</w:t>
            </w:r>
          </w:p>
          <w:p>
            <w:pPr>
              <w:bidi w:val="0"/>
              <w:ind w:firstLine="480" w:firstLineChars="200"/>
              <w:rPr>
                <w:rFonts w:hint="eastAsia"/>
              </w:rPr>
            </w:pPr>
            <w:r>
              <w:rPr>
                <w:rFonts w:hint="eastAsia"/>
              </w:rPr>
              <w:t>施工期固体废物在采取措施后，全部得到处理，处理率100%，不会对环境产生不利影响。</w:t>
            </w:r>
          </w:p>
          <w:p>
            <w:pPr>
              <w:spacing w:line="240" w:lineRule="auto"/>
              <w:ind w:firstLine="482"/>
              <w:rPr>
                <w:rFonts w:hAnsi="Times New Roman" w:cs="Times New Roman"/>
                <w:b/>
                <w:szCs w:val="24"/>
              </w:rPr>
            </w:pPr>
            <w:r>
              <w:rPr>
                <w:rFonts w:hint="eastAsia" w:hAnsi="Times New Roman" w:cs="Times New Roman"/>
                <w:b/>
                <w:szCs w:val="24"/>
              </w:rPr>
              <w:t>7</w:t>
            </w:r>
            <w:r>
              <w:rPr>
                <w:rFonts w:hAnsi="Times New Roman" w:cs="Times New Roman"/>
                <w:b/>
                <w:szCs w:val="24"/>
              </w:rPr>
              <w:t>.5 施工期生态环境保护措施</w:t>
            </w:r>
          </w:p>
          <w:p>
            <w:pPr>
              <w:bidi w:val="0"/>
              <w:ind w:firstLine="480" w:firstLineChars="200"/>
            </w:pPr>
            <w:r>
              <w:t>为防止水土流失、保护生态，施工中应采取如下措施：</w:t>
            </w:r>
          </w:p>
          <w:p>
            <w:pPr>
              <w:bidi w:val="0"/>
              <w:ind w:firstLine="480" w:firstLineChars="200"/>
            </w:pPr>
            <w:r>
              <w:t>（1）科学规划，合理安排施工工段，防止暴雨径流对裸露地面的冲刷，从根本上减少水土流失量。</w:t>
            </w:r>
          </w:p>
          <w:p>
            <w:pPr>
              <w:bidi w:val="0"/>
              <w:ind w:firstLine="480" w:firstLineChars="200"/>
            </w:pPr>
            <w:r>
              <w:t>（2）施工中采取临时防护措施，对道路已有的树木、花草进行保护性移栽。应采取措施，缩短临时占地使用时间，施工完毕，立即恢复植被或复垦。</w:t>
            </w:r>
          </w:p>
          <w:p>
            <w:pPr>
              <w:bidi w:val="0"/>
              <w:ind w:firstLine="480" w:firstLineChars="200"/>
            </w:pPr>
            <w:r>
              <w:t>（3）施工时必须同时建设基坑护墙等辅助工程，用草席、沙袋等对坡面进行护理，以稳定边坡，防止坡面崩塌，确保下雨时不出现大量水土流失。</w:t>
            </w:r>
          </w:p>
          <w:p>
            <w:pPr>
              <w:bidi w:val="0"/>
              <w:ind w:firstLine="480" w:firstLineChars="200"/>
            </w:pPr>
            <w:r>
              <w:t>（4）做好路基排水，区域气候温和，雨量充沛，暴雨强度较大。应防止路基边坡冲刷以保排水通畅，路基经过特别潮湿地段，设置纵横向碎石盲沟或用塑料排水管组成系统，将水排出路基外。</w:t>
            </w:r>
          </w:p>
          <w:p>
            <w:pPr>
              <w:bidi w:val="0"/>
              <w:ind w:firstLine="480" w:firstLineChars="200"/>
            </w:pPr>
            <w:r>
              <w:t>（</w:t>
            </w:r>
            <w:r>
              <w:rPr>
                <w:rFonts w:hint="eastAsia"/>
              </w:rPr>
              <w:t>5</w:t>
            </w:r>
            <w:r>
              <w:t>）一般路堤填筑施工之前，路堤坡底两侧应先筑拦挡坎和排水沟，拦截因降水带来的坡面水土流失，其布设应充分利用地形和天然水系，形成完善的排水系统，并做好进出口位置的选择和处理，防止出现堵塞、溢流、渗漏、淤积、冲刷和冻结等，造成对路基和毗邻地带的危害。为保证挡土坎的稳定性，挡土坎需要有一定的渗水能力，挡土坎选用编织袋装土垒砌，编织袋所装土尽量选择粘土。排水沟每隔50</w:t>
            </w:r>
            <w:r>
              <w:rPr>
                <w:rFonts w:hint="eastAsia"/>
              </w:rPr>
              <w:t>~</w:t>
            </w:r>
            <w:r>
              <w:t>200m设沉沙池，以沉降径流泥沙，降低径流流速，施工期沉沙池中的淤泥应定期清运。</w:t>
            </w:r>
          </w:p>
          <w:p>
            <w:pPr>
              <w:bidi w:val="0"/>
              <w:ind w:firstLine="480" w:firstLineChars="200"/>
            </w:pPr>
            <w:r>
              <w:t>（</w:t>
            </w:r>
            <w:r>
              <w:rPr>
                <w:rFonts w:hint="eastAsia"/>
              </w:rPr>
              <w:t>6</w:t>
            </w:r>
            <w:r>
              <w:t>）应在施工期间，搞好项目的生态保护和建设，缩短施工工期。在项目建设的同时应及时搞好道路的植树、绿化及地面硬化，工程建成后，应无裸露地面，使区域水土保持功能得到加强。</w:t>
            </w:r>
          </w:p>
          <w:p>
            <w:pPr>
              <w:bidi w:val="0"/>
              <w:ind w:firstLine="480" w:firstLineChars="200"/>
            </w:pPr>
            <w:r>
              <w:t>（</w:t>
            </w:r>
            <w:r>
              <w:rPr>
                <w:rFonts w:hint="eastAsia"/>
              </w:rPr>
              <w:t>7</w:t>
            </w:r>
            <w:r>
              <w:t>）本项目不设取土、弃渣场，渣土运输须按株洲市市政管理局渣土办要求统一处置。施工方需按照株洲市《关于进一步加强城市建筑垃圾运输管理规定》、《关于强化渣土砂石管理的规定》实施细则、《株洲市建筑垃圾管理实施办法（试行）》等有关规定，联系专业运输队伍，签订渣土运输合同，明确渣土运输扬尘控制责任，严格执行对运输车辆及建设施工单位的有关规定及污染防治等要求，按指定路线及时间行驶，在指定地点消纳，不得擅自处置。</w:t>
            </w:r>
          </w:p>
          <w:p>
            <w:pPr>
              <w:bidi w:val="0"/>
              <w:ind w:firstLine="480" w:firstLineChars="200"/>
            </w:pPr>
            <w:r>
              <w:rPr>
                <w:rFonts w:hint="eastAsia"/>
              </w:rPr>
              <w:t>（8）</w:t>
            </w:r>
            <w:r>
              <w:t>本道路路基工程区开挖和填筑施工过程中扰动地表严重，产生的松散土石方数量较多，本项目采用沥青混凝土路面，硬化措施有效防止了降水直接进入土壤，彻底消除了土壤流失的动力源泉，对防止裸露地表的土壤流失具有非常好的作用。但在路面夯实前，回填土松散，容易造成水土流失。为防止土壤侵蚀发生塌方和水土流失而采用的坡面植草措施是边坡绿化工程的一部分，坡面植草是人为地、强制性地一次栽种好植物群落，以使坡面迅速覆盖上植物，从而减少水土流失量。选择坡面草必须具有下列特点：</w:t>
            </w:r>
            <w:r>
              <w:rPr>
                <w:rFonts w:hint="eastAsia" w:ascii="宋体" w:hAnsi="宋体" w:eastAsia="宋体" w:cs="宋体"/>
                <w:lang w:val="en-US" w:eastAsia="zh-CN"/>
              </w:rPr>
              <w:t>①</w:t>
            </w:r>
            <w:r>
              <w:t>发芽早，生长快，能尽量覆盖地面；</w:t>
            </w:r>
            <w:r>
              <w:rPr>
                <w:rFonts w:hint="eastAsia" w:ascii="宋体" w:hAnsi="宋体" w:eastAsia="宋体" w:cs="宋体"/>
              </w:rPr>
              <w:t>②</w:t>
            </w:r>
            <w:r>
              <w:t>根部连土性强，能防止表土侵蚀和流动；</w:t>
            </w:r>
            <w:r>
              <w:rPr>
                <w:rFonts w:hint="eastAsia" w:ascii="宋体" w:hAnsi="宋体" w:eastAsia="宋体" w:cs="宋体"/>
              </w:rPr>
              <w:t>③</w:t>
            </w:r>
            <w:r>
              <w:t>多年生植物，且能与周围环境相协调。</w:t>
            </w:r>
          </w:p>
          <w:p>
            <w:pPr>
              <w:bidi w:val="0"/>
              <w:ind w:firstLine="480" w:firstLineChars="200"/>
            </w:pPr>
            <w:r>
              <w:t>坡面植草的时间十分重要，即使边坡填方稳定，但在经常下暴雨的情况下，边坡受侵蚀后往往变得不稳定，因此建议工程中路基边坡植草要及时进行，在雨季前一个月植草效果最好。</w:t>
            </w:r>
          </w:p>
          <w:p>
            <w:pPr>
              <w:bidi w:val="0"/>
              <w:ind w:firstLine="480" w:firstLineChars="200"/>
            </w:pPr>
            <w:r>
              <w:t>采取上述措施</w:t>
            </w:r>
            <w:r>
              <w:rPr>
                <w:rFonts w:hint="eastAsia"/>
                <w:lang w:eastAsia="zh-CN"/>
              </w:rPr>
              <w:t>，</w:t>
            </w:r>
            <w:r>
              <w:rPr>
                <w:rFonts w:hint="eastAsia"/>
              </w:rPr>
              <w:t>执行开发建设项目水土保持“三同时”制度</w:t>
            </w:r>
            <w:r>
              <w:rPr>
                <w:rFonts w:hint="eastAsia"/>
                <w:lang w:eastAsia="zh-CN"/>
              </w:rPr>
              <w:t>，</w:t>
            </w:r>
            <w:r>
              <w:t>可避免或减轻施工期对生态环境的影响，且这些影响是短期的，随着施工期结束，本工程建设不会对周围生态环境产生明显影响。</w:t>
            </w:r>
          </w:p>
          <w:p>
            <w:pPr>
              <w:pStyle w:val="16"/>
              <w:spacing w:line="440" w:lineRule="exact"/>
              <w:rPr>
                <w:b/>
                <w:color w:val="000000"/>
                <w:u w:val="single"/>
                <w:lang w:val="en-US" w:eastAsia="zh-CN"/>
              </w:rPr>
            </w:pPr>
            <w:r>
              <w:rPr>
                <w:rFonts w:hint="eastAsia"/>
                <w:b/>
                <w:color w:val="000000"/>
                <w:u w:val="single"/>
                <w:lang w:val="en-US" w:eastAsia="zh-CN"/>
              </w:rPr>
              <w:t>7.6</w:t>
            </w:r>
            <w:r>
              <w:rPr>
                <w:b/>
                <w:color w:val="000000"/>
                <w:u w:val="single"/>
                <w:lang w:val="en-US" w:eastAsia="zh-CN"/>
              </w:rPr>
              <w:t>社会环境影响分析</w:t>
            </w:r>
          </w:p>
          <w:p>
            <w:pPr>
              <w:pStyle w:val="15"/>
              <w:spacing w:after="0" w:line="440" w:lineRule="exact"/>
              <w:ind w:firstLine="480" w:firstLineChars="200"/>
              <w:rPr>
                <w:color w:val="000000"/>
                <w:sz w:val="24"/>
                <w:u w:val="single"/>
              </w:rPr>
            </w:pPr>
            <w:r>
              <w:rPr>
                <w:color w:val="000000"/>
                <w:sz w:val="24"/>
                <w:u w:val="single"/>
              </w:rPr>
              <w:t>为使工程施工对沿线居民生活和区域交通影响减少到最低限度，制定如下减缓措施：</w:t>
            </w:r>
          </w:p>
          <w:p>
            <w:pPr>
              <w:pStyle w:val="15"/>
              <w:spacing w:after="0" w:line="440" w:lineRule="exact"/>
              <w:ind w:firstLine="480" w:firstLineChars="200"/>
              <w:rPr>
                <w:color w:val="000000"/>
                <w:sz w:val="24"/>
                <w:u w:val="single"/>
              </w:rPr>
            </w:pPr>
            <w:r>
              <w:rPr>
                <w:rFonts w:hint="eastAsia" w:ascii="宋体" w:hAnsi="宋体" w:eastAsia="宋体" w:cs="宋体"/>
                <w:color w:val="000000"/>
                <w:sz w:val="24"/>
                <w:u w:val="single"/>
              </w:rPr>
              <w:t>①</w:t>
            </w:r>
            <w:r>
              <w:rPr>
                <w:color w:val="000000"/>
                <w:sz w:val="24"/>
                <w:u w:val="single"/>
              </w:rPr>
              <w:t>施工期间区域道路交通车辆行走路线应进行统一分流规划，以防造成交通堵塞；并应提前利用广播、电视、报刊等出示安民告示。</w:t>
            </w:r>
          </w:p>
          <w:p>
            <w:pPr>
              <w:pStyle w:val="15"/>
              <w:spacing w:after="0" w:line="440" w:lineRule="exact"/>
              <w:ind w:firstLine="480" w:firstLineChars="200"/>
              <w:rPr>
                <w:color w:val="000000"/>
                <w:sz w:val="24"/>
                <w:u w:val="single"/>
              </w:rPr>
            </w:pPr>
            <w:r>
              <w:rPr>
                <w:rFonts w:hint="eastAsia" w:ascii="宋体" w:hAnsi="宋体" w:eastAsia="宋体" w:cs="宋体"/>
                <w:color w:val="000000"/>
                <w:sz w:val="24"/>
                <w:u w:val="single"/>
              </w:rPr>
              <w:t>②</w:t>
            </w:r>
            <w:r>
              <w:rPr>
                <w:color w:val="000000"/>
                <w:sz w:val="24"/>
                <w:u w:val="single"/>
              </w:rPr>
              <w:t>合理设置主体工程沿线临近交叉道路的合并与临时绕行通道，最大限度缩短主要交叉道路的封闭施工期。</w:t>
            </w:r>
          </w:p>
          <w:p>
            <w:pPr>
              <w:pStyle w:val="15"/>
              <w:spacing w:after="0" w:line="440" w:lineRule="exact"/>
              <w:ind w:firstLine="480" w:firstLineChars="200"/>
              <w:rPr>
                <w:color w:val="000000"/>
                <w:sz w:val="24"/>
                <w:u w:val="single"/>
              </w:rPr>
            </w:pPr>
            <w:r>
              <w:rPr>
                <w:rFonts w:hint="eastAsia" w:ascii="宋体" w:hAnsi="宋体" w:eastAsia="宋体" w:cs="宋体"/>
                <w:color w:val="000000"/>
                <w:sz w:val="24"/>
                <w:u w:val="single"/>
              </w:rPr>
              <w:t>③</w:t>
            </w:r>
            <w:r>
              <w:rPr>
                <w:color w:val="000000"/>
                <w:sz w:val="24"/>
                <w:u w:val="single"/>
              </w:rPr>
              <w:t>在施工路段设执勤岗，疏导交通，保证行人的出行安全。</w:t>
            </w:r>
          </w:p>
          <w:p>
            <w:pPr>
              <w:pStyle w:val="15"/>
              <w:spacing w:after="0" w:line="440" w:lineRule="exact"/>
              <w:ind w:firstLine="480" w:firstLineChars="200"/>
              <w:rPr>
                <w:color w:val="000000"/>
                <w:sz w:val="24"/>
                <w:u w:val="single"/>
              </w:rPr>
            </w:pPr>
            <w:r>
              <w:rPr>
                <w:rFonts w:hint="eastAsia" w:ascii="宋体" w:hAnsi="宋体" w:eastAsia="宋体" w:cs="宋体"/>
                <w:color w:val="000000"/>
                <w:sz w:val="24"/>
                <w:u w:val="single"/>
              </w:rPr>
              <w:t>④</w:t>
            </w:r>
            <w:r>
              <w:rPr>
                <w:color w:val="000000"/>
                <w:sz w:val="24"/>
                <w:u w:val="single"/>
              </w:rPr>
              <w:t>对施工机械和施工运输车辆行走路线要进行统一安排，颁布有关限制规定，以确保区域交通的畅通和正常运行，为减少项目施工期交通阻隔影响。</w:t>
            </w:r>
          </w:p>
          <w:p>
            <w:pPr>
              <w:pStyle w:val="15"/>
              <w:spacing w:after="0" w:line="440" w:lineRule="exact"/>
              <w:ind w:firstLine="480" w:firstLineChars="200"/>
              <w:rPr>
                <w:rFonts w:hint="eastAsia"/>
                <w:color w:val="000000"/>
                <w:sz w:val="24"/>
                <w:u w:val="single"/>
                <w:lang w:eastAsia="zh-CN"/>
              </w:rPr>
            </w:pPr>
            <w:r>
              <w:rPr>
                <w:rFonts w:hint="eastAsia" w:ascii="宋体" w:hAnsi="宋体" w:eastAsia="宋体" w:cs="宋体"/>
                <w:color w:val="000000"/>
                <w:sz w:val="24"/>
                <w:u w:val="single"/>
              </w:rPr>
              <w:t>⑤</w:t>
            </w:r>
            <w:r>
              <w:rPr>
                <w:color w:val="000000"/>
                <w:sz w:val="24"/>
                <w:u w:val="single"/>
              </w:rPr>
              <w:t>本项目道路在施工阶段筑路材料运输将会干扰现有道路的正常的交通秩序。因此，本评价要求，建设单位在交通拥挤时段应减少或停止施工车辆的行驶，并对交叉口设置专人指挥和疏导。施工过程中交叉工程处采取半幅施工的方式，并合理安排工期、提高工效、缩短工期</w:t>
            </w:r>
            <w:r>
              <w:rPr>
                <w:rFonts w:hint="eastAsia"/>
                <w:color w:val="000000"/>
                <w:sz w:val="24"/>
                <w:u w:val="single"/>
                <w:lang w:eastAsia="zh-CN"/>
              </w:rPr>
              <w:t>。</w:t>
            </w:r>
          </w:p>
          <w:p>
            <w:pPr>
              <w:pStyle w:val="15"/>
              <w:spacing w:after="0" w:line="440" w:lineRule="exact"/>
              <w:ind w:firstLine="480" w:firstLineChars="200"/>
              <w:rPr>
                <w:u w:val="single"/>
              </w:rPr>
            </w:pPr>
            <w:r>
              <w:rPr>
                <w:color w:val="000000"/>
                <w:sz w:val="24"/>
                <w:u w:val="single"/>
              </w:rPr>
              <w:t>采取上述措施后，可将施工期社会影响降低至最小。</w:t>
            </w:r>
          </w:p>
          <w:p>
            <w:pPr>
              <w:tabs>
                <w:tab w:val="left" w:pos="1900"/>
              </w:tabs>
              <w:ind w:firstLine="482" w:firstLineChars="200"/>
              <w:rPr>
                <w:b/>
                <w:bCs/>
                <w:sz w:val="24"/>
                <w:u w:val="single"/>
              </w:rPr>
            </w:pPr>
            <w:r>
              <w:rPr>
                <w:rFonts w:hint="eastAsia"/>
                <w:b/>
                <w:bCs/>
                <w:sz w:val="24"/>
                <w:u w:val="single"/>
              </w:rPr>
              <w:t>8</w:t>
            </w:r>
            <w:r>
              <w:rPr>
                <w:b/>
                <w:bCs/>
                <w:sz w:val="24"/>
                <w:u w:val="single"/>
              </w:rPr>
              <w:t>、施工期环境影响分析总结论</w:t>
            </w:r>
          </w:p>
          <w:p>
            <w:pPr>
              <w:bidi w:val="0"/>
              <w:ind w:firstLine="480" w:firstLineChars="200"/>
              <w:rPr>
                <w:rFonts w:cs="宋体"/>
                <w:highlight w:val="yellow"/>
              </w:rPr>
            </w:pPr>
            <w:r>
              <w:rPr>
                <w:rFonts w:hint="eastAsia"/>
              </w:rPr>
              <w:t>施工期主要污染包括施工扬尘、施工废水、施工机械噪声及施工引起的水土流失。在落实本次环评提出的措施的前提下，项目施工扬尘可以得到有效控制，能够达标排放，废水均能综合利用不外排，施工场地场界噪声能够达标排放，水土流失量可以大大降低。因此项目施工期对外环境的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8" w:hRule="atLeast"/>
          <w:jc w:val="center"/>
        </w:trPr>
        <w:tc>
          <w:tcPr>
            <w:tcW w:w="9289" w:type="dxa"/>
          </w:tcPr>
          <w:p>
            <w:pPr>
              <w:jc w:val="left"/>
              <w:rPr>
                <w:b/>
                <w:bCs/>
                <w:sz w:val="28"/>
                <w:szCs w:val="28"/>
              </w:rPr>
            </w:pPr>
            <w:r>
              <w:rPr>
                <w:b/>
                <w:bCs/>
                <w:sz w:val="28"/>
                <w:szCs w:val="28"/>
              </w:rPr>
              <w:t>营运期环境影响分析</w:t>
            </w:r>
          </w:p>
          <w:p>
            <w:pPr>
              <w:spacing w:line="240" w:lineRule="auto"/>
              <w:ind w:firstLine="482"/>
              <w:rPr>
                <w:rFonts w:hAnsi="Times New Roman" w:cs="Times New Roman"/>
                <w:b/>
              </w:rPr>
            </w:pPr>
            <w:r>
              <w:rPr>
                <w:rFonts w:hAnsi="Times New Roman" w:cs="Times New Roman"/>
                <w:b/>
              </w:rPr>
              <w:t>1、大气环境影响分析</w:t>
            </w:r>
          </w:p>
          <w:p>
            <w:pPr>
              <w:bidi w:val="0"/>
              <w:ind w:firstLine="480" w:firstLineChars="200"/>
            </w:pPr>
            <w:r>
              <w:t>本项目建成后，汽车尾气和道路扬尘是环境空气污染物的主要来源，污染物排放量的大小与交通量成比例增加，同时与车辆的类型、汽车运行的状况以及当地的气象条件有关。</w:t>
            </w:r>
          </w:p>
          <w:p>
            <w:pPr>
              <w:bidi w:val="0"/>
              <w:ind w:firstLine="480" w:firstLineChars="200"/>
              <w:rPr>
                <w:rFonts w:hint="eastAsia"/>
              </w:rPr>
            </w:pPr>
            <w:r>
              <w:rPr>
                <w:rFonts w:hint="eastAsia"/>
              </w:rPr>
              <w:t>由于本项目为经开区生物科技园示范园配套道路，未设置生活服务区、集中停车场等配套设施，未有1</w:t>
            </w:r>
            <w:r>
              <w:t>km</w:t>
            </w:r>
            <w:r>
              <w:rPr>
                <w:rFonts w:hint="eastAsia"/>
              </w:rPr>
              <w:t>及以上隧道工程，无集中式排放源，不需要计算大气环境评价等级，不需要进行大气环境影响预测评价。</w:t>
            </w:r>
          </w:p>
          <w:p>
            <w:pPr>
              <w:bidi w:val="0"/>
              <w:ind w:firstLine="480" w:firstLineChars="200"/>
            </w:pPr>
            <w:r>
              <w:rPr>
                <w:rFonts w:hint="eastAsia"/>
              </w:rPr>
              <w:t>另，</w:t>
            </w:r>
            <w:r>
              <w:t>根据现状调查，项目区域地形开阔，有利于地面污染物的扩散与稀释。因此，本项目营运期交通车辆尾气对道路两侧及区域环境空气质量影响较小，区域环境空气质量仍可达到《环境空气质量标准》（</w:t>
            </w:r>
            <w:r>
              <w:rPr>
                <w:rFonts w:hint="eastAsia"/>
              </w:rPr>
              <w:t>GB</w:t>
            </w:r>
            <w:r>
              <w:t>3095-2012）中的二级标准。</w:t>
            </w:r>
          </w:p>
          <w:p>
            <w:pPr>
              <w:ind w:firstLine="498" w:firstLineChars="200"/>
              <w:rPr>
                <w:b/>
                <w:bCs/>
                <w:spacing w:val="4"/>
                <w:sz w:val="24"/>
              </w:rPr>
            </w:pPr>
            <w:r>
              <w:rPr>
                <w:b/>
                <w:bCs/>
                <w:spacing w:val="4"/>
                <w:sz w:val="24"/>
              </w:rPr>
              <w:t>2、地表水环境影响分析</w:t>
            </w:r>
          </w:p>
          <w:p>
            <w:pPr>
              <w:bidi w:val="0"/>
              <w:ind w:firstLine="480" w:firstLineChars="200"/>
              <w:rPr>
                <w:rFonts w:hint="eastAsia"/>
                <w:lang w:val="en-US" w:eastAsia="zh-CN"/>
              </w:rPr>
            </w:pPr>
            <w:r>
              <w:t>项目营运期对附近水体产生的污染途径主要表现为路面雨水径流。</w:t>
            </w:r>
            <w:r>
              <w:rPr>
                <w:rFonts w:hint="eastAsia"/>
              </w:rPr>
              <w:t>本项目拟建道路沿线地表水体主要为鱼塘及河沟，</w:t>
            </w:r>
            <w:r>
              <w:rPr>
                <w:rFonts w:hint="eastAsia"/>
                <w:lang w:eastAsia="zh-CN"/>
              </w:rPr>
              <w:t>但</w:t>
            </w:r>
            <w:r>
              <w:rPr>
                <w:rFonts w:hint="eastAsia"/>
              </w:rPr>
              <w:t>项目所在区域地表水系主要为湘江及白石港</w:t>
            </w:r>
            <w:r>
              <w:rPr>
                <w:rFonts w:hint="eastAsia"/>
                <w:lang w:eastAsia="zh-CN"/>
              </w:rPr>
              <w:t>，</w:t>
            </w:r>
            <w:r>
              <w:rPr>
                <w:rFonts w:hint="eastAsia"/>
              </w:rPr>
              <w:t>项目所在地东侧最近距离约2.1km左右为白石港支流栗江。</w:t>
            </w:r>
            <w:r>
              <w:rPr>
                <w:rFonts w:hint="eastAsia"/>
                <w:lang w:val="en-US" w:eastAsia="zh-CN"/>
              </w:rPr>
              <w:t>雨水规划中工程范围内及上游马鞍路已设计雨水干管汇集的片区的雨水，经百合水库，由北向南汇入官典坝中支流，排至盘龙湖。污水规划中，新建污水沿道路由南向北经规划道路污水管排至下游规划蛟龙路污水干管，并沿规划官典坝中污水干管排至云龙污水处理厂。因规划道路及下游污水干管暂无建设计划，中特物流和马鞍安置区等沿线及周边地块污水暂无排放出路；建议位于百合水库西南侧设置临时污水处理站；并由业主另行委托有相关资质的单位进行专项设计。</w:t>
            </w:r>
          </w:p>
          <w:p>
            <w:pPr>
              <w:bidi w:val="0"/>
              <w:ind w:firstLine="480" w:firstLineChars="200"/>
            </w:pPr>
            <w:r>
              <w:t>本项目建成完工投入使用后，各种类型车辆排放尾气中所携带的污染物在路面沉积、汽车轮胎磨损的微粒、车架上粘带的泥土、车辆制动时洒落的污染物及车辆运行工况不佳时泄露的油料等，都会随降雨产生的路面径流进入道路的排水系统并最终进入地表水体，其主要的污染物有石油类、有机物和悬浮物等，这些污染物可能对沿线水体产生一定的污染。</w:t>
            </w:r>
          </w:p>
          <w:p>
            <w:pPr>
              <w:bidi w:val="0"/>
              <w:ind w:firstLine="480" w:firstLineChars="200"/>
            </w:pPr>
            <w:r>
              <w:t>影响路面径流污染的因素很多，包括降雨量、降雨历时、与车流量有关的路面及大气污染程度、两场降雨之间的间隔时间、路面宽度、灰尘沉降量和前期干旱时间、纳污路段长度等。因此，影响路面径流污染物浓度的因素多种多样，由于其影响因素变化性大、随机性强、偶然性大，至今尚无一套普遍适用的统一方法可供采用。</w:t>
            </w:r>
          </w:p>
          <w:p>
            <w:pPr>
              <w:bidi w:val="0"/>
              <w:ind w:firstLine="480" w:firstLineChars="200"/>
            </w:pPr>
            <w:r>
              <w:t>根据国家环保部华南环科所对南方地区路面径流污染情况的试验，结果表明，降雨初期，径流中BOD浓度即可达到《污水综合排放标准》中的一级标准，从降雨初期到形成径流的30分钟内，雨水中的悬浮物和油类物质的浓度比较高，半小时之后，其浓度随着降雨历时的延长下降较快，路面径流中，油类物质浓度可达到《污水综合排放标准》中的一级标准，降雨历时40~60分钟之后，路面基本被冲洗干净，路面径流中SS浓度相对稳定在较低水平，达到《污水综合排放标准》中的一级标准。在实际过程中，路面径流SS和油类物质浓度超标只是一个瞬间值，路面径流在通过路面横坡自然散排、漫流至水沟或边沟中，或通过边坡基槽集中排入排水沟的过程伴随着降雨稀释、泥沙对污染物的吸附、泥沙沉降等各种作用，路面径流中的污染物通过道路雨水管达到水体时浓度已大大降低。本项目建设对区域水环境的污染基本不会增加。</w:t>
            </w:r>
          </w:p>
          <w:p>
            <w:pPr>
              <w:bidi w:val="0"/>
              <w:ind w:firstLine="482" w:firstLineChars="200"/>
              <w:rPr>
                <w:b/>
                <w:bCs/>
              </w:rPr>
            </w:pPr>
            <w:r>
              <w:rPr>
                <w:b/>
                <w:bCs/>
              </w:rPr>
              <w:t>3、声环境影响分析</w:t>
            </w:r>
          </w:p>
          <w:p>
            <w:pPr>
              <w:bidi w:val="0"/>
              <w:ind w:firstLine="482" w:firstLineChars="200"/>
              <w:rPr>
                <w:b/>
                <w:bCs/>
                <w:u w:val="single"/>
              </w:rPr>
            </w:pPr>
            <w:r>
              <w:rPr>
                <w:rFonts w:hint="eastAsia"/>
                <w:b/>
                <w:bCs/>
                <w:u w:val="single"/>
                <w:lang w:val="en-US" w:eastAsia="zh-CN"/>
              </w:rPr>
              <w:t>3.</w:t>
            </w:r>
            <w:r>
              <w:rPr>
                <w:rFonts w:hint="eastAsia"/>
                <w:b/>
                <w:bCs/>
                <w:u w:val="single"/>
              </w:rPr>
              <w:t>1、预测范围</w:t>
            </w:r>
          </w:p>
          <w:p>
            <w:pPr>
              <w:bidi w:val="0"/>
              <w:ind w:firstLine="480" w:firstLineChars="200"/>
              <w:rPr>
                <w:u w:val="single"/>
              </w:rPr>
            </w:pPr>
            <w:r>
              <w:rPr>
                <w:rFonts w:hint="eastAsia"/>
                <w:u w:val="single"/>
              </w:rPr>
              <w:t>根据</w:t>
            </w:r>
            <w:r>
              <w:rPr>
                <w:u w:val="single"/>
              </w:rPr>
              <w:t>《环境影响评价技术导则—声环境》（HJ2.4-2009）</w:t>
            </w:r>
            <w:r>
              <w:rPr>
                <w:rFonts w:hint="eastAsia"/>
                <w:u w:val="single"/>
              </w:rPr>
              <w:t>，城市道路项目声环境一级评价一般以道路中心线外两侧200</w:t>
            </w:r>
            <w:r>
              <w:rPr>
                <w:u w:val="single"/>
              </w:rPr>
              <w:t>m</w:t>
            </w:r>
            <w:r>
              <w:rPr>
                <w:rFonts w:hint="eastAsia"/>
                <w:u w:val="single"/>
              </w:rPr>
              <w:t>以内为评价范围，二、三级评价范围可适当缩小，预测范围应与评价范围相同。故本项目声环境影响预测以道路中心线外两侧200</w:t>
            </w:r>
            <w:r>
              <w:rPr>
                <w:u w:val="single"/>
              </w:rPr>
              <w:t>m</w:t>
            </w:r>
            <w:r>
              <w:rPr>
                <w:rFonts w:hint="eastAsia"/>
                <w:u w:val="single"/>
              </w:rPr>
              <w:t>以内为预测范围。</w:t>
            </w:r>
          </w:p>
          <w:p>
            <w:pPr>
              <w:tabs>
                <w:tab w:val="left" w:pos="1280"/>
              </w:tabs>
              <w:ind w:firstLine="482" w:firstLineChars="200"/>
              <w:textAlignment w:val="baseline"/>
              <w:rPr>
                <w:b/>
                <w:bCs/>
                <w:sz w:val="24"/>
              </w:rPr>
            </w:pPr>
            <w:r>
              <w:rPr>
                <w:rFonts w:hint="eastAsia"/>
                <w:b/>
                <w:bCs/>
                <w:sz w:val="24"/>
                <w:lang w:val="en-US" w:eastAsia="zh-CN"/>
              </w:rPr>
              <w:t>3.</w:t>
            </w:r>
            <w:r>
              <w:rPr>
                <w:rFonts w:hint="eastAsia"/>
                <w:b/>
                <w:bCs/>
                <w:sz w:val="24"/>
              </w:rPr>
              <w:t>2、</w:t>
            </w:r>
            <w:r>
              <w:rPr>
                <w:b/>
                <w:bCs/>
                <w:sz w:val="24"/>
              </w:rPr>
              <w:t>预测模式</w:t>
            </w:r>
          </w:p>
          <w:p>
            <w:pPr>
              <w:tabs>
                <w:tab w:val="left" w:pos="1280"/>
              </w:tabs>
              <w:ind w:firstLine="480" w:firstLineChars="200"/>
              <w:textAlignment w:val="baseline"/>
              <w:rPr>
                <w:sz w:val="24"/>
              </w:rPr>
            </w:pPr>
            <w:r>
              <w:rPr>
                <w:sz w:val="24"/>
              </w:rPr>
              <w:t>本次声环境影响评价采用《环境影响评价技术导则—声环境》（HJ2.4-2009）中附录A推荐的</w:t>
            </w:r>
            <w:r>
              <w:rPr>
                <w:rFonts w:hint="eastAsia"/>
                <w:sz w:val="24"/>
                <w:lang w:eastAsia="zh-CN"/>
              </w:rPr>
              <w:t>“</w:t>
            </w:r>
            <w:r>
              <w:rPr>
                <w:sz w:val="24"/>
              </w:rPr>
              <w:t>公路（道路）交通运输噪声预测模式</w:t>
            </w:r>
            <w:r>
              <w:rPr>
                <w:rFonts w:hint="eastAsia"/>
                <w:sz w:val="24"/>
                <w:lang w:eastAsia="zh-CN"/>
              </w:rPr>
              <w:t>”</w:t>
            </w:r>
            <w:r>
              <w:rPr>
                <w:sz w:val="24"/>
              </w:rPr>
              <w:t>。</w:t>
            </w:r>
          </w:p>
          <w:p>
            <w:pPr>
              <w:tabs>
                <w:tab w:val="left" w:pos="1280"/>
              </w:tabs>
              <w:ind w:firstLine="480" w:firstLineChars="200"/>
              <w:textAlignment w:val="baseline"/>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第i类车等效声级的预测模式</w:t>
            </w:r>
          </w:p>
          <w:p>
            <w:pPr>
              <w:tabs>
                <w:tab w:val="left" w:pos="1280"/>
              </w:tabs>
              <w:adjustRightInd w:val="0"/>
              <w:snapToGrid w:val="0"/>
              <w:spacing w:line="240" w:lineRule="auto"/>
              <w:jc w:val="center"/>
              <w:textAlignment w:val="baseline"/>
              <w:rPr>
                <w:sz w:val="24"/>
              </w:rPr>
            </w:pPr>
            <w:r>
              <w:rPr>
                <w:b/>
                <w:bCs/>
                <w:sz w:val="24"/>
              </w:rPr>
              <w:drawing>
                <wp:inline distT="0" distB="0" distL="114300" distR="114300">
                  <wp:extent cx="4234815" cy="505460"/>
                  <wp:effectExtent l="0" t="0" r="13335" b="8255"/>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pic:cNvPicPr>
                        </pic:nvPicPr>
                        <pic:blipFill>
                          <a:blip r:embed="rId28"/>
                          <a:stretch>
                            <a:fillRect/>
                          </a:stretch>
                        </pic:blipFill>
                        <pic:spPr>
                          <a:xfrm>
                            <a:off x="0" y="0"/>
                            <a:ext cx="4234815" cy="505460"/>
                          </a:xfrm>
                          <a:prstGeom prst="rect">
                            <a:avLst/>
                          </a:prstGeom>
                          <a:noFill/>
                          <a:ln>
                            <a:noFill/>
                          </a:ln>
                        </pic:spPr>
                      </pic:pic>
                    </a:graphicData>
                  </a:graphic>
                </wp:inline>
              </w:drawing>
            </w:r>
          </w:p>
          <w:p>
            <w:pPr>
              <w:bidi w:val="0"/>
              <w:ind w:firstLine="480" w:firstLineChars="200"/>
              <w:rPr>
                <w:rFonts w:hint="eastAsia"/>
              </w:rPr>
            </w:pPr>
            <w:r>
              <w:rPr>
                <w:rFonts w:hint="eastAsia"/>
              </w:rPr>
              <w:t>式中：Leq(h)i──第i类车的小时等效声级，dB（A）；</w:t>
            </w:r>
          </w:p>
          <w:p>
            <w:pPr>
              <w:bidi w:val="0"/>
              <w:ind w:firstLine="1200" w:firstLineChars="500"/>
              <w:rPr>
                <w:rFonts w:hint="eastAsia"/>
              </w:rPr>
            </w:pPr>
            <w:r>
              <w:rPr>
                <w:rFonts w:hint="eastAsia"/>
              </w:rPr>
              <w:t>(L</w:t>
            </w:r>
            <w:r>
              <w:rPr>
                <w:rFonts w:hint="eastAsia"/>
                <w:vertAlign w:val="subscript"/>
              </w:rPr>
              <w:t>△E</w:t>
            </w:r>
            <w:r>
              <w:rPr>
                <w:rFonts w:hint="eastAsia"/>
              </w:rPr>
              <w:t>)</w:t>
            </w:r>
            <w:r>
              <w:rPr>
                <w:rFonts w:hint="eastAsia"/>
                <w:vertAlign w:val="subscript"/>
              </w:rPr>
              <w:t>i</w:t>
            </w:r>
            <w:r>
              <w:rPr>
                <w:rFonts w:hint="eastAsia"/>
                <w:vertAlign w:val="subscript"/>
                <w:lang w:val="en-US" w:eastAsia="zh-CN"/>
              </w:rPr>
              <w:t xml:space="preserve"> </w:t>
            </w:r>
            <w:r>
              <w:rPr>
                <w:sz w:val="24"/>
              </w:rPr>
              <w:t>──</w:t>
            </w:r>
            <w:r>
              <w:rPr>
                <w:rFonts w:hint="eastAsia"/>
              </w:rPr>
              <w:t>第i类车在速度为Vi(km/h)；水平距离为7.5m处的能量平均A声级，dB(A)；</w:t>
            </w:r>
          </w:p>
          <w:p>
            <w:pPr>
              <w:bidi w:val="0"/>
              <w:ind w:firstLine="1200" w:firstLineChars="500"/>
              <w:rPr>
                <w:rFonts w:hint="eastAsia"/>
              </w:rPr>
            </w:pPr>
            <w:r>
              <w:rPr>
                <w:rFonts w:hint="eastAsia"/>
              </w:rPr>
              <w:t>N</w:t>
            </w:r>
            <w:r>
              <w:rPr>
                <w:rFonts w:hint="eastAsia"/>
                <w:vertAlign w:val="subscript"/>
              </w:rPr>
              <w:t>i</w:t>
            </w:r>
            <w:r>
              <w:rPr>
                <w:sz w:val="24"/>
              </w:rPr>
              <w:t>──</w:t>
            </w:r>
            <w:r>
              <w:rPr>
                <w:rFonts w:hint="eastAsia"/>
              </w:rPr>
              <w:t>昼间、夜间通过某个预测点的第I类车平均小时车流量，辆/h；</w:t>
            </w:r>
          </w:p>
          <w:p>
            <w:pPr>
              <w:bidi w:val="0"/>
              <w:ind w:firstLine="1200" w:firstLineChars="500"/>
              <w:rPr>
                <w:rFonts w:hint="eastAsia"/>
              </w:rPr>
            </w:pPr>
            <w:r>
              <w:rPr>
                <w:rFonts w:hint="eastAsia"/>
              </w:rPr>
              <w:t>R</w:t>
            </w:r>
            <w:r>
              <w:rPr>
                <w:rFonts w:hint="eastAsia"/>
                <w:lang w:val="en-US" w:eastAsia="zh-CN"/>
              </w:rPr>
              <w:t xml:space="preserve"> </w:t>
            </w:r>
            <w:r>
              <w:rPr>
                <w:sz w:val="24"/>
              </w:rPr>
              <w:t>──</w:t>
            </w:r>
            <w:r>
              <w:rPr>
                <w:rFonts w:hint="eastAsia"/>
              </w:rPr>
              <w:t>从车道中心线到预测点的距离，m；适用于r&gt;7.5m预测点的噪声预测；</w:t>
            </w:r>
          </w:p>
          <w:p>
            <w:pPr>
              <w:bidi w:val="0"/>
              <w:ind w:firstLine="1200" w:firstLineChars="500"/>
              <w:rPr>
                <w:rFonts w:hint="eastAsia"/>
              </w:rPr>
            </w:pPr>
            <w:r>
              <w:rPr>
                <w:rFonts w:hint="eastAsia"/>
              </w:rPr>
              <w:t>V</w:t>
            </w:r>
            <w:r>
              <w:rPr>
                <w:rFonts w:hint="eastAsia"/>
                <w:vertAlign w:val="subscript"/>
              </w:rPr>
              <w:t>i</w:t>
            </w:r>
            <w:r>
              <w:rPr>
                <w:rFonts w:hint="eastAsia"/>
                <w:vertAlign w:val="subscript"/>
                <w:lang w:val="en-US" w:eastAsia="zh-CN"/>
              </w:rPr>
              <w:t xml:space="preserve"> </w:t>
            </w:r>
            <w:r>
              <w:rPr>
                <w:sz w:val="24"/>
              </w:rPr>
              <w:t>──</w:t>
            </w:r>
            <w:r>
              <w:rPr>
                <w:rFonts w:hint="eastAsia"/>
              </w:rPr>
              <w:t>第I类车平均车速，km/h；</w:t>
            </w:r>
          </w:p>
          <w:p>
            <w:pPr>
              <w:bidi w:val="0"/>
              <w:ind w:firstLine="1200" w:firstLineChars="500"/>
              <w:rPr>
                <w:rFonts w:hint="eastAsia"/>
              </w:rPr>
            </w:pPr>
            <w:r>
              <w:rPr>
                <w:rFonts w:hint="eastAsia"/>
              </w:rPr>
              <w:t>T</w:t>
            </w:r>
            <w:r>
              <w:rPr>
                <w:sz w:val="24"/>
              </w:rPr>
              <w:t>──</w:t>
            </w:r>
            <w:r>
              <w:rPr>
                <w:rFonts w:hint="eastAsia"/>
              </w:rPr>
              <w:t>计算等效声级的时间，1h；</w:t>
            </w:r>
          </w:p>
          <w:p>
            <w:pPr>
              <w:bidi w:val="0"/>
              <w:ind w:firstLine="1200" w:firstLineChars="500"/>
              <w:rPr>
                <w:rFonts w:hint="eastAsia"/>
              </w:rPr>
            </w:pPr>
            <w:r>
              <w:rPr>
                <w:rFonts w:hint="eastAsia"/>
              </w:rPr>
              <w:t>ψ</w:t>
            </w:r>
            <w:r>
              <w:rPr>
                <w:rFonts w:hint="eastAsia"/>
                <w:vertAlign w:val="subscript"/>
              </w:rPr>
              <w:t>1</w:t>
            </w:r>
            <w:r>
              <w:rPr>
                <w:rFonts w:hint="eastAsia"/>
              </w:rPr>
              <w:t>、ψ</w:t>
            </w:r>
            <w:r>
              <w:rPr>
                <w:rFonts w:hint="eastAsia"/>
                <w:vertAlign w:val="subscript"/>
              </w:rPr>
              <w:t>2</w:t>
            </w:r>
            <w:r>
              <w:rPr>
                <w:sz w:val="24"/>
              </w:rPr>
              <w:t>──</w:t>
            </w:r>
            <w:r>
              <w:rPr>
                <w:rFonts w:hint="eastAsia"/>
              </w:rPr>
              <w:t>预测点到有限长路段两端的张角，弧度，如下图所示；</w:t>
            </w:r>
          </w:p>
          <w:p>
            <w:pPr>
              <w:bidi w:val="0"/>
              <w:ind w:firstLine="1200" w:firstLineChars="500"/>
              <w:rPr>
                <w:rFonts w:hint="eastAsia"/>
              </w:rPr>
            </w:pPr>
            <w:r>
              <w:rPr>
                <w:color w:val="auto"/>
                <w:sz w:val="24"/>
                <w:u w:val="none"/>
                <w:lang w:val="zh-CN"/>
              </w:rPr>
              <w:object>
                <v:shape id="_x0000_i1030" o:spt="75" type="#_x0000_t75" style="height:11.7pt;width:17.6pt;" o:ole="t" filled="f" o:preferrelative="t" stroked="f" coordsize="21600,21600">
                  <v:path/>
                  <v:fill on="f" focussize="0,0"/>
                  <v:stroke on="f" joinstyle="miter"/>
                  <v:imagedata r:id="rId30" o:title=""/>
                  <o:lock v:ext="edit" aspectratio="t"/>
                  <w10:wrap type="none"/>
                  <w10:anchorlock/>
                </v:shape>
                <o:OLEObject Type="Embed" ProgID="Equation.DSMT4" ShapeID="_x0000_i1030" DrawAspect="Content" ObjectID="_1468075730" r:id="rId29">
                  <o:LockedField>false</o:LockedField>
                </o:OLEObject>
              </w:object>
            </w:r>
            <w:r>
              <w:rPr>
                <w:sz w:val="24"/>
              </w:rPr>
              <w:t>──</w:t>
            </w:r>
            <w:r>
              <w:rPr>
                <w:rFonts w:hint="eastAsia"/>
              </w:rPr>
              <w:t>由其它因素引起的修正量，dB（A）。</w:t>
            </w:r>
          </w:p>
          <w:p>
            <w:pPr>
              <w:bidi w:val="0"/>
              <w:ind w:firstLine="480" w:firstLineChars="200"/>
              <w:rPr>
                <w:rFonts w:hint="eastAsia"/>
              </w:rPr>
            </w:pPr>
            <w:r>
              <w:rPr>
                <w:rFonts w:hint="eastAsia"/>
              </w:rPr>
              <w:t>有限路段的修正函数如下图（A—B为路段，P为预测点）：</w:t>
            </w:r>
          </w:p>
          <w:p>
            <w:pPr>
              <w:bidi w:val="0"/>
              <w:spacing w:line="240" w:lineRule="auto"/>
              <w:jc w:val="center"/>
            </w:pPr>
            <w:r>
              <w:rPr>
                <w:rFonts w:hint="eastAsia"/>
              </w:rPr>
              <w:drawing>
                <wp:inline distT="0" distB="0" distL="0" distR="0">
                  <wp:extent cx="2961640" cy="1080770"/>
                  <wp:effectExtent l="0" t="0" r="0" b="5080"/>
                  <wp:docPr id="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2"/>
                          <pic:cNvPicPr>
                            <a:picLocks noChangeAspect="1" noChangeArrowheads="1"/>
                          </pic:cNvPicPr>
                        </pic:nvPicPr>
                        <pic:blipFill>
                          <a:blip r:embed="rId31">
                            <a:extLst>
                              <a:ext uri="{28A0092B-C50C-407E-A947-70E740481C1C}">
                                <a14:useLocalDpi xmlns:a14="http://schemas.microsoft.com/office/drawing/2010/main" val="0"/>
                              </a:ext>
                            </a:extLst>
                          </a:blip>
                          <a:srcRect l="14764" r="4698"/>
                          <a:stretch>
                            <a:fillRect/>
                          </a:stretch>
                        </pic:blipFill>
                        <pic:spPr>
                          <a:xfrm>
                            <a:off x="0" y="0"/>
                            <a:ext cx="2961640" cy="1080770"/>
                          </a:xfrm>
                          <a:prstGeom prst="rect">
                            <a:avLst/>
                          </a:prstGeom>
                          <a:noFill/>
                          <a:ln>
                            <a:noFill/>
                          </a:ln>
                          <a:effectLst/>
                        </pic:spPr>
                      </pic:pic>
                    </a:graphicData>
                  </a:graphic>
                </wp:inline>
              </w:drawing>
            </w:r>
          </w:p>
          <w:p>
            <w:pPr>
              <w:pStyle w:val="14"/>
              <w:spacing w:after="0"/>
              <w:ind w:firstLine="480" w:firstLineChars="200"/>
              <w:rPr>
                <w:sz w:val="24"/>
              </w:rPr>
            </w:pPr>
            <w:r>
              <w:rPr>
                <w:sz w:val="24"/>
              </w:rPr>
              <w:t>可按下式计算：</w:t>
            </w:r>
          </w:p>
          <w:p>
            <w:pPr>
              <w:pStyle w:val="14"/>
              <w:spacing w:after="0"/>
              <w:ind w:firstLine="480" w:firstLineChars="200"/>
              <w:jc w:val="center"/>
              <w:rPr>
                <w:sz w:val="24"/>
              </w:rPr>
            </w:pPr>
            <w:r>
              <w:rPr>
                <w:sz w:val="24"/>
                <w:lang w:val="zh-CN"/>
              </w:rPr>
              <w:object>
                <v:shape id="_x0000_i1031"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1" r:id="rId32">
                  <o:LockedField>false</o:LockedField>
                </o:OLEObject>
              </w:object>
            </w:r>
            <w:r>
              <w:rPr>
                <w:sz w:val="24"/>
              </w:rPr>
              <w:t>=</w:t>
            </w:r>
            <w:r>
              <w:rPr>
                <w:sz w:val="24"/>
                <w:lang w:val="zh-CN"/>
              </w:rPr>
              <w:object>
                <v:shape id="_x0000_i1032"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33">
                  <o:LockedField>false</o:LockedField>
                </o:OLEObject>
              </w:object>
            </w:r>
            <w:r>
              <w:rPr>
                <w:sz w:val="24"/>
                <w:vertAlign w:val="subscript"/>
              </w:rPr>
              <w:t>1</w:t>
            </w:r>
            <w:r>
              <w:rPr>
                <w:sz w:val="24"/>
              </w:rPr>
              <w:t>-</w:t>
            </w:r>
            <w:r>
              <w:rPr>
                <w:sz w:val="24"/>
                <w:lang w:val="zh-CN"/>
              </w:rPr>
              <w:object>
                <v:shape id="_x0000_i1033"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33" DrawAspect="Content" ObjectID="_1468075733" r:id="rId34">
                  <o:LockedField>false</o:LockedField>
                </o:OLEObject>
              </w:object>
            </w:r>
            <w:r>
              <w:rPr>
                <w:sz w:val="24"/>
                <w:vertAlign w:val="subscript"/>
              </w:rPr>
              <w:t>2</w:t>
            </w:r>
            <w:r>
              <w:rPr>
                <w:sz w:val="24"/>
              </w:rPr>
              <w:t>+</w:t>
            </w:r>
            <w:r>
              <w:rPr>
                <w:sz w:val="24"/>
                <w:lang w:val="zh-CN"/>
              </w:rPr>
              <w:object>
                <v:shape id="_x0000_i1034"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35">
                  <o:LockedField>false</o:LockedField>
                </o:OLEObject>
              </w:object>
            </w:r>
            <w:r>
              <w:rPr>
                <w:sz w:val="24"/>
                <w:vertAlign w:val="subscript"/>
              </w:rPr>
              <w:t>3</w:t>
            </w:r>
          </w:p>
          <w:p>
            <w:pPr>
              <w:pStyle w:val="14"/>
              <w:spacing w:after="0"/>
              <w:ind w:firstLine="480" w:firstLineChars="200"/>
              <w:jc w:val="center"/>
              <w:rPr>
                <w:sz w:val="24"/>
              </w:rPr>
            </w:pPr>
            <w:r>
              <w:rPr>
                <w:sz w:val="24"/>
                <w:lang w:val="zh-CN"/>
              </w:rPr>
              <w:object>
                <v:shape id="_x0000_i1035"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36">
                  <o:LockedField>false</o:LockedField>
                </o:OLEObject>
              </w:object>
            </w:r>
            <w:r>
              <w:rPr>
                <w:sz w:val="24"/>
                <w:vertAlign w:val="subscript"/>
              </w:rPr>
              <w:t>1</w:t>
            </w:r>
            <w:r>
              <w:rPr>
                <w:sz w:val="24"/>
              </w:rPr>
              <w:t>=</w:t>
            </w:r>
            <w:r>
              <w:rPr>
                <w:sz w:val="24"/>
                <w:lang w:val="zh-CN"/>
              </w:rPr>
              <w:object>
                <v:shape id="_x0000_i1036"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37">
                  <o:LockedField>false</o:LockedField>
                </o:OLEObject>
              </w:object>
            </w:r>
            <w:r>
              <w:rPr>
                <w:sz w:val="24"/>
                <w:vertAlign w:val="subscript"/>
              </w:rPr>
              <w:t>坡度</w:t>
            </w:r>
            <w:r>
              <w:rPr>
                <w:sz w:val="24"/>
              </w:rPr>
              <w:t>+</w:t>
            </w:r>
            <w:r>
              <w:rPr>
                <w:sz w:val="24"/>
                <w:lang w:val="zh-CN"/>
              </w:rPr>
              <w:object>
                <v:shape id="_x0000_i1037"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37" DrawAspect="Content" ObjectID="_1468075737" r:id="rId38">
                  <o:LockedField>false</o:LockedField>
                </o:OLEObject>
              </w:object>
            </w:r>
            <w:r>
              <w:rPr>
                <w:sz w:val="24"/>
                <w:vertAlign w:val="subscript"/>
              </w:rPr>
              <w:t>路面</w:t>
            </w:r>
          </w:p>
          <w:p>
            <w:pPr>
              <w:pStyle w:val="14"/>
              <w:spacing w:after="0"/>
              <w:ind w:firstLine="480" w:firstLineChars="200"/>
              <w:jc w:val="center"/>
              <w:rPr>
                <w:sz w:val="24"/>
              </w:rPr>
            </w:pPr>
            <w:r>
              <w:rPr>
                <w:sz w:val="24"/>
                <w:lang w:val="zh-CN"/>
              </w:rPr>
              <w:object>
                <v:shape id="_x0000_i1038"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38" DrawAspect="Content" ObjectID="_1468075738" r:id="rId39">
                  <o:LockedField>false</o:LockedField>
                </o:OLEObject>
              </w:object>
            </w:r>
            <w:r>
              <w:rPr>
                <w:sz w:val="24"/>
                <w:vertAlign w:val="subscript"/>
              </w:rPr>
              <w:t>2</w:t>
            </w:r>
            <w:r>
              <w:rPr>
                <w:sz w:val="24"/>
              </w:rPr>
              <w:t>=A</w:t>
            </w:r>
            <w:r>
              <w:rPr>
                <w:rFonts w:hint="eastAsia"/>
                <w:sz w:val="24"/>
                <w:vertAlign w:val="subscript"/>
                <w:lang w:val="en-US" w:eastAsia="zh-CN"/>
              </w:rPr>
              <w:t xml:space="preserve"> </w:t>
            </w:r>
            <w:r>
              <w:rPr>
                <w:sz w:val="24"/>
                <w:vertAlign w:val="subscript"/>
              </w:rPr>
              <w:t>atm</w:t>
            </w:r>
            <w:r>
              <w:rPr>
                <w:sz w:val="24"/>
              </w:rPr>
              <w:t>+A</w:t>
            </w:r>
            <w:r>
              <w:rPr>
                <w:rFonts w:hint="eastAsia"/>
                <w:sz w:val="24"/>
                <w:vertAlign w:val="subscript"/>
                <w:lang w:val="en-US" w:eastAsia="zh-CN"/>
              </w:rPr>
              <w:t xml:space="preserve"> </w:t>
            </w:r>
            <w:r>
              <w:rPr>
                <w:sz w:val="24"/>
                <w:vertAlign w:val="subscript"/>
              </w:rPr>
              <w:t>gr</w:t>
            </w:r>
            <w:r>
              <w:rPr>
                <w:sz w:val="24"/>
              </w:rPr>
              <w:t>+A</w:t>
            </w:r>
            <w:r>
              <w:rPr>
                <w:rFonts w:hint="eastAsia"/>
                <w:sz w:val="24"/>
                <w:vertAlign w:val="subscript"/>
                <w:lang w:val="en-US" w:eastAsia="zh-CN"/>
              </w:rPr>
              <w:t xml:space="preserve"> </w:t>
            </w:r>
            <w:r>
              <w:rPr>
                <w:sz w:val="24"/>
                <w:vertAlign w:val="subscript"/>
              </w:rPr>
              <w:t>bar</w:t>
            </w:r>
            <w:r>
              <w:rPr>
                <w:sz w:val="24"/>
              </w:rPr>
              <w:t>+A</w:t>
            </w:r>
            <w:r>
              <w:rPr>
                <w:rFonts w:hint="eastAsia"/>
                <w:sz w:val="24"/>
                <w:vertAlign w:val="subscript"/>
                <w:lang w:val="en-US" w:eastAsia="zh-CN"/>
              </w:rPr>
              <w:t xml:space="preserve"> </w:t>
            </w:r>
            <w:r>
              <w:rPr>
                <w:sz w:val="24"/>
                <w:vertAlign w:val="subscript"/>
              </w:rPr>
              <w:t>misc</w:t>
            </w:r>
          </w:p>
          <w:p>
            <w:pPr>
              <w:bidi w:val="0"/>
              <w:ind w:firstLine="480" w:firstLineChars="200"/>
            </w:pPr>
            <w:r>
              <w:rPr>
                <w:rFonts w:hint="eastAsia"/>
                <w:lang w:val="zh-CN"/>
              </w:rPr>
              <w:t>式中：</w:t>
            </w:r>
            <w:r>
              <w:rPr>
                <w:lang w:val="zh-CN"/>
              </w:rPr>
              <w:object>
                <v:shape id="_x0000_i1039"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39" DrawAspect="Content" ObjectID="_1468075739" r:id="rId40">
                  <o:LockedField>false</o:LockedField>
                </o:OLEObject>
              </w:object>
            </w:r>
            <w:r>
              <w:t>1──线路因素引起的修正量，dB（A）；</w:t>
            </w:r>
          </w:p>
          <w:p>
            <w:pPr>
              <w:bidi w:val="0"/>
            </w:pPr>
            <w:r>
              <w:rPr>
                <w:rFonts w:hint="eastAsia"/>
                <w:lang w:val="en-US" w:eastAsia="zh-CN"/>
              </w:rPr>
              <w:t xml:space="preserve">          </w:t>
            </w:r>
            <w:r>
              <w:rPr>
                <w:lang w:val="zh-CN"/>
              </w:rPr>
              <w:object>
                <v:shape id="_x0000_i1040"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40" DrawAspect="Content" ObjectID="_1468075740" r:id="rId41">
                  <o:LockedField>false</o:LockedField>
                </o:OLEObject>
              </w:object>
            </w:r>
            <w:r>
              <w:t>坡度──公路纵坡修正量，dB（A）；</w:t>
            </w:r>
          </w:p>
          <w:p>
            <w:pPr>
              <w:bidi w:val="0"/>
              <w:ind w:firstLine="1200" w:firstLineChars="500"/>
            </w:pPr>
            <w:r>
              <w:rPr>
                <w:lang w:val="zh-CN"/>
              </w:rPr>
              <w:object>
                <v:shape id="_x0000_i1041"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41" DrawAspect="Content" ObjectID="_1468075741" r:id="rId42">
                  <o:LockedField>false</o:LockedField>
                </o:OLEObject>
              </w:object>
            </w:r>
            <w:r>
              <w:t>路面──公路路面材料引起的修正量，dB（A）；</w:t>
            </w:r>
          </w:p>
          <w:p>
            <w:pPr>
              <w:bidi w:val="0"/>
            </w:pPr>
            <w:r>
              <w:rPr>
                <w:rFonts w:hint="eastAsia"/>
                <w:lang w:val="en-US" w:eastAsia="zh-CN"/>
              </w:rPr>
              <w:t xml:space="preserve">          </w:t>
            </w:r>
            <w:r>
              <w:rPr>
                <w:lang w:val="zh-CN"/>
              </w:rPr>
              <w:object>
                <v:shape id="_x0000_i1042"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42" DrawAspect="Content" ObjectID="_1468075742" r:id="rId43">
                  <o:LockedField>false</o:LockedField>
                </o:OLEObject>
              </w:object>
            </w:r>
            <w:r>
              <w:rPr>
                <w:vertAlign w:val="subscript"/>
              </w:rPr>
              <w:t>2</w:t>
            </w:r>
            <w:r>
              <w:rPr>
                <w:rFonts w:hint="eastAsia"/>
                <w:vertAlign w:val="subscript"/>
                <w:lang w:val="en-US" w:eastAsia="zh-CN"/>
              </w:rPr>
              <w:t xml:space="preserve"> </w:t>
            </w:r>
            <w:r>
              <w:t>──声波传播途径引起的衰减量，dB（A）；</w:t>
            </w:r>
          </w:p>
          <w:p>
            <w:pPr>
              <w:bidi w:val="0"/>
            </w:pPr>
            <w:r>
              <w:rPr>
                <w:rFonts w:hint="eastAsia"/>
                <w:lang w:val="en-US" w:eastAsia="zh-CN"/>
              </w:rPr>
              <w:t xml:space="preserve">          </w:t>
            </w:r>
            <w:r>
              <w:rPr>
                <w:lang w:val="zh-CN"/>
              </w:rPr>
              <w:object>
                <v:shape id="_x0000_i1043" o:spt="75" type="#_x0000_t75" style="height:11.35pt;width:17.05pt;" o:ole="t" filled="f" o:preferrelative="t" stroked="f" coordsize="21600,21600">
                  <v:path/>
                  <v:fill on="f" focussize="0,0"/>
                  <v:stroke on="f" joinstyle="miter"/>
                  <v:imagedata r:id="rId30" o:title=""/>
                  <o:lock v:ext="edit" aspectratio="t"/>
                  <w10:wrap type="none"/>
                  <w10:anchorlock/>
                </v:shape>
                <o:OLEObject Type="Embed" ProgID="Equation.DSMT4" ShapeID="_x0000_i1043" DrawAspect="Content" ObjectID="_1468075743" r:id="rId44">
                  <o:LockedField>false</o:LockedField>
                </o:OLEObject>
              </w:object>
            </w:r>
            <w:r>
              <w:rPr>
                <w:vertAlign w:val="subscript"/>
              </w:rPr>
              <w:t>3</w:t>
            </w:r>
            <w:r>
              <w:rPr>
                <w:rFonts w:hint="eastAsia"/>
                <w:vertAlign w:val="subscript"/>
                <w:lang w:val="en-US" w:eastAsia="zh-CN"/>
              </w:rPr>
              <w:t xml:space="preserve"> </w:t>
            </w:r>
            <w:r>
              <w:t>──由反射等引起的修正量，dB（A）。</w:t>
            </w:r>
          </w:p>
          <w:p>
            <w:pPr>
              <w:tabs>
                <w:tab w:val="left" w:pos="1280"/>
              </w:tabs>
              <w:ind w:firstLine="480" w:firstLineChars="200"/>
              <w:textAlignment w:val="baseline"/>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总车辆等效声级为：</w:t>
            </w:r>
          </w:p>
          <w:p>
            <w:pPr>
              <w:tabs>
                <w:tab w:val="left" w:pos="1280"/>
              </w:tabs>
              <w:spacing w:line="240" w:lineRule="auto"/>
              <w:jc w:val="center"/>
              <w:textAlignment w:val="baseline"/>
              <w:rPr>
                <w:rFonts w:cs="宋体"/>
                <w:sz w:val="24"/>
              </w:rPr>
            </w:pPr>
            <w:r>
              <w:rPr>
                <w:rFonts w:hint="eastAsia" w:cs="宋体"/>
                <w:sz w:val="24"/>
                <w:lang w:val="zh-CN"/>
              </w:rPr>
              <w:object>
                <v:shape id="_x0000_i1044" o:spt="75" type="#_x0000_t75" style="height:22.75pt;width:333.45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p>
          <w:p>
            <w:pPr>
              <w:tabs>
                <w:tab w:val="left" w:pos="1280"/>
              </w:tabs>
              <w:ind w:firstLine="480" w:firstLineChars="200"/>
              <w:textAlignment w:val="baseline"/>
              <w:rPr>
                <w:sz w:val="24"/>
              </w:rPr>
            </w:pPr>
            <w:r>
              <w:rPr>
                <w:sz w:val="24"/>
                <w:lang w:val="zh-CN"/>
              </w:rPr>
              <w:t>式中：</w:t>
            </w:r>
            <w:r>
              <w:rPr>
                <w:color w:val="auto"/>
                <w:sz w:val="24"/>
                <w:u w:val="none"/>
                <w:lang w:val="zh-CN"/>
              </w:rPr>
              <w:t>Leq</w:t>
            </w:r>
            <w:r>
              <w:rPr>
                <w:rFonts w:hint="eastAsia"/>
                <w:color w:val="auto"/>
                <w:sz w:val="24"/>
                <w:u w:val="none"/>
                <w:lang w:val="en-US" w:eastAsia="zh-CN"/>
              </w:rPr>
              <w:t>(</w:t>
            </w:r>
            <w:r>
              <w:rPr>
                <w:color w:val="auto"/>
                <w:sz w:val="24"/>
                <w:u w:val="none"/>
              </w:rPr>
              <w:t>h</w:t>
            </w:r>
            <w:r>
              <w:rPr>
                <w:rFonts w:hint="eastAsia"/>
                <w:color w:val="auto"/>
                <w:sz w:val="24"/>
                <w:u w:val="none"/>
                <w:lang w:val="en-US" w:eastAsia="zh-CN"/>
              </w:rPr>
              <w:t>)</w:t>
            </w:r>
            <w:r>
              <w:rPr>
                <w:color w:val="auto"/>
                <w:sz w:val="24"/>
                <w:u w:val="none"/>
                <w:lang w:val="zh-CN"/>
              </w:rPr>
              <w:t>大、Leq</w:t>
            </w:r>
            <w:r>
              <w:rPr>
                <w:rFonts w:hint="eastAsia"/>
                <w:color w:val="auto"/>
                <w:sz w:val="24"/>
                <w:u w:val="none"/>
                <w:lang w:val="en-US" w:eastAsia="zh-CN"/>
              </w:rPr>
              <w:t>(</w:t>
            </w:r>
            <w:r>
              <w:rPr>
                <w:color w:val="auto"/>
                <w:sz w:val="24"/>
                <w:u w:val="none"/>
              </w:rPr>
              <w:t>h</w:t>
            </w:r>
            <w:r>
              <w:rPr>
                <w:rFonts w:hint="eastAsia"/>
                <w:color w:val="auto"/>
                <w:sz w:val="24"/>
                <w:u w:val="none"/>
                <w:lang w:val="en-US" w:eastAsia="zh-CN"/>
              </w:rPr>
              <w:t>)</w:t>
            </w:r>
            <w:r>
              <w:rPr>
                <w:color w:val="auto"/>
                <w:sz w:val="24"/>
                <w:u w:val="none"/>
                <w:lang w:val="zh-CN"/>
              </w:rPr>
              <w:t>中、Leq</w:t>
            </w:r>
            <w:r>
              <w:rPr>
                <w:rFonts w:hint="eastAsia"/>
                <w:color w:val="auto"/>
                <w:sz w:val="24"/>
                <w:u w:val="none"/>
                <w:lang w:val="en-US" w:eastAsia="zh-CN"/>
              </w:rPr>
              <w:t>(</w:t>
            </w:r>
            <w:r>
              <w:rPr>
                <w:color w:val="auto"/>
                <w:sz w:val="24"/>
                <w:u w:val="none"/>
              </w:rPr>
              <w:t>h</w:t>
            </w:r>
            <w:r>
              <w:rPr>
                <w:rFonts w:hint="eastAsia"/>
                <w:color w:val="auto"/>
                <w:sz w:val="24"/>
                <w:u w:val="none"/>
                <w:lang w:val="en-US" w:eastAsia="zh-CN"/>
              </w:rPr>
              <w:t>)</w:t>
            </w:r>
            <w:r>
              <w:t>──</w:t>
            </w:r>
            <w:r>
              <w:rPr>
                <w:sz w:val="24"/>
                <w:lang w:val="zh-CN"/>
              </w:rPr>
              <w:t>分别为大、中、小型车辆昼间或夜间，预测点接到的交通噪声值，dB（</w:t>
            </w:r>
            <w:r>
              <w:rPr>
                <w:sz w:val="24"/>
              </w:rPr>
              <w:t>A</w:t>
            </w:r>
            <w:r>
              <w:rPr>
                <w:sz w:val="24"/>
                <w:lang w:val="zh-CN"/>
              </w:rPr>
              <w:t>）。</w:t>
            </w:r>
          </w:p>
          <w:p>
            <w:pPr>
              <w:pStyle w:val="14"/>
              <w:spacing w:after="0"/>
              <w:ind w:firstLine="1200" w:firstLineChars="500"/>
              <w:rPr>
                <w:sz w:val="24"/>
                <w:lang w:val="zh-CN"/>
              </w:rPr>
            </w:pPr>
            <w:r>
              <w:rPr>
                <w:sz w:val="24"/>
                <w:lang w:val="zh-CN"/>
              </w:rPr>
              <w:t>Leq(T)</w:t>
            </w:r>
            <w:r>
              <w:t>──</w:t>
            </w:r>
            <w:r>
              <w:rPr>
                <w:sz w:val="24"/>
                <w:lang w:val="zh-CN"/>
              </w:rPr>
              <w:t>预测点接收到的昼间或夜间的交通噪声值，dB（</w:t>
            </w:r>
            <w:r>
              <w:rPr>
                <w:sz w:val="24"/>
              </w:rPr>
              <w:t>A</w:t>
            </w:r>
            <w:r>
              <w:rPr>
                <w:sz w:val="24"/>
                <w:lang w:val="zh-CN"/>
              </w:rPr>
              <w:t>）；</w:t>
            </w:r>
          </w:p>
          <w:p>
            <w:pPr>
              <w:bidi w:val="0"/>
              <w:ind w:firstLine="480" w:firstLineChars="200"/>
            </w:pPr>
            <w:r>
              <w:t>预测模式适用范围：预测点在距离声等效行车线7.5m以远处；车辆平均行驶速度在20～100km/h之间。</w:t>
            </w:r>
          </w:p>
          <w:p>
            <w:pPr>
              <w:tabs>
                <w:tab w:val="left" w:pos="1280"/>
              </w:tabs>
              <w:ind w:firstLine="480" w:firstLineChars="200"/>
              <w:textAlignment w:val="baseline"/>
              <w:rPr>
                <w:sz w:val="24"/>
              </w:rPr>
            </w:pPr>
            <w:r>
              <w:rPr>
                <w:sz w:val="24"/>
              </w:rPr>
              <w:t>c.预测点昼间或者夜间环境噪声计算公式：</w:t>
            </w:r>
          </w:p>
          <w:p>
            <w:pPr>
              <w:tabs>
                <w:tab w:val="left" w:pos="1280"/>
              </w:tabs>
              <w:spacing w:line="240" w:lineRule="auto"/>
              <w:jc w:val="center"/>
              <w:textAlignment w:val="baseline"/>
              <w:rPr>
                <w:rFonts w:cs="宋体"/>
                <w:sz w:val="24"/>
              </w:rPr>
            </w:pPr>
            <w:r>
              <w:rPr>
                <w:rFonts w:hint="eastAsia" w:cs="宋体"/>
                <w:sz w:val="24"/>
              </w:rPr>
              <w:drawing>
                <wp:inline distT="0" distB="0" distL="0" distR="0">
                  <wp:extent cx="3397885" cy="311785"/>
                  <wp:effectExtent l="0" t="0" r="0" b="0"/>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397885" cy="311785"/>
                          </a:xfrm>
                          <a:prstGeom prst="rect">
                            <a:avLst/>
                          </a:prstGeom>
                          <a:noFill/>
                          <a:ln>
                            <a:noFill/>
                          </a:ln>
                        </pic:spPr>
                      </pic:pic>
                    </a:graphicData>
                  </a:graphic>
                </wp:inline>
              </w:drawing>
            </w:r>
          </w:p>
          <w:p>
            <w:pPr>
              <w:bidi w:val="0"/>
              <w:ind w:firstLine="480" w:firstLineChars="200"/>
            </w:pPr>
            <w:r>
              <w:t>式中：</w:t>
            </w:r>
            <w:r>
              <w:rPr/>
              <w:sym w:font="Symbol" w:char="F044"/>
            </w:r>
            <w:r>
              <w:t>L</w:t>
            </w:r>
            <w:r>
              <w:rPr>
                <w:rFonts w:hint="eastAsia"/>
                <w:vertAlign w:val="subscript"/>
                <w:lang w:val="en-US" w:eastAsia="zh-CN"/>
              </w:rPr>
              <w:t xml:space="preserve"> </w:t>
            </w:r>
            <w:r>
              <w:rPr>
                <w:vertAlign w:val="subscript"/>
              </w:rPr>
              <w:t>Aeq</w:t>
            </w:r>
            <w:r>
              <w:t>预—预测点昼间或夜间的环境噪声预测值，dB(A)；</w:t>
            </w:r>
          </w:p>
          <w:p>
            <w:pPr>
              <w:bidi w:val="0"/>
              <w:ind w:firstLine="1200" w:firstLineChars="500"/>
            </w:pPr>
            <w:r>
              <w:rPr/>
              <w:sym w:font="Symbol" w:char="F044"/>
            </w:r>
            <w:r>
              <w:t>L</w:t>
            </w:r>
            <w:r>
              <w:rPr>
                <w:rFonts w:hint="eastAsia"/>
                <w:vertAlign w:val="subscript"/>
                <w:lang w:val="en-US" w:eastAsia="zh-CN"/>
              </w:rPr>
              <w:t xml:space="preserve"> </w:t>
            </w:r>
            <w:r>
              <w:rPr>
                <w:vertAlign w:val="subscript"/>
              </w:rPr>
              <w:t>Aeq</w:t>
            </w:r>
            <w:r>
              <w:t>背—预测点的环境噪声背景值，dB(A)。</w:t>
            </w:r>
          </w:p>
          <w:p>
            <w:pPr>
              <w:pStyle w:val="21"/>
              <w:spacing w:line="240" w:lineRule="auto"/>
              <w:ind w:left="0" w:right="0" w:firstLine="482" w:firstLineChars="200"/>
              <w:rPr>
                <w:rFonts w:ascii="Times New Roman" w:hAnsi="Times New Roman"/>
                <w:b/>
                <w:bCs/>
                <w:color w:val="auto"/>
                <w:highlight w:val="none"/>
              </w:rPr>
            </w:pPr>
            <w:r>
              <w:rPr>
                <w:rFonts w:hint="eastAsia" w:ascii="Times New Roman" w:hAnsi="Times New Roman"/>
                <w:b/>
                <w:bCs/>
                <w:highlight w:val="none"/>
                <w:lang w:val="en-US" w:eastAsia="zh-CN"/>
              </w:rPr>
              <w:t>3.</w:t>
            </w:r>
            <w:r>
              <w:rPr>
                <w:rFonts w:hint="eastAsia" w:ascii="Times New Roman" w:hAnsi="Times New Roman"/>
                <w:b/>
                <w:bCs/>
                <w:highlight w:val="none"/>
              </w:rPr>
              <w:t>3、</w:t>
            </w:r>
            <w:r>
              <w:rPr>
                <w:rFonts w:ascii="Times New Roman" w:hAnsi="Times New Roman"/>
                <w:b/>
                <w:bCs/>
                <w:color w:val="auto"/>
                <w:highlight w:val="none"/>
              </w:rPr>
              <w:t>交通噪声预测</w:t>
            </w:r>
            <w:r>
              <w:rPr>
                <w:rFonts w:hint="eastAsia" w:ascii="Times New Roman" w:hAnsi="Times New Roman"/>
                <w:b/>
                <w:bCs/>
                <w:color w:val="auto"/>
                <w:highlight w:val="none"/>
              </w:rPr>
              <w:t>结果与评价</w:t>
            </w:r>
          </w:p>
          <w:p>
            <w:pPr>
              <w:bidi w:val="0"/>
              <w:ind w:firstLine="480" w:firstLineChars="200"/>
            </w:pPr>
            <w:r>
              <w:rPr>
                <w:rFonts w:hint="eastAsia"/>
              </w:rPr>
              <w:t>（1）</w:t>
            </w:r>
            <w:r>
              <w:t>距</w:t>
            </w:r>
            <w:r>
              <w:rPr>
                <w:rFonts w:hint="eastAsia"/>
              </w:rPr>
              <w:t>路中心线</w:t>
            </w:r>
            <w:r>
              <w:t>不同距离处的噪声预测</w:t>
            </w:r>
          </w:p>
          <w:p>
            <w:pPr>
              <w:bidi w:val="0"/>
              <w:ind w:firstLine="480" w:firstLineChars="200"/>
              <w:rPr>
                <w:bCs/>
              </w:rPr>
            </w:pPr>
            <w:r>
              <w:t>采用上述预测模式，根据各影响因素予以计算修正，得到本工程不同时期距</w:t>
            </w:r>
            <w:r>
              <w:rPr>
                <w:rFonts w:hint="eastAsia"/>
              </w:rPr>
              <w:t>路中心线</w:t>
            </w:r>
            <w:r>
              <w:t>不同距离处的噪声预测结果，表3</w:t>
            </w:r>
            <w:r>
              <w:rPr>
                <w:rFonts w:hint="eastAsia"/>
                <w:lang w:val="en-US" w:eastAsia="zh-CN"/>
              </w:rPr>
              <w:t>9、40、41、42</w:t>
            </w:r>
            <w:r>
              <w:t>中数据为没有进行背景噪声叠加情况下的</w:t>
            </w:r>
            <w:r>
              <w:rPr>
                <w:rFonts w:hint="eastAsia"/>
              </w:rPr>
              <w:t>道路</w:t>
            </w:r>
            <w:r>
              <w:t>两侧距离路中心线200m范围内交通噪声预测值。</w:t>
            </w:r>
          </w:p>
          <w:p>
            <w:pPr>
              <w:pStyle w:val="9"/>
              <w:spacing w:before="0" w:after="0" w:line="240" w:lineRule="auto"/>
              <w:ind w:left="0" w:firstLine="200"/>
              <w:jc w:val="center"/>
              <w:rPr>
                <w:rFonts w:hint="eastAsia" w:ascii="Times New Roman" w:hAnsi="Times New Roman"/>
              </w:rPr>
            </w:pPr>
          </w:p>
          <w:p>
            <w:pPr>
              <w:bidi w:val="0"/>
              <w:jc w:val="center"/>
              <w:rPr>
                <w:b/>
                <w:bCs/>
              </w:rPr>
            </w:pPr>
            <w:r>
              <w:rPr>
                <w:rFonts w:hint="eastAsia"/>
                <w:b/>
                <w:bCs/>
              </w:rPr>
              <w:t>表</w:t>
            </w:r>
            <w:r>
              <w:rPr>
                <w:b/>
                <w:bCs/>
              </w:rPr>
              <w:t>3</w:t>
            </w:r>
            <w:r>
              <w:rPr>
                <w:rFonts w:hint="eastAsia"/>
                <w:b/>
                <w:bCs/>
                <w:lang w:val="en-US" w:eastAsia="zh-CN"/>
              </w:rPr>
              <w:t>9</w:t>
            </w:r>
            <w:r>
              <w:rPr>
                <w:b/>
                <w:bCs/>
              </w:rPr>
              <w:t xml:space="preserve"> </w:t>
            </w:r>
            <w:r>
              <w:rPr>
                <w:rFonts w:hint="eastAsia"/>
                <w:b/>
                <w:bCs/>
                <w:lang w:val="en-US" w:eastAsia="zh-CN"/>
              </w:rPr>
              <w:t xml:space="preserve"> </w:t>
            </w:r>
            <w:r>
              <w:rPr>
                <w:rFonts w:hint="eastAsia"/>
                <w:b/>
                <w:bCs/>
                <w:lang w:eastAsia="zh-CN"/>
              </w:rPr>
              <w:t>马鞍路</w:t>
            </w:r>
            <w:r>
              <w:rPr>
                <w:rFonts w:hint="eastAsia"/>
                <w:b/>
                <w:bCs/>
              </w:rPr>
              <w:t>拟建项目中心线两侧不同距离噪声预测结果</w:t>
            </w:r>
          </w:p>
          <w:tbl>
            <w:tblPr>
              <w:tblStyle w:val="34"/>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229"/>
              <w:gridCol w:w="1229"/>
              <w:gridCol w:w="1229"/>
              <w:gridCol w:w="1230"/>
              <w:gridCol w:w="123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预测时段</w:t>
                  </w:r>
                </w:p>
              </w:tc>
              <w:tc>
                <w:tcPr>
                  <w:tcW w:w="245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202</w:t>
                  </w:r>
                  <w:r>
                    <w:rPr>
                      <w:rFonts w:hint="eastAsia"/>
                      <w:sz w:val="21"/>
                      <w:szCs w:val="21"/>
                      <w:lang w:val="en-US" w:eastAsia="zh-CN"/>
                    </w:rPr>
                    <w:t>4</w:t>
                  </w:r>
                  <w:r>
                    <w:rPr>
                      <w:sz w:val="21"/>
                      <w:szCs w:val="21"/>
                    </w:rPr>
                    <w:t>年</w:t>
                  </w:r>
                </w:p>
              </w:tc>
              <w:tc>
                <w:tcPr>
                  <w:tcW w:w="2459"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202</w:t>
                  </w:r>
                  <w:r>
                    <w:rPr>
                      <w:rFonts w:hint="eastAsia"/>
                      <w:sz w:val="21"/>
                      <w:szCs w:val="21"/>
                      <w:lang w:val="en-US" w:eastAsia="zh-CN"/>
                    </w:rPr>
                    <w:t>30</w:t>
                  </w:r>
                  <w:r>
                    <w:rPr>
                      <w:sz w:val="21"/>
                      <w:szCs w:val="21"/>
                    </w:rPr>
                    <w:t>年</w:t>
                  </w:r>
                </w:p>
              </w:tc>
              <w:tc>
                <w:tcPr>
                  <w:tcW w:w="24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203</w:t>
                  </w:r>
                  <w:r>
                    <w:rPr>
                      <w:rFonts w:hint="eastAsia"/>
                      <w:sz w:val="21"/>
                      <w:szCs w:val="21"/>
                      <w:lang w:val="en-US" w:eastAsia="zh-CN"/>
                    </w:rPr>
                    <w:t>8</w:t>
                  </w:r>
                  <w:r>
                    <w:rPr>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1"/>
                      <w:szCs w:val="21"/>
                      <w:lang w:val="en-US" w:eastAsia="zh-CN"/>
                    </w:rPr>
                  </w:pPr>
                  <w:r>
                    <w:rPr>
                      <w:sz w:val="21"/>
                      <w:szCs w:val="21"/>
                    </w:rPr>
                    <w:t>距路中心线距离</w:t>
                  </w:r>
                  <w:r>
                    <w:rPr>
                      <w:rFonts w:hint="eastAsia"/>
                      <w:sz w:val="21"/>
                      <w:szCs w:val="21"/>
                      <w:lang w:val="en-US" w:eastAsia="zh-CN"/>
                    </w:rPr>
                    <w:t>m</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60.40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53.73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61.07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54.51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61.55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30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58.64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51.97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59.31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52.75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59.79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57.39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50.72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58.06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51.50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58.54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50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56.42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49.75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57.09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50.53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57.57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55.63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48.96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56.30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49.74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56.78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70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54.96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48.29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55.63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49.07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56.11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80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54.38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47.71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55.05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48.49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55.53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90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53.87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47.20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54.54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47.98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55.02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100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53.41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46.74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54.08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47.52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54.56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110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52.99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46.33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53.67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47.11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54.15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120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52.62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45.95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53.29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46.73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53.77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130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52.27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52.94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46.38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53.42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51.95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45.28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52.62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46.06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53.10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150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51.65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44.98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52.32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45.76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52.80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51.37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44.70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52.04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45.48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52.52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170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51.11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44.44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51.78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45.22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52.26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180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50.86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44.19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51.53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44.97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52.01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190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50.62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43.96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51.29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44.74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51.77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43.73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51.07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44.51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51.55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44.98</w:t>
                  </w:r>
                </w:p>
              </w:tc>
            </w:tr>
          </w:tbl>
          <w:p>
            <w:pPr>
              <w:bidi w:val="0"/>
              <w:jc w:val="center"/>
              <w:rPr>
                <w:b/>
                <w:bCs/>
              </w:rPr>
            </w:pPr>
            <w:r>
              <w:rPr>
                <w:rFonts w:hint="eastAsia"/>
                <w:b/>
                <w:bCs/>
              </w:rPr>
              <w:t>表</w:t>
            </w:r>
            <w:r>
              <w:rPr>
                <w:rFonts w:hint="eastAsia"/>
                <w:b/>
                <w:bCs/>
                <w:lang w:val="en-US" w:eastAsia="zh-CN"/>
              </w:rPr>
              <w:t>40</w:t>
            </w:r>
            <w:r>
              <w:rPr>
                <w:b/>
                <w:bCs/>
              </w:rPr>
              <w:t xml:space="preserve"> </w:t>
            </w:r>
            <w:r>
              <w:rPr>
                <w:rFonts w:hint="eastAsia"/>
                <w:b/>
                <w:bCs/>
                <w:lang w:eastAsia="zh-CN"/>
              </w:rPr>
              <w:t>桃园路</w:t>
            </w:r>
            <w:r>
              <w:rPr>
                <w:rFonts w:hint="eastAsia"/>
                <w:b/>
                <w:bCs/>
              </w:rPr>
              <w:t>拟建项目中心线两侧不同距离噪声预测结果</w:t>
            </w:r>
          </w:p>
          <w:tbl>
            <w:tblPr>
              <w:tblStyle w:val="34"/>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229"/>
              <w:gridCol w:w="1229"/>
              <w:gridCol w:w="1229"/>
              <w:gridCol w:w="1230"/>
              <w:gridCol w:w="123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预测时段</w:t>
                  </w:r>
                </w:p>
              </w:tc>
              <w:tc>
                <w:tcPr>
                  <w:tcW w:w="245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202</w:t>
                  </w:r>
                  <w:r>
                    <w:rPr>
                      <w:rFonts w:hint="eastAsia"/>
                      <w:sz w:val="21"/>
                      <w:szCs w:val="21"/>
                      <w:lang w:val="en-US" w:eastAsia="zh-CN"/>
                    </w:rPr>
                    <w:t>4</w:t>
                  </w:r>
                  <w:r>
                    <w:rPr>
                      <w:sz w:val="21"/>
                      <w:szCs w:val="21"/>
                    </w:rPr>
                    <w:t>年</w:t>
                  </w:r>
                </w:p>
              </w:tc>
              <w:tc>
                <w:tcPr>
                  <w:tcW w:w="2459"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202</w:t>
                  </w:r>
                  <w:r>
                    <w:rPr>
                      <w:rFonts w:hint="eastAsia"/>
                      <w:sz w:val="21"/>
                      <w:szCs w:val="21"/>
                      <w:lang w:val="en-US" w:eastAsia="zh-CN"/>
                    </w:rPr>
                    <w:t>30</w:t>
                  </w:r>
                  <w:r>
                    <w:rPr>
                      <w:sz w:val="21"/>
                      <w:szCs w:val="21"/>
                    </w:rPr>
                    <w:t>年</w:t>
                  </w:r>
                </w:p>
              </w:tc>
              <w:tc>
                <w:tcPr>
                  <w:tcW w:w="24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203</w:t>
                  </w:r>
                  <w:r>
                    <w:rPr>
                      <w:rFonts w:hint="eastAsia"/>
                      <w:sz w:val="21"/>
                      <w:szCs w:val="21"/>
                      <w:lang w:val="en-US" w:eastAsia="zh-CN"/>
                    </w:rPr>
                    <w:t>8</w:t>
                  </w:r>
                  <w:r>
                    <w:rPr>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1"/>
                      <w:szCs w:val="21"/>
                      <w:lang w:val="en-US" w:eastAsia="zh-CN"/>
                    </w:rPr>
                  </w:pPr>
                  <w:r>
                    <w:rPr>
                      <w:sz w:val="21"/>
                      <w:szCs w:val="21"/>
                    </w:rPr>
                    <w:t>距路中心线距离</w:t>
                  </w:r>
                  <w:r>
                    <w:rPr>
                      <w:rFonts w:hint="eastAsia"/>
                      <w:sz w:val="21"/>
                      <w:szCs w:val="21"/>
                      <w:lang w:val="en-US" w:eastAsia="zh-CN"/>
                    </w:rPr>
                    <w:t>m</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63.41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56.75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64.97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58.42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65.62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30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61.75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54.99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63.21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56.66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63.86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61.40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53.74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61.96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56.41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62.61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50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59.43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52.77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60.99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54.44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61.65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58.74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51.98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60.20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53.65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60.85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70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57.97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51.31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59.53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52.98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60.18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80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57.39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50.73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58.95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52.40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59.60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90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56.88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50.22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58.44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51.89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59.09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100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56.42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59.76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57.98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51.43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58.63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110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56.01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49.35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57.56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51.02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58.22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120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55.63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48.97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57.19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50.64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57.84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130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55.28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48.62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56.84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50.29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57.49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54.96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48.30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56.52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49.97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57.17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150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54.66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48.00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56.22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49.67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56.87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54.38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47.72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55.94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49.39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57.09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170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54.11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47.46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55.67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49.13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56.83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180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53.87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47.21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55.43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48.88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56.08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190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53.63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46.98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55.19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48.64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55.85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53.41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46.75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54.97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48.52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55.62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48.90</w:t>
                  </w:r>
                </w:p>
              </w:tc>
            </w:tr>
          </w:tbl>
          <w:p>
            <w:pPr>
              <w:bidi w:val="0"/>
              <w:jc w:val="center"/>
              <w:rPr>
                <w:b/>
                <w:bCs/>
              </w:rPr>
            </w:pPr>
            <w:r>
              <w:rPr>
                <w:rFonts w:hint="eastAsia"/>
                <w:b/>
                <w:bCs/>
              </w:rPr>
              <w:t>表</w:t>
            </w:r>
            <w:r>
              <w:rPr>
                <w:rFonts w:hint="eastAsia"/>
                <w:b/>
                <w:bCs/>
                <w:lang w:val="en-US" w:eastAsia="zh-CN"/>
              </w:rPr>
              <w:t>41</w:t>
            </w:r>
            <w:r>
              <w:rPr>
                <w:b/>
                <w:bCs/>
              </w:rPr>
              <w:t xml:space="preserve"> </w:t>
            </w:r>
            <w:r>
              <w:rPr>
                <w:rFonts w:hint="eastAsia"/>
                <w:b/>
                <w:bCs/>
                <w:lang w:eastAsia="zh-CN"/>
              </w:rPr>
              <w:t>纬四路</w:t>
            </w:r>
            <w:r>
              <w:rPr>
                <w:rFonts w:hint="eastAsia"/>
                <w:b/>
                <w:bCs/>
              </w:rPr>
              <w:t>拟建项目中心线两侧不同距离噪声预测结果</w:t>
            </w:r>
          </w:p>
          <w:tbl>
            <w:tblPr>
              <w:tblStyle w:val="34"/>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229"/>
              <w:gridCol w:w="1229"/>
              <w:gridCol w:w="1170"/>
              <w:gridCol w:w="1289"/>
              <w:gridCol w:w="123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预测时段</w:t>
                  </w:r>
                </w:p>
              </w:tc>
              <w:tc>
                <w:tcPr>
                  <w:tcW w:w="245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202</w:t>
                  </w:r>
                  <w:r>
                    <w:rPr>
                      <w:rFonts w:hint="eastAsia"/>
                      <w:sz w:val="21"/>
                      <w:szCs w:val="21"/>
                      <w:lang w:val="en-US" w:eastAsia="zh-CN"/>
                    </w:rPr>
                    <w:t>4</w:t>
                  </w:r>
                  <w:r>
                    <w:rPr>
                      <w:sz w:val="21"/>
                      <w:szCs w:val="21"/>
                    </w:rPr>
                    <w:t>年</w:t>
                  </w:r>
                </w:p>
              </w:tc>
              <w:tc>
                <w:tcPr>
                  <w:tcW w:w="2459"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w:t>
                  </w:r>
                  <w:r>
                    <w:rPr>
                      <w:rFonts w:hint="eastAsia"/>
                      <w:sz w:val="21"/>
                      <w:szCs w:val="21"/>
                      <w:lang w:val="en-US" w:eastAsia="zh-CN"/>
                    </w:rPr>
                    <w:t>30</w:t>
                  </w:r>
                  <w:r>
                    <w:rPr>
                      <w:sz w:val="21"/>
                      <w:szCs w:val="21"/>
                    </w:rPr>
                    <w:t>年</w:t>
                  </w:r>
                </w:p>
              </w:tc>
              <w:tc>
                <w:tcPr>
                  <w:tcW w:w="24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203</w:t>
                  </w:r>
                  <w:r>
                    <w:rPr>
                      <w:rFonts w:hint="eastAsia"/>
                      <w:sz w:val="21"/>
                      <w:szCs w:val="21"/>
                      <w:lang w:val="en-US" w:eastAsia="zh-CN"/>
                    </w:rPr>
                    <w:t>8</w:t>
                  </w:r>
                  <w:r>
                    <w:rPr>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1"/>
                      <w:szCs w:val="21"/>
                      <w:lang w:val="en-US" w:eastAsia="zh-CN"/>
                    </w:rPr>
                  </w:pPr>
                  <w:r>
                    <w:rPr>
                      <w:sz w:val="21"/>
                      <w:szCs w:val="21"/>
                    </w:rPr>
                    <w:t>距路中心线距离</w:t>
                  </w:r>
                  <w:r>
                    <w:rPr>
                      <w:rFonts w:hint="eastAsia"/>
                      <w:sz w:val="21"/>
                      <w:szCs w:val="21"/>
                      <w:lang w:val="en-US" w:eastAsia="zh-CN"/>
                    </w:rPr>
                    <w:t>m</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49.36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42.74</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51.16</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44.68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52.39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30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40.97</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49.40</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42.92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50.63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46.35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39.72</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48.15</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41.67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49.37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50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45.38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38.76</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47.18</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40.70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48.41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44.59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37.96</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46.39</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39.91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47.61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70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43.92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37.29</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45.72</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39.24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46.95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80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43.34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36.71</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45.14</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38.66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46.37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90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42.83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36.20</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44.63</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38.15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45.85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100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42.37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35.74</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44.17</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37.70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45.40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110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41.96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35.33</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43.76</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37.28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44.98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120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41.58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34.95</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43.38</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36.90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44.60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130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41.23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34.61</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43.03</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36.55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44.26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40.91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34.28</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42.71</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36.23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43.93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150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40.61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33.98</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42.41</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35.93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43.64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40.33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33.70</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42.13</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35.65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43.35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170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40.07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33.44</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41.87</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35.39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43.09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180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39.82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33.19</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41.62</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35.14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42.84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190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39.58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32.96</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41.39</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34.91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42.61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39.363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32.74</w:t>
                  </w:r>
                </w:p>
              </w:tc>
              <w:tc>
                <w:tcPr>
                  <w:tcW w:w="11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41.16</w:t>
                  </w:r>
                </w:p>
              </w:tc>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34.684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42.38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35.71</w:t>
                  </w:r>
                </w:p>
              </w:tc>
            </w:tr>
          </w:tbl>
          <w:p>
            <w:pPr>
              <w:bidi w:val="0"/>
              <w:jc w:val="center"/>
              <w:rPr>
                <w:b/>
                <w:bCs/>
              </w:rPr>
            </w:pPr>
            <w:r>
              <w:rPr>
                <w:rFonts w:hint="eastAsia"/>
                <w:b/>
                <w:bCs/>
              </w:rPr>
              <w:t>表</w:t>
            </w:r>
            <w:r>
              <w:rPr>
                <w:rFonts w:hint="eastAsia"/>
                <w:b/>
                <w:bCs/>
                <w:lang w:val="en-US" w:eastAsia="zh-CN"/>
              </w:rPr>
              <w:t>42</w:t>
            </w:r>
            <w:r>
              <w:rPr>
                <w:b/>
                <w:bCs/>
              </w:rPr>
              <w:t xml:space="preserve"> </w:t>
            </w:r>
            <w:r>
              <w:rPr>
                <w:rFonts w:hint="eastAsia"/>
                <w:b/>
                <w:bCs/>
                <w:lang w:eastAsia="zh-CN"/>
              </w:rPr>
              <w:t>百合路</w:t>
            </w:r>
            <w:r>
              <w:rPr>
                <w:rFonts w:hint="eastAsia"/>
                <w:b/>
                <w:bCs/>
              </w:rPr>
              <w:t>拟建项目中心线两侧不同距离噪声预测结果</w:t>
            </w:r>
          </w:p>
          <w:tbl>
            <w:tblPr>
              <w:tblStyle w:val="34"/>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229"/>
              <w:gridCol w:w="1229"/>
              <w:gridCol w:w="1229"/>
              <w:gridCol w:w="1230"/>
              <w:gridCol w:w="123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预测时段</w:t>
                  </w:r>
                </w:p>
              </w:tc>
              <w:tc>
                <w:tcPr>
                  <w:tcW w:w="2458"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202</w:t>
                  </w:r>
                  <w:r>
                    <w:rPr>
                      <w:rFonts w:hint="eastAsia"/>
                      <w:sz w:val="21"/>
                      <w:szCs w:val="21"/>
                      <w:lang w:val="en-US" w:eastAsia="zh-CN"/>
                    </w:rPr>
                    <w:t>4</w:t>
                  </w:r>
                  <w:r>
                    <w:rPr>
                      <w:sz w:val="21"/>
                      <w:szCs w:val="21"/>
                    </w:rPr>
                    <w:t>年</w:t>
                  </w:r>
                </w:p>
              </w:tc>
              <w:tc>
                <w:tcPr>
                  <w:tcW w:w="2459"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202</w:t>
                  </w:r>
                  <w:r>
                    <w:rPr>
                      <w:rFonts w:hint="eastAsia"/>
                      <w:sz w:val="21"/>
                      <w:szCs w:val="21"/>
                      <w:lang w:val="en-US" w:eastAsia="zh-CN"/>
                    </w:rPr>
                    <w:t>30</w:t>
                  </w:r>
                  <w:r>
                    <w:rPr>
                      <w:sz w:val="21"/>
                      <w:szCs w:val="21"/>
                    </w:rPr>
                    <w:t>年</w:t>
                  </w:r>
                </w:p>
              </w:tc>
              <w:tc>
                <w:tcPr>
                  <w:tcW w:w="246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203</w:t>
                  </w:r>
                  <w:r>
                    <w:rPr>
                      <w:rFonts w:hint="eastAsia"/>
                      <w:sz w:val="21"/>
                      <w:szCs w:val="21"/>
                      <w:lang w:val="en-US" w:eastAsia="zh-CN"/>
                    </w:rPr>
                    <w:t>8</w:t>
                  </w:r>
                  <w:r>
                    <w:rPr>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距路中心线距离</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昼间</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60.57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53.92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61.14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54.56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61.51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30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58.81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52.16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59.38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52.79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59.75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57.56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50.91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58.13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51.55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58.50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50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56.59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49.94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57.16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50.58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57.53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55.79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49.15</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56.37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49.78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56.74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70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55.12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48.48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55.70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49.12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56.06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49.50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80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54.54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47.90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55.12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48.54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55.49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90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54.03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47.39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54.61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48.03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54.98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100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53.58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46.93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54.15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47.57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54.52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110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53.16</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46.52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53.74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47.15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54.10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120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52.78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46.14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53.36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46.78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53.73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130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52.44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45.79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53.01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46.43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53.38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140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52.11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45.47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52.69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46.10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53.06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150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51.81</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45.17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52.39</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45.81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52.76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160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51.53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44.89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52.11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45.53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52.48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170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51.27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44.63</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51.85</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45.26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52.21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180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51.02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44.38</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51.60</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val="en-US" w:eastAsia="zh-CN"/>
                    </w:rPr>
                    <w:t>45.02</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51.97</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190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50.79</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44.14</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51.36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44.78</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51.73</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200</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50.57</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43.92</w:t>
                  </w:r>
                </w:p>
              </w:tc>
              <w:tc>
                <w:tcPr>
                  <w:tcW w:w="1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51.14</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44.56</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51.51</w:t>
                  </w:r>
                </w:p>
              </w:tc>
              <w:tc>
                <w:tcPr>
                  <w:tcW w:w="123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44.94</w:t>
                  </w:r>
                </w:p>
              </w:tc>
            </w:tr>
          </w:tbl>
          <w:p>
            <w:pPr>
              <w:bidi w:val="0"/>
              <w:ind w:firstLine="480" w:firstLineChars="200"/>
            </w:pPr>
            <w:r>
              <w:t>根据株洲市声环境功能区划，拟建道路两侧区域执行《声环境质量标准》（GB3096-2008）中2类标准（即昼间</w:t>
            </w:r>
            <w:r>
              <w:rPr>
                <w:rFonts w:hint="eastAsia"/>
              </w:rPr>
              <w:t>60</w:t>
            </w:r>
            <w:r>
              <w:t>dB、夜间</w:t>
            </w:r>
            <w:r>
              <w:rPr>
                <w:rFonts w:hint="eastAsia"/>
              </w:rPr>
              <w:t>50</w:t>
            </w:r>
            <w:r>
              <w:t>dB）</w:t>
            </w:r>
            <w:r>
              <w:rPr>
                <w:rFonts w:hint="eastAsia"/>
              </w:rPr>
              <w:t>和 4类标准（即昼间70dB、夜间55dB），不同标准限值下，道路交通噪声达标距离</w:t>
            </w:r>
            <w:r>
              <w:t>见表</w:t>
            </w:r>
            <w:r>
              <w:rPr>
                <w:rFonts w:hint="eastAsia"/>
                <w:lang w:val="en-US" w:eastAsia="zh-CN"/>
              </w:rPr>
              <w:t>43</w:t>
            </w:r>
            <w:r>
              <w:t>。</w:t>
            </w:r>
          </w:p>
          <w:p>
            <w:pPr>
              <w:pStyle w:val="9"/>
              <w:spacing w:before="0" w:after="0" w:line="240" w:lineRule="auto"/>
              <w:ind w:left="0" w:firstLine="200"/>
              <w:jc w:val="center"/>
              <w:rPr>
                <w:rFonts w:ascii="Times New Roman" w:hAnsi="Times New Roman"/>
              </w:rPr>
            </w:pPr>
            <w:r>
              <w:rPr>
                <w:rFonts w:hint="eastAsia" w:ascii="Times New Roman" w:hAnsi="Times New Roman"/>
              </w:rPr>
              <w:t>表</w:t>
            </w:r>
            <w:r>
              <w:rPr>
                <w:rFonts w:hint="eastAsia" w:ascii="Times New Roman" w:hAnsi="Times New Roman"/>
                <w:lang w:val="en-US" w:eastAsia="zh-CN"/>
              </w:rPr>
              <w:t>43</w:t>
            </w:r>
            <w:r>
              <w:rPr>
                <w:rFonts w:ascii="Times New Roman" w:hAnsi="Times New Roman"/>
              </w:rPr>
              <w:t xml:space="preserve">  </w:t>
            </w:r>
            <w:r>
              <w:rPr>
                <w:rFonts w:hint="eastAsia" w:ascii="Times New Roman" w:hAnsi="Times New Roman"/>
              </w:rPr>
              <w:t>拟建项目两侧交通噪声达标距离</w:t>
            </w:r>
          </w:p>
          <w:tbl>
            <w:tblPr>
              <w:tblStyle w:val="34"/>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680"/>
              <w:gridCol w:w="680"/>
              <w:gridCol w:w="964"/>
              <w:gridCol w:w="1070"/>
              <w:gridCol w:w="885"/>
              <w:gridCol w:w="1095"/>
              <w:gridCol w:w="915"/>
              <w:gridCol w:w="1080"/>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eastAsia="zh-CN"/>
                    </w:rPr>
                  </w:pPr>
                  <w:r>
                    <w:rPr>
                      <w:rFonts w:hint="eastAsia"/>
                      <w:sz w:val="21"/>
                      <w:szCs w:val="21"/>
                      <w:lang w:eastAsia="zh-CN"/>
                    </w:rPr>
                    <w:t>项目</w:t>
                  </w: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标准</w:t>
                  </w: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时间</w:t>
                  </w:r>
                </w:p>
              </w:tc>
              <w:tc>
                <w:tcPr>
                  <w:tcW w:w="964" w:type="dxa"/>
                  <w:vMerge w:val="restart"/>
                  <w:tcBorders>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年份</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标准值</w:t>
                  </w:r>
                </w:p>
              </w:tc>
              <w:tc>
                <w:tcPr>
                  <w:tcW w:w="1955"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rPr>
                    <w:t>202</w:t>
                  </w:r>
                  <w:r>
                    <w:rPr>
                      <w:rFonts w:hint="eastAsia"/>
                      <w:sz w:val="21"/>
                      <w:szCs w:val="21"/>
                      <w:lang w:val="en-US" w:eastAsia="zh-CN"/>
                    </w:rPr>
                    <w:t>4</w:t>
                  </w:r>
                  <w:r>
                    <w:rPr>
                      <w:sz w:val="21"/>
                      <w:szCs w:val="21"/>
                    </w:rPr>
                    <w:t>年</w:t>
                  </w:r>
                </w:p>
              </w:tc>
              <w:tc>
                <w:tcPr>
                  <w:tcW w:w="2010"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20</w:t>
                  </w:r>
                  <w:r>
                    <w:rPr>
                      <w:rFonts w:hint="eastAsia"/>
                      <w:sz w:val="21"/>
                      <w:szCs w:val="21"/>
                      <w:lang w:val="en-US" w:eastAsia="zh-CN"/>
                    </w:rPr>
                    <w:t>30</w:t>
                  </w:r>
                  <w:r>
                    <w:rPr>
                      <w:sz w:val="21"/>
                      <w:szCs w:val="21"/>
                    </w:rPr>
                    <w:t>年</w:t>
                  </w:r>
                </w:p>
              </w:tc>
              <w:tc>
                <w:tcPr>
                  <w:tcW w:w="1951"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203</w:t>
                  </w:r>
                  <w:r>
                    <w:rPr>
                      <w:rFonts w:hint="eastAsia"/>
                      <w:sz w:val="21"/>
                      <w:szCs w:val="21"/>
                      <w:lang w:val="en-US" w:eastAsia="zh-CN"/>
                    </w:rPr>
                    <w:t>8</w:t>
                  </w:r>
                  <w:r>
                    <w:rPr>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964" w:type="dxa"/>
                  <w:vMerge w:val="continue"/>
                  <w:tcBorders>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kern w:val="0"/>
                      <w:sz w:val="21"/>
                      <w:szCs w:val="21"/>
                    </w:rPr>
                  </w:pPr>
                  <w:r>
                    <w:rPr>
                      <w:kern w:val="0"/>
                      <w:sz w:val="21"/>
                      <w:szCs w:val="21"/>
                    </w:rPr>
                    <w:t>距中心线</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kern w:val="0"/>
                      <w:sz w:val="21"/>
                      <w:szCs w:val="21"/>
                    </w:rPr>
                  </w:pPr>
                  <w:r>
                    <w:rPr>
                      <w:kern w:val="0"/>
                      <w:sz w:val="21"/>
                      <w:szCs w:val="21"/>
                    </w:rPr>
                    <w:t>距红线</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kern w:val="0"/>
                      <w:sz w:val="21"/>
                      <w:szCs w:val="21"/>
                    </w:rPr>
                  </w:pPr>
                  <w:r>
                    <w:rPr>
                      <w:kern w:val="0"/>
                      <w:sz w:val="21"/>
                      <w:szCs w:val="21"/>
                    </w:rPr>
                    <w:t>距中心线</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kern w:val="0"/>
                      <w:sz w:val="21"/>
                      <w:szCs w:val="21"/>
                    </w:rPr>
                  </w:pPr>
                  <w:r>
                    <w:rPr>
                      <w:kern w:val="0"/>
                      <w:sz w:val="21"/>
                      <w:szCs w:val="21"/>
                    </w:rPr>
                    <w:t>距红线</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kern w:val="0"/>
                      <w:sz w:val="21"/>
                      <w:szCs w:val="21"/>
                    </w:rPr>
                  </w:pPr>
                  <w:r>
                    <w:rPr>
                      <w:kern w:val="0"/>
                      <w:sz w:val="21"/>
                      <w:szCs w:val="21"/>
                    </w:rPr>
                    <w:t>距中心线</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kern w:val="0"/>
                      <w:sz w:val="21"/>
                      <w:szCs w:val="21"/>
                    </w:rPr>
                  </w:pPr>
                  <w:r>
                    <w:rPr>
                      <w:kern w:val="0"/>
                      <w:sz w:val="21"/>
                      <w:szCs w:val="21"/>
                    </w:rPr>
                    <w:t>距红线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eastAsia="zh-CN"/>
                    </w:rPr>
                  </w:pPr>
                  <w:r>
                    <w:rPr>
                      <w:rFonts w:hint="eastAsia"/>
                      <w:sz w:val="21"/>
                      <w:szCs w:val="21"/>
                      <w:lang w:eastAsia="zh-CN"/>
                    </w:rPr>
                    <w:t>马鞍路</w:t>
                  </w: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4a类标准</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昼间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70dB(A)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1"/>
                      <w:szCs w:val="21"/>
                      <w:lang w:val="en-US" w:eastAsia="zh-CN"/>
                    </w:rPr>
                  </w:pPr>
                  <w:r>
                    <w:rPr>
                      <w:rFonts w:hint="eastAsia"/>
                      <w:sz w:val="21"/>
                      <w:szCs w:val="21"/>
                      <w:lang w:val="en-US" w:eastAsia="zh-CN"/>
                    </w:rPr>
                    <w:t>12m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val="en-US" w:eastAsia="zh-CN"/>
                    </w:rPr>
                  </w:pPr>
                  <w:r>
                    <w:rPr>
                      <w:rFonts w:hint="eastAsia"/>
                      <w:sz w:val="21"/>
                      <w:szCs w:val="21"/>
                      <w:lang w:val="en-US" w:eastAsia="zh-CN"/>
                    </w:rPr>
                    <w:t>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12m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12m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夜间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55dB(A)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12m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12m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12m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2类标准</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昼间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60dB(A)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1"/>
                      <w:szCs w:val="21"/>
                      <w:lang w:val="en-US" w:eastAsia="zh-CN"/>
                    </w:rPr>
                  </w:pPr>
                  <w:r>
                    <w:rPr>
                      <w:rFonts w:hint="eastAsia"/>
                      <w:sz w:val="21"/>
                      <w:szCs w:val="21"/>
                      <w:lang w:val="en-US" w:eastAsia="zh-CN"/>
                    </w:rPr>
                    <w:t>22m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1"/>
                      <w:szCs w:val="21"/>
                      <w:lang w:val="en-US" w:eastAsia="zh-CN"/>
                    </w:rPr>
                  </w:pPr>
                  <w:r>
                    <w:rPr>
                      <w:rFonts w:hint="eastAsia"/>
                      <w:sz w:val="21"/>
                      <w:szCs w:val="21"/>
                      <w:lang w:val="en-US" w:eastAsia="zh-CN"/>
                    </w:rPr>
                    <w:t>10m</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1"/>
                      <w:szCs w:val="21"/>
                      <w:lang w:val="en-US" w:eastAsia="zh-CN"/>
                    </w:rPr>
                  </w:pPr>
                  <w:r>
                    <w:rPr>
                      <w:rFonts w:hint="eastAsia"/>
                      <w:sz w:val="21"/>
                      <w:szCs w:val="21"/>
                      <w:lang w:val="en-US" w:eastAsia="zh-CN"/>
                    </w:rPr>
                    <w:t>25m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1"/>
                      <w:szCs w:val="21"/>
                      <w:lang w:val="en-US" w:eastAsia="zh-CN"/>
                    </w:rPr>
                  </w:pPr>
                  <w:r>
                    <w:rPr>
                      <w:rFonts w:hint="eastAsia"/>
                      <w:sz w:val="21"/>
                      <w:szCs w:val="21"/>
                      <w:lang w:val="en-US" w:eastAsia="zh-CN"/>
                    </w:rPr>
                    <w:t>13m</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1"/>
                      <w:szCs w:val="21"/>
                      <w:lang w:val="en-US" w:eastAsia="zh-CN"/>
                    </w:rPr>
                  </w:pPr>
                  <w:r>
                    <w:rPr>
                      <w:rFonts w:hint="eastAsia"/>
                      <w:sz w:val="21"/>
                      <w:szCs w:val="21"/>
                      <w:lang w:val="en-US" w:eastAsia="zh-CN"/>
                    </w:rPr>
                    <w:t>28m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1"/>
                      <w:szCs w:val="21"/>
                      <w:lang w:val="en-US" w:eastAsia="zh-CN"/>
                    </w:rPr>
                  </w:pPr>
                  <w:r>
                    <w:rPr>
                      <w:rFonts w:hint="eastAsia"/>
                      <w:sz w:val="21"/>
                      <w:szCs w:val="21"/>
                      <w:lang w:val="en-US" w:eastAsia="zh-CN"/>
                    </w:rPr>
                    <w:t>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夜间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sz w:val="21"/>
                      <w:szCs w:val="21"/>
                    </w:rPr>
                    <w:t>50dB(A)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47m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35m</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56m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44m</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63m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51m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eastAsia="zh-CN"/>
                    </w:rPr>
                  </w:pPr>
                  <w:r>
                    <w:rPr>
                      <w:rFonts w:hint="eastAsia"/>
                      <w:sz w:val="21"/>
                      <w:szCs w:val="21"/>
                      <w:lang w:eastAsia="zh-CN"/>
                    </w:rPr>
                    <w:t>桃园路</w:t>
                  </w: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4a类标准</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昼间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70dB(A)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20m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20m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20m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夜间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55dB(A)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30m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10m</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44m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24m</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49m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2类标准</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昼间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60dB(A)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43m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23m</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64m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44m</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73m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53m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夜间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50dB(A)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95m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75m</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137m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117m</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154m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134m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eastAsia="zh-CN"/>
                    </w:rPr>
                  </w:pPr>
                  <w:r>
                    <w:rPr>
                      <w:rFonts w:hint="eastAsia"/>
                      <w:sz w:val="21"/>
                      <w:szCs w:val="21"/>
                      <w:lang w:eastAsia="zh-CN"/>
                    </w:rPr>
                    <w:t>纬四路</w:t>
                  </w: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4a类标准</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昼间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70dB(A)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夜间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55dB(A)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2类标准</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昼间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60dB(A)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夜间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50dB(A)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6.5m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7.5m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eastAsia="zh-CN"/>
                    </w:rPr>
                  </w:pPr>
                  <w:r>
                    <w:rPr>
                      <w:rFonts w:hint="eastAsia"/>
                      <w:sz w:val="21"/>
                      <w:szCs w:val="21"/>
                      <w:lang w:eastAsia="zh-CN"/>
                    </w:rPr>
                    <w:t>百合路</w:t>
                  </w: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4a类标准</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昼间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70dB(A)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12m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12m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12m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夜间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55dB(A)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15m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3m</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18m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6m</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20m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2类标准</w:t>
                  </w: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昼间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60dB(A)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23m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11m</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26m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14m</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28m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夜间</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sz w:val="21"/>
                      <w:szCs w:val="21"/>
                    </w:rPr>
                    <w:t>50dB(A)</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49m</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37m</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57m</w:t>
                  </w:r>
                </w:p>
              </w:tc>
              <w:tc>
                <w:tcPr>
                  <w:tcW w:w="91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45m</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63m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51m</w:t>
                  </w:r>
                </w:p>
              </w:tc>
            </w:tr>
          </w:tbl>
          <w:p>
            <w:pPr>
              <w:ind w:firstLine="480" w:firstLineChars="200"/>
              <w:rPr>
                <w:rFonts w:hint="eastAsia"/>
                <w:color w:val="000000"/>
                <w:sz w:val="24"/>
              </w:rPr>
            </w:pPr>
            <w:r>
              <w:rPr>
                <w:rFonts w:hint="eastAsia"/>
                <w:color w:val="000000"/>
                <w:sz w:val="24"/>
              </w:rPr>
              <w:t>由上表可知：</w:t>
            </w:r>
          </w:p>
          <w:p>
            <w:pPr>
              <w:ind w:firstLine="480" w:firstLineChars="200"/>
              <w:rPr>
                <w:rFonts w:hint="eastAsia" w:eastAsia="宋体"/>
                <w:color w:val="000000"/>
                <w:sz w:val="24"/>
                <w:lang w:val="en-US" w:eastAsia="zh-CN"/>
              </w:rPr>
            </w:pPr>
            <w:r>
              <w:rPr>
                <w:color w:val="000000"/>
                <w:sz w:val="24"/>
              </w:rPr>
              <w:t>按《声环境质量标准》（GB3096-2008）中4a类标准限值评价，在近</w:t>
            </w:r>
            <w:r>
              <w:rPr>
                <w:rFonts w:hint="eastAsia"/>
                <w:color w:val="000000"/>
                <w:sz w:val="24"/>
              </w:rPr>
              <w:t>、中、远</w:t>
            </w:r>
            <w:r>
              <w:rPr>
                <w:color w:val="000000"/>
                <w:sz w:val="24"/>
              </w:rPr>
              <w:t>期，</w:t>
            </w:r>
            <w:r>
              <w:rPr>
                <w:rFonts w:hint="eastAsia"/>
                <w:color w:val="000000"/>
                <w:sz w:val="24"/>
              </w:rPr>
              <w:t>昼间交通噪声均在红线以内即可小于70dB</w:t>
            </w:r>
            <w:r>
              <w:rPr>
                <w:rFonts w:hint="eastAsia"/>
                <w:color w:val="000000"/>
                <w:sz w:val="24"/>
                <w:lang w:eastAsia="zh-CN"/>
              </w:rPr>
              <w:t>；夜间马鞍路、纬四路</w:t>
            </w:r>
            <w:r>
              <w:rPr>
                <w:rFonts w:hint="eastAsia"/>
                <w:color w:val="000000"/>
                <w:sz w:val="24"/>
              </w:rPr>
              <w:t>交通噪声均在红线以内即可小于</w:t>
            </w:r>
            <w:r>
              <w:rPr>
                <w:rFonts w:hint="eastAsia"/>
                <w:color w:val="000000"/>
                <w:sz w:val="24"/>
                <w:lang w:val="en-US" w:eastAsia="zh-CN"/>
              </w:rPr>
              <w:t>55</w:t>
            </w:r>
            <w:r>
              <w:rPr>
                <w:rFonts w:hint="eastAsia"/>
                <w:color w:val="000000"/>
                <w:sz w:val="24"/>
              </w:rPr>
              <w:t>dB</w:t>
            </w:r>
            <w:r>
              <w:rPr>
                <w:rFonts w:hint="eastAsia"/>
                <w:color w:val="000000"/>
                <w:sz w:val="24"/>
                <w:lang w:eastAsia="zh-CN"/>
              </w:rPr>
              <w:t>；桃园路</w:t>
            </w:r>
            <w:r>
              <w:rPr>
                <w:color w:val="000000"/>
                <w:sz w:val="24"/>
              </w:rPr>
              <w:t>近</w:t>
            </w:r>
            <w:r>
              <w:rPr>
                <w:rFonts w:hint="eastAsia"/>
                <w:color w:val="000000"/>
                <w:sz w:val="24"/>
              </w:rPr>
              <w:t>、中、远</w:t>
            </w:r>
            <w:r>
              <w:rPr>
                <w:color w:val="000000"/>
                <w:sz w:val="24"/>
              </w:rPr>
              <w:t>期</w:t>
            </w:r>
            <w:r>
              <w:rPr>
                <w:rFonts w:hint="eastAsia"/>
                <w:color w:val="000000"/>
                <w:sz w:val="24"/>
              </w:rPr>
              <w:t>夜间噪声</w:t>
            </w:r>
            <w:r>
              <w:rPr>
                <w:rFonts w:hint="eastAsia"/>
                <w:color w:val="000000"/>
                <w:sz w:val="24"/>
                <w:lang w:eastAsia="zh-CN"/>
              </w:rPr>
              <w:t>分别可</w:t>
            </w:r>
            <w:r>
              <w:rPr>
                <w:rFonts w:hint="eastAsia"/>
                <w:color w:val="000000"/>
                <w:sz w:val="24"/>
              </w:rPr>
              <w:t>在红线</w:t>
            </w:r>
            <w:r>
              <w:rPr>
                <w:rFonts w:hint="eastAsia"/>
                <w:color w:val="000000"/>
                <w:sz w:val="24"/>
                <w:lang w:val="en-US" w:eastAsia="zh-CN"/>
              </w:rPr>
              <w:t>10</w:t>
            </w:r>
            <w:r>
              <w:rPr>
                <w:rFonts w:hint="eastAsia"/>
                <w:color w:val="000000"/>
                <w:sz w:val="24"/>
              </w:rPr>
              <w:t>m</w:t>
            </w:r>
            <w:r>
              <w:rPr>
                <w:rFonts w:hint="eastAsia"/>
                <w:color w:val="000000"/>
                <w:sz w:val="24"/>
                <w:lang w:eastAsia="zh-CN"/>
              </w:rPr>
              <w:t>、</w:t>
            </w:r>
            <w:r>
              <w:rPr>
                <w:rFonts w:hint="eastAsia"/>
                <w:color w:val="000000"/>
                <w:sz w:val="24"/>
                <w:lang w:val="en-US" w:eastAsia="zh-CN"/>
              </w:rPr>
              <w:t>24m、29m</w:t>
            </w:r>
            <w:r>
              <w:rPr>
                <w:rFonts w:hint="eastAsia"/>
                <w:color w:val="000000"/>
                <w:sz w:val="24"/>
              </w:rPr>
              <w:t>以外即可小于5</w:t>
            </w:r>
            <w:r>
              <w:rPr>
                <w:rFonts w:hint="eastAsia"/>
                <w:color w:val="000000"/>
                <w:sz w:val="24"/>
                <w:lang w:val="en-US" w:eastAsia="zh-CN"/>
              </w:rPr>
              <w:t>5</w:t>
            </w:r>
            <w:r>
              <w:rPr>
                <w:rFonts w:hint="eastAsia"/>
                <w:color w:val="000000"/>
                <w:sz w:val="24"/>
              </w:rPr>
              <w:t>dB</w:t>
            </w:r>
            <w:r>
              <w:rPr>
                <w:rFonts w:hint="eastAsia"/>
                <w:color w:val="000000"/>
                <w:sz w:val="24"/>
                <w:lang w:val="en-US" w:eastAsia="zh-CN"/>
              </w:rPr>
              <w:t>；</w:t>
            </w:r>
            <w:r>
              <w:rPr>
                <w:rFonts w:hint="eastAsia"/>
                <w:color w:val="000000"/>
                <w:sz w:val="24"/>
                <w:lang w:eastAsia="zh-CN"/>
              </w:rPr>
              <w:t>百合路</w:t>
            </w:r>
            <w:r>
              <w:rPr>
                <w:color w:val="000000"/>
                <w:sz w:val="24"/>
              </w:rPr>
              <w:t>近</w:t>
            </w:r>
            <w:r>
              <w:rPr>
                <w:rFonts w:hint="eastAsia"/>
                <w:color w:val="000000"/>
                <w:sz w:val="24"/>
              </w:rPr>
              <w:t>、中、远</w:t>
            </w:r>
            <w:r>
              <w:rPr>
                <w:color w:val="000000"/>
                <w:sz w:val="24"/>
              </w:rPr>
              <w:t>期</w:t>
            </w:r>
            <w:r>
              <w:rPr>
                <w:rFonts w:hint="eastAsia"/>
                <w:color w:val="000000"/>
                <w:sz w:val="24"/>
              </w:rPr>
              <w:t>夜间噪声</w:t>
            </w:r>
            <w:r>
              <w:rPr>
                <w:rFonts w:hint="eastAsia"/>
                <w:color w:val="000000"/>
                <w:sz w:val="24"/>
                <w:lang w:eastAsia="zh-CN"/>
              </w:rPr>
              <w:t>分别可</w:t>
            </w:r>
            <w:r>
              <w:rPr>
                <w:rFonts w:hint="eastAsia"/>
                <w:color w:val="000000"/>
                <w:sz w:val="24"/>
              </w:rPr>
              <w:t>在红线</w:t>
            </w:r>
            <w:r>
              <w:rPr>
                <w:rFonts w:hint="eastAsia"/>
                <w:color w:val="000000"/>
                <w:sz w:val="24"/>
                <w:lang w:val="en-US" w:eastAsia="zh-CN"/>
              </w:rPr>
              <w:t>3</w:t>
            </w:r>
            <w:r>
              <w:rPr>
                <w:rFonts w:hint="eastAsia"/>
                <w:color w:val="000000"/>
                <w:sz w:val="24"/>
              </w:rPr>
              <w:t>m</w:t>
            </w:r>
            <w:r>
              <w:rPr>
                <w:rFonts w:hint="eastAsia"/>
                <w:color w:val="000000"/>
                <w:sz w:val="24"/>
                <w:lang w:eastAsia="zh-CN"/>
              </w:rPr>
              <w:t>、</w:t>
            </w:r>
            <w:r>
              <w:rPr>
                <w:rFonts w:hint="eastAsia"/>
                <w:color w:val="000000"/>
                <w:sz w:val="24"/>
                <w:lang w:val="en-US" w:eastAsia="zh-CN"/>
              </w:rPr>
              <w:t>6m、8m</w:t>
            </w:r>
            <w:r>
              <w:rPr>
                <w:rFonts w:hint="eastAsia"/>
                <w:color w:val="000000"/>
                <w:sz w:val="24"/>
              </w:rPr>
              <w:t>以外即可小于5</w:t>
            </w:r>
            <w:r>
              <w:rPr>
                <w:rFonts w:hint="eastAsia"/>
                <w:color w:val="000000"/>
                <w:sz w:val="24"/>
                <w:lang w:val="en-US" w:eastAsia="zh-CN"/>
              </w:rPr>
              <w:t>5</w:t>
            </w:r>
            <w:r>
              <w:rPr>
                <w:rFonts w:hint="eastAsia"/>
                <w:color w:val="000000"/>
                <w:sz w:val="24"/>
              </w:rPr>
              <w:t>dB</w:t>
            </w:r>
            <w:r>
              <w:rPr>
                <w:rFonts w:hint="eastAsia"/>
                <w:color w:val="000000"/>
                <w:sz w:val="24"/>
                <w:lang w:eastAsia="zh-CN"/>
              </w:rPr>
              <w:t>。</w:t>
            </w:r>
          </w:p>
          <w:p>
            <w:pPr>
              <w:ind w:firstLine="480" w:firstLineChars="200"/>
              <w:rPr>
                <w:rFonts w:hint="eastAsia"/>
                <w:color w:val="000000"/>
                <w:sz w:val="24"/>
                <w:lang w:eastAsia="zh-CN"/>
              </w:rPr>
            </w:pPr>
            <w:r>
              <w:rPr>
                <w:color w:val="000000"/>
                <w:sz w:val="24"/>
              </w:rPr>
              <w:t>按《声环境质量标准》（GB3096-2008）中2类标准限值评价，</w:t>
            </w:r>
            <w:r>
              <w:rPr>
                <w:rFonts w:hint="eastAsia"/>
                <w:color w:val="000000"/>
                <w:sz w:val="24"/>
                <w:lang w:eastAsia="zh-CN"/>
              </w:rPr>
              <w:t>马鞍路</w:t>
            </w:r>
            <w:r>
              <w:rPr>
                <w:color w:val="000000"/>
                <w:sz w:val="24"/>
              </w:rPr>
              <w:t>近</w:t>
            </w:r>
            <w:r>
              <w:rPr>
                <w:rFonts w:hint="eastAsia"/>
                <w:color w:val="000000"/>
                <w:sz w:val="24"/>
              </w:rPr>
              <w:t>、中</w:t>
            </w:r>
            <w:r>
              <w:rPr>
                <w:rFonts w:hint="eastAsia"/>
                <w:color w:val="000000"/>
                <w:sz w:val="24"/>
                <w:lang w:eastAsia="zh-CN"/>
              </w:rPr>
              <w:t>、远期昼间</w:t>
            </w:r>
            <w:r>
              <w:rPr>
                <w:rFonts w:hint="eastAsia"/>
                <w:color w:val="000000"/>
                <w:sz w:val="24"/>
              </w:rPr>
              <w:t>交通噪声</w:t>
            </w:r>
            <w:r>
              <w:rPr>
                <w:rFonts w:hint="eastAsia"/>
                <w:color w:val="000000"/>
                <w:sz w:val="24"/>
                <w:lang w:eastAsia="zh-CN"/>
              </w:rPr>
              <w:t>分别可</w:t>
            </w:r>
            <w:r>
              <w:rPr>
                <w:rFonts w:hint="eastAsia"/>
                <w:color w:val="000000"/>
                <w:sz w:val="24"/>
              </w:rPr>
              <w:t>在红线</w:t>
            </w:r>
            <w:r>
              <w:rPr>
                <w:rFonts w:hint="eastAsia"/>
                <w:color w:val="000000"/>
                <w:sz w:val="24"/>
                <w:lang w:val="en-US" w:eastAsia="zh-CN"/>
              </w:rPr>
              <w:t>10</w:t>
            </w:r>
            <w:r>
              <w:rPr>
                <w:rFonts w:hint="eastAsia"/>
                <w:color w:val="000000"/>
                <w:sz w:val="24"/>
              </w:rPr>
              <w:t>m</w:t>
            </w:r>
            <w:r>
              <w:rPr>
                <w:rFonts w:hint="eastAsia"/>
                <w:color w:val="000000"/>
                <w:sz w:val="24"/>
                <w:lang w:eastAsia="zh-CN"/>
              </w:rPr>
              <w:t>、</w:t>
            </w:r>
            <w:r>
              <w:rPr>
                <w:rFonts w:hint="eastAsia"/>
                <w:color w:val="000000"/>
                <w:sz w:val="24"/>
                <w:lang w:val="en-US" w:eastAsia="zh-CN"/>
              </w:rPr>
              <w:t>13m、16m</w:t>
            </w:r>
            <w:r>
              <w:rPr>
                <w:rFonts w:hint="eastAsia"/>
                <w:color w:val="000000"/>
                <w:sz w:val="24"/>
              </w:rPr>
              <w:t>以外即可小于</w:t>
            </w:r>
            <w:r>
              <w:rPr>
                <w:rFonts w:hint="eastAsia"/>
                <w:color w:val="000000"/>
                <w:sz w:val="24"/>
                <w:lang w:val="en-US" w:eastAsia="zh-CN"/>
              </w:rPr>
              <w:t>60</w:t>
            </w:r>
            <w:r>
              <w:rPr>
                <w:rFonts w:hint="eastAsia"/>
                <w:color w:val="000000"/>
                <w:sz w:val="24"/>
              </w:rPr>
              <w:t>dB</w:t>
            </w:r>
            <w:r>
              <w:rPr>
                <w:rFonts w:hint="eastAsia"/>
                <w:color w:val="000000"/>
                <w:sz w:val="24"/>
                <w:lang w:eastAsia="zh-CN"/>
              </w:rPr>
              <w:t>，</w:t>
            </w:r>
            <w:r>
              <w:rPr>
                <w:rFonts w:hint="eastAsia"/>
                <w:color w:val="000000"/>
                <w:sz w:val="24"/>
              </w:rPr>
              <w:t>夜间噪声</w:t>
            </w:r>
            <w:r>
              <w:rPr>
                <w:rFonts w:hint="eastAsia"/>
                <w:color w:val="000000"/>
                <w:sz w:val="24"/>
                <w:lang w:eastAsia="zh-CN"/>
              </w:rPr>
              <w:t>分别可</w:t>
            </w:r>
            <w:r>
              <w:rPr>
                <w:rFonts w:hint="eastAsia"/>
                <w:color w:val="000000"/>
                <w:sz w:val="24"/>
              </w:rPr>
              <w:t>在红</w:t>
            </w:r>
            <w:r>
              <w:rPr>
                <w:rFonts w:hint="eastAsia"/>
                <w:color w:val="000000"/>
                <w:sz w:val="24"/>
                <w:lang w:val="en-US" w:eastAsia="zh-CN"/>
              </w:rPr>
              <w:t>35</w:t>
            </w:r>
            <w:r>
              <w:rPr>
                <w:rFonts w:hint="eastAsia"/>
                <w:color w:val="000000"/>
                <w:sz w:val="24"/>
              </w:rPr>
              <w:t>m</w:t>
            </w:r>
            <w:r>
              <w:rPr>
                <w:rFonts w:hint="eastAsia"/>
                <w:color w:val="000000"/>
                <w:sz w:val="24"/>
                <w:lang w:eastAsia="zh-CN"/>
              </w:rPr>
              <w:t>、</w:t>
            </w:r>
            <w:r>
              <w:rPr>
                <w:rFonts w:hint="eastAsia"/>
                <w:color w:val="000000"/>
                <w:sz w:val="24"/>
                <w:lang w:val="en-US" w:eastAsia="zh-CN"/>
              </w:rPr>
              <w:t>44m、51m</w:t>
            </w:r>
            <w:r>
              <w:rPr>
                <w:rFonts w:hint="eastAsia"/>
                <w:color w:val="000000"/>
                <w:sz w:val="24"/>
              </w:rPr>
              <w:t>以外即可小于5</w:t>
            </w:r>
            <w:r>
              <w:rPr>
                <w:rFonts w:hint="eastAsia"/>
                <w:color w:val="000000"/>
                <w:sz w:val="24"/>
                <w:lang w:val="en-US" w:eastAsia="zh-CN"/>
              </w:rPr>
              <w:t>0</w:t>
            </w:r>
            <w:r>
              <w:rPr>
                <w:rFonts w:hint="eastAsia"/>
                <w:color w:val="000000"/>
                <w:sz w:val="24"/>
              </w:rPr>
              <w:t>dB</w:t>
            </w:r>
            <w:r>
              <w:rPr>
                <w:rFonts w:hint="eastAsia"/>
                <w:color w:val="000000"/>
                <w:sz w:val="24"/>
                <w:lang w:val="en-US" w:eastAsia="zh-CN"/>
              </w:rPr>
              <w:t>；</w:t>
            </w:r>
            <w:r>
              <w:rPr>
                <w:rFonts w:hint="eastAsia"/>
                <w:color w:val="000000"/>
                <w:sz w:val="24"/>
                <w:lang w:eastAsia="zh-CN"/>
              </w:rPr>
              <w:t>桃园路</w:t>
            </w:r>
            <w:r>
              <w:rPr>
                <w:color w:val="000000"/>
                <w:sz w:val="24"/>
              </w:rPr>
              <w:t>近</w:t>
            </w:r>
            <w:r>
              <w:rPr>
                <w:rFonts w:hint="eastAsia"/>
                <w:color w:val="000000"/>
                <w:sz w:val="24"/>
              </w:rPr>
              <w:t>、中</w:t>
            </w:r>
            <w:r>
              <w:rPr>
                <w:rFonts w:hint="eastAsia"/>
                <w:color w:val="000000"/>
                <w:sz w:val="24"/>
                <w:lang w:eastAsia="zh-CN"/>
              </w:rPr>
              <w:t>、远期昼间</w:t>
            </w:r>
            <w:r>
              <w:rPr>
                <w:rFonts w:hint="eastAsia"/>
                <w:color w:val="000000"/>
                <w:sz w:val="24"/>
              </w:rPr>
              <w:t>交通噪声</w:t>
            </w:r>
            <w:r>
              <w:rPr>
                <w:rFonts w:hint="eastAsia"/>
                <w:color w:val="000000"/>
                <w:sz w:val="24"/>
                <w:lang w:eastAsia="zh-CN"/>
              </w:rPr>
              <w:t>分别可</w:t>
            </w:r>
            <w:r>
              <w:rPr>
                <w:rFonts w:hint="eastAsia"/>
                <w:color w:val="000000"/>
                <w:sz w:val="24"/>
              </w:rPr>
              <w:t>在红线</w:t>
            </w:r>
            <w:r>
              <w:rPr>
                <w:rFonts w:hint="eastAsia"/>
                <w:color w:val="000000"/>
                <w:sz w:val="24"/>
                <w:lang w:val="en-US" w:eastAsia="zh-CN"/>
              </w:rPr>
              <w:t>23</w:t>
            </w:r>
            <w:r>
              <w:rPr>
                <w:rFonts w:hint="eastAsia"/>
                <w:color w:val="000000"/>
                <w:sz w:val="24"/>
              </w:rPr>
              <w:t>m</w:t>
            </w:r>
            <w:r>
              <w:rPr>
                <w:rFonts w:hint="eastAsia"/>
                <w:color w:val="000000"/>
                <w:sz w:val="24"/>
                <w:lang w:eastAsia="zh-CN"/>
              </w:rPr>
              <w:t>、</w:t>
            </w:r>
            <w:r>
              <w:rPr>
                <w:rFonts w:hint="eastAsia"/>
                <w:color w:val="000000"/>
                <w:sz w:val="24"/>
                <w:lang w:val="en-US" w:eastAsia="zh-CN"/>
              </w:rPr>
              <w:t>44m、53m</w:t>
            </w:r>
            <w:r>
              <w:rPr>
                <w:rFonts w:hint="eastAsia"/>
                <w:color w:val="000000"/>
                <w:sz w:val="24"/>
              </w:rPr>
              <w:t>以外即可小于</w:t>
            </w:r>
            <w:r>
              <w:rPr>
                <w:rFonts w:hint="eastAsia"/>
                <w:color w:val="000000"/>
                <w:sz w:val="24"/>
                <w:lang w:val="en-US" w:eastAsia="zh-CN"/>
              </w:rPr>
              <w:t>60</w:t>
            </w:r>
            <w:r>
              <w:rPr>
                <w:rFonts w:hint="eastAsia"/>
                <w:color w:val="000000"/>
                <w:sz w:val="24"/>
              </w:rPr>
              <w:t>dB</w:t>
            </w:r>
            <w:r>
              <w:rPr>
                <w:rFonts w:hint="eastAsia"/>
                <w:color w:val="000000"/>
                <w:sz w:val="24"/>
                <w:lang w:eastAsia="zh-CN"/>
              </w:rPr>
              <w:t>，</w:t>
            </w:r>
            <w:r>
              <w:rPr>
                <w:rFonts w:hint="eastAsia"/>
                <w:color w:val="000000"/>
                <w:sz w:val="24"/>
              </w:rPr>
              <w:t>夜间噪声</w:t>
            </w:r>
            <w:r>
              <w:rPr>
                <w:rFonts w:hint="eastAsia"/>
                <w:color w:val="000000"/>
                <w:sz w:val="24"/>
                <w:lang w:eastAsia="zh-CN"/>
              </w:rPr>
              <w:t>分别可</w:t>
            </w:r>
            <w:r>
              <w:rPr>
                <w:rFonts w:hint="eastAsia"/>
                <w:color w:val="000000"/>
                <w:sz w:val="24"/>
              </w:rPr>
              <w:t>在红</w:t>
            </w:r>
            <w:r>
              <w:rPr>
                <w:rFonts w:hint="eastAsia"/>
                <w:color w:val="000000"/>
                <w:sz w:val="24"/>
                <w:lang w:val="en-US" w:eastAsia="zh-CN"/>
              </w:rPr>
              <w:t>75</w:t>
            </w:r>
            <w:r>
              <w:rPr>
                <w:rFonts w:hint="eastAsia"/>
                <w:color w:val="000000"/>
                <w:sz w:val="24"/>
              </w:rPr>
              <w:t>m</w:t>
            </w:r>
            <w:r>
              <w:rPr>
                <w:rFonts w:hint="eastAsia"/>
                <w:color w:val="000000"/>
                <w:sz w:val="24"/>
                <w:lang w:eastAsia="zh-CN"/>
              </w:rPr>
              <w:t>、</w:t>
            </w:r>
            <w:r>
              <w:rPr>
                <w:rFonts w:hint="eastAsia"/>
                <w:color w:val="000000"/>
                <w:sz w:val="24"/>
                <w:lang w:val="en-US" w:eastAsia="zh-CN"/>
              </w:rPr>
              <w:t>117m、134m</w:t>
            </w:r>
            <w:r>
              <w:rPr>
                <w:rFonts w:hint="eastAsia"/>
                <w:color w:val="000000"/>
                <w:sz w:val="24"/>
              </w:rPr>
              <w:t>以外即可小于5</w:t>
            </w:r>
            <w:r>
              <w:rPr>
                <w:rFonts w:hint="eastAsia"/>
                <w:color w:val="000000"/>
                <w:sz w:val="24"/>
                <w:lang w:val="en-US" w:eastAsia="zh-CN"/>
              </w:rPr>
              <w:t>0</w:t>
            </w:r>
            <w:r>
              <w:rPr>
                <w:rFonts w:hint="eastAsia"/>
                <w:color w:val="000000"/>
                <w:sz w:val="24"/>
              </w:rPr>
              <w:t>dB</w:t>
            </w:r>
            <w:r>
              <w:rPr>
                <w:rFonts w:hint="eastAsia"/>
                <w:color w:val="000000"/>
                <w:sz w:val="24"/>
                <w:lang w:val="en-US" w:eastAsia="zh-CN"/>
              </w:rPr>
              <w:t>；</w:t>
            </w:r>
            <w:r>
              <w:rPr>
                <w:rFonts w:hint="eastAsia"/>
                <w:color w:val="000000"/>
                <w:sz w:val="24"/>
                <w:lang w:eastAsia="zh-CN"/>
              </w:rPr>
              <w:t>纬四路</w:t>
            </w:r>
            <w:r>
              <w:rPr>
                <w:color w:val="000000"/>
                <w:sz w:val="24"/>
              </w:rPr>
              <w:t>近</w:t>
            </w:r>
            <w:r>
              <w:rPr>
                <w:rFonts w:hint="eastAsia"/>
                <w:color w:val="000000"/>
                <w:sz w:val="24"/>
              </w:rPr>
              <w:t>、中</w:t>
            </w:r>
            <w:r>
              <w:rPr>
                <w:rFonts w:hint="eastAsia"/>
                <w:color w:val="000000"/>
                <w:sz w:val="24"/>
                <w:lang w:eastAsia="zh-CN"/>
              </w:rPr>
              <w:t>、远期昼间</w:t>
            </w:r>
            <w:r>
              <w:rPr>
                <w:rFonts w:hint="eastAsia"/>
                <w:color w:val="000000"/>
                <w:sz w:val="24"/>
              </w:rPr>
              <w:t>交通噪声</w:t>
            </w:r>
            <w:r>
              <w:rPr>
                <w:rFonts w:hint="eastAsia"/>
                <w:color w:val="000000"/>
                <w:sz w:val="24"/>
                <w:lang w:eastAsia="zh-CN"/>
              </w:rPr>
              <w:t>均</w:t>
            </w:r>
            <w:r>
              <w:rPr>
                <w:rFonts w:hint="eastAsia"/>
                <w:color w:val="000000"/>
                <w:sz w:val="24"/>
              </w:rPr>
              <w:t>在红线</w:t>
            </w:r>
            <w:r>
              <w:rPr>
                <w:rFonts w:hint="eastAsia"/>
                <w:color w:val="000000"/>
                <w:sz w:val="24"/>
                <w:lang w:val="en-US" w:eastAsia="zh-CN"/>
              </w:rPr>
              <w:t>内</w:t>
            </w:r>
            <w:r>
              <w:rPr>
                <w:rFonts w:hint="eastAsia"/>
                <w:color w:val="000000"/>
                <w:sz w:val="24"/>
              </w:rPr>
              <w:t>即可小于</w:t>
            </w:r>
            <w:r>
              <w:rPr>
                <w:rFonts w:hint="eastAsia"/>
                <w:color w:val="000000"/>
                <w:sz w:val="24"/>
                <w:lang w:val="en-US" w:eastAsia="zh-CN"/>
              </w:rPr>
              <w:t>60</w:t>
            </w:r>
            <w:r>
              <w:rPr>
                <w:rFonts w:hint="eastAsia"/>
                <w:color w:val="000000"/>
                <w:sz w:val="24"/>
              </w:rPr>
              <w:t>dB</w:t>
            </w:r>
            <w:r>
              <w:rPr>
                <w:rFonts w:hint="eastAsia"/>
                <w:color w:val="000000"/>
                <w:sz w:val="24"/>
                <w:lang w:eastAsia="zh-CN"/>
              </w:rPr>
              <w:t>，</w:t>
            </w:r>
            <w:r>
              <w:rPr>
                <w:color w:val="000000"/>
                <w:sz w:val="24"/>
              </w:rPr>
              <w:t>近</w:t>
            </w:r>
            <w:r>
              <w:rPr>
                <w:rFonts w:hint="eastAsia"/>
                <w:color w:val="000000"/>
                <w:sz w:val="24"/>
              </w:rPr>
              <w:t>、中</w:t>
            </w:r>
            <w:r>
              <w:rPr>
                <w:rFonts w:hint="eastAsia"/>
                <w:color w:val="000000"/>
                <w:sz w:val="24"/>
                <w:lang w:eastAsia="zh-CN"/>
              </w:rPr>
              <w:t>期</w:t>
            </w:r>
            <w:r>
              <w:rPr>
                <w:rFonts w:hint="eastAsia"/>
                <w:color w:val="000000"/>
                <w:sz w:val="24"/>
              </w:rPr>
              <w:t>夜间噪声</w:t>
            </w:r>
            <w:r>
              <w:rPr>
                <w:rFonts w:hint="eastAsia"/>
                <w:color w:val="000000"/>
                <w:sz w:val="24"/>
                <w:lang w:eastAsia="zh-CN"/>
              </w:rPr>
              <w:t>均</w:t>
            </w:r>
            <w:r>
              <w:rPr>
                <w:rFonts w:hint="eastAsia"/>
                <w:color w:val="000000"/>
                <w:sz w:val="24"/>
              </w:rPr>
              <w:t>在红线</w:t>
            </w:r>
            <w:r>
              <w:rPr>
                <w:rFonts w:hint="eastAsia"/>
                <w:color w:val="000000"/>
                <w:sz w:val="24"/>
                <w:lang w:val="en-US" w:eastAsia="zh-CN"/>
              </w:rPr>
              <w:t>内</w:t>
            </w:r>
            <w:r>
              <w:rPr>
                <w:rFonts w:hint="eastAsia"/>
                <w:color w:val="000000"/>
                <w:sz w:val="24"/>
              </w:rPr>
              <w:t>即可小于5</w:t>
            </w:r>
            <w:r>
              <w:rPr>
                <w:rFonts w:hint="eastAsia"/>
                <w:color w:val="000000"/>
                <w:sz w:val="24"/>
                <w:lang w:val="en-US" w:eastAsia="zh-CN"/>
              </w:rPr>
              <w:t>0</w:t>
            </w:r>
            <w:r>
              <w:rPr>
                <w:rFonts w:hint="eastAsia"/>
                <w:color w:val="000000"/>
                <w:sz w:val="24"/>
              </w:rPr>
              <w:t>dB</w:t>
            </w:r>
            <w:r>
              <w:rPr>
                <w:rFonts w:hint="eastAsia"/>
                <w:color w:val="000000"/>
                <w:sz w:val="24"/>
                <w:lang w:eastAsia="zh-CN"/>
              </w:rPr>
              <w:t>，远期</w:t>
            </w:r>
            <w:r>
              <w:rPr>
                <w:rFonts w:hint="eastAsia"/>
                <w:color w:val="000000"/>
                <w:sz w:val="24"/>
              </w:rPr>
              <w:t>夜间噪声在红线</w:t>
            </w:r>
            <w:r>
              <w:rPr>
                <w:rFonts w:hint="eastAsia"/>
                <w:color w:val="000000"/>
                <w:sz w:val="24"/>
                <w:lang w:val="en-US" w:eastAsia="zh-CN"/>
              </w:rPr>
              <w:t>以外1m即</w:t>
            </w:r>
            <w:r>
              <w:rPr>
                <w:rFonts w:hint="eastAsia"/>
                <w:color w:val="000000"/>
                <w:sz w:val="24"/>
              </w:rPr>
              <w:t>可小于5</w:t>
            </w:r>
            <w:r>
              <w:rPr>
                <w:rFonts w:hint="eastAsia"/>
                <w:color w:val="000000"/>
                <w:sz w:val="24"/>
                <w:lang w:val="en-US" w:eastAsia="zh-CN"/>
              </w:rPr>
              <w:t>0</w:t>
            </w:r>
            <w:r>
              <w:rPr>
                <w:rFonts w:hint="eastAsia"/>
                <w:color w:val="000000"/>
                <w:sz w:val="24"/>
              </w:rPr>
              <w:t>dB</w:t>
            </w:r>
            <w:r>
              <w:rPr>
                <w:rFonts w:hint="eastAsia"/>
                <w:color w:val="000000"/>
                <w:sz w:val="24"/>
                <w:lang w:val="en-US" w:eastAsia="zh-CN"/>
              </w:rPr>
              <w:t>；百合路</w:t>
            </w:r>
            <w:r>
              <w:rPr>
                <w:color w:val="000000"/>
                <w:sz w:val="24"/>
              </w:rPr>
              <w:t>近</w:t>
            </w:r>
            <w:r>
              <w:rPr>
                <w:rFonts w:hint="eastAsia"/>
                <w:color w:val="000000"/>
                <w:sz w:val="24"/>
              </w:rPr>
              <w:t>、中</w:t>
            </w:r>
            <w:r>
              <w:rPr>
                <w:rFonts w:hint="eastAsia"/>
                <w:color w:val="000000"/>
                <w:sz w:val="24"/>
                <w:lang w:eastAsia="zh-CN"/>
              </w:rPr>
              <w:t>、远期昼间</w:t>
            </w:r>
            <w:r>
              <w:rPr>
                <w:rFonts w:hint="eastAsia"/>
                <w:color w:val="000000"/>
                <w:sz w:val="24"/>
              </w:rPr>
              <w:t>交通噪声</w:t>
            </w:r>
            <w:r>
              <w:rPr>
                <w:rFonts w:hint="eastAsia"/>
                <w:color w:val="000000"/>
                <w:sz w:val="24"/>
                <w:lang w:eastAsia="zh-CN"/>
              </w:rPr>
              <w:t>分别可</w:t>
            </w:r>
            <w:r>
              <w:rPr>
                <w:rFonts w:hint="eastAsia"/>
                <w:color w:val="000000"/>
                <w:sz w:val="24"/>
              </w:rPr>
              <w:t>在红线</w:t>
            </w:r>
            <w:r>
              <w:rPr>
                <w:rFonts w:hint="eastAsia"/>
                <w:color w:val="000000"/>
                <w:sz w:val="24"/>
                <w:lang w:val="en-US" w:eastAsia="zh-CN"/>
              </w:rPr>
              <w:t>11</w:t>
            </w:r>
            <w:r>
              <w:rPr>
                <w:rFonts w:hint="eastAsia"/>
                <w:color w:val="000000"/>
                <w:sz w:val="24"/>
              </w:rPr>
              <w:t>m</w:t>
            </w:r>
            <w:r>
              <w:rPr>
                <w:rFonts w:hint="eastAsia"/>
                <w:color w:val="000000"/>
                <w:sz w:val="24"/>
                <w:lang w:eastAsia="zh-CN"/>
              </w:rPr>
              <w:t>、</w:t>
            </w:r>
            <w:r>
              <w:rPr>
                <w:rFonts w:hint="eastAsia"/>
                <w:color w:val="000000"/>
                <w:sz w:val="24"/>
                <w:lang w:val="en-US" w:eastAsia="zh-CN"/>
              </w:rPr>
              <w:t>14m、16m</w:t>
            </w:r>
            <w:r>
              <w:rPr>
                <w:rFonts w:hint="eastAsia"/>
                <w:color w:val="000000"/>
                <w:sz w:val="24"/>
              </w:rPr>
              <w:t>以外即可小于</w:t>
            </w:r>
            <w:r>
              <w:rPr>
                <w:rFonts w:hint="eastAsia"/>
                <w:color w:val="000000"/>
                <w:sz w:val="24"/>
                <w:lang w:val="en-US" w:eastAsia="zh-CN"/>
              </w:rPr>
              <w:t>60</w:t>
            </w:r>
            <w:r>
              <w:rPr>
                <w:rFonts w:hint="eastAsia"/>
                <w:color w:val="000000"/>
                <w:sz w:val="24"/>
              </w:rPr>
              <w:t>dB</w:t>
            </w:r>
            <w:r>
              <w:rPr>
                <w:rFonts w:hint="eastAsia"/>
                <w:color w:val="000000"/>
                <w:sz w:val="24"/>
                <w:lang w:eastAsia="zh-CN"/>
              </w:rPr>
              <w:t>，</w:t>
            </w:r>
            <w:r>
              <w:rPr>
                <w:rFonts w:hint="eastAsia"/>
                <w:color w:val="000000"/>
                <w:sz w:val="24"/>
              </w:rPr>
              <w:t>夜间噪声</w:t>
            </w:r>
            <w:r>
              <w:rPr>
                <w:rFonts w:hint="eastAsia"/>
                <w:color w:val="000000"/>
                <w:sz w:val="24"/>
                <w:lang w:eastAsia="zh-CN"/>
              </w:rPr>
              <w:t>分别可</w:t>
            </w:r>
            <w:r>
              <w:rPr>
                <w:rFonts w:hint="eastAsia"/>
                <w:color w:val="000000"/>
                <w:sz w:val="24"/>
              </w:rPr>
              <w:t>在红</w:t>
            </w:r>
            <w:r>
              <w:rPr>
                <w:rFonts w:hint="eastAsia"/>
                <w:color w:val="000000"/>
                <w:sz w:val="24"/>
                <w:lang w:val="en-US" w:eastAsia="zh-CN"/>
              </w:rPr>
              <w:t>37</w:t>
            </w:r>
            <w:r>
              <w:rPr>
                <w:rFonts w:hint="eastAsia"/>
                <w:color w:val="000000"/>
                <w:sz w:val="24"/>
              </w:rPr>
              <w:t>m</w:t>
            </w:r>
            <w:r>
              <w:rPr>
                <w:rFonts w:hint="eastAsia"/>
                <w:color w:val="000000"/>
                <w:sz w:val="24"/>
                <w:lang w:eastAsia="zh-CN"/>
              </w:rPr>
              <w:t>、</w:t>
            </w:r>
            <w:r>
              <w:rPr>
                <w:rFonts w:hint="eastAsia"/>
                <w:color w:val="000000"/>
                <w:sz w:val="24"/>
                <w:lang w:val="en-US" w:eastAsia="zh-CN"/>
              </w:rPr>
              <w:t>45m、51m</w:t>
            </w:r>
            <w:r>
              <w:rPr>
                <w:rFonts w:hint="eastAsia"/>
                <w:color w:val="000000"/>
                <w:sz w:val="24"/>
              </w:rPr>
              <w:t>以外即可小于5</w:t>
            </w:r>
            <w:r>
              <w:rPr>
                <w:rFonts w:hint="eastAsia"/>
                <w:color w:val="000000"/>
                <w:sz w:val="24"/>
                <w:lang w:val="en-US" w:eastAsia="zh-CN"/>
              </w:rPr>
              <w:t>0</w:t>
            </w:r>
            <w:r>
              <w:rPr>
                <w:rFonts w:hint="eastAsia"/>
                <w:color w:val="000000"/>
                <w:sz w:val="24"/>
              </w:rPr>
              <w:t>dB</w:t>
            </w:r>
            <w:r>
              <w:rPr>
                <w:rFonts w:hint="eastAsia"/>
                <w:color w:val="000000"/>
                <w:sz w:val="24"/>
                <w:lang w:eastAsia="zh-CN"/>
              </w:rPr>
              <w:t>。</w:t>
            </w:r>
          </w:p>
          <w:p>
            <w:pPr>
              <w:ind w:firstLine="480" w:firstLineChars="200"/>
              <w:rPr>
                <w:color w:val="000000"/>
                <w:sz w:val="24"/>
              </w:rPr>
            </w:pPr>
            <w:r>
              <w:rPr>
                <w:color w:val="000000"/>
                <w:sz w:val="24"/>
              </w:rPr>
              <w:t>（</w:t>
            </w:r>
            <w:r>
              <w:rPr>
                <w:rFonts w:hint="eastAsia"/>
                <w:color w:val="000000"/>
                <w:sz w:val="24"/>
              </w:rPr>
              <w:t>3</w:t>
            </w:r>
            <w:r>
              <w:rPr>
                <w:color w:val="000000"/>
                <w:sz w:val="24"/>
              </w:rPr>
              <w:t>）敏感点交通噪声预测</w:t>
            </w:r>
          </w:p>
          <w:p>
            <w:pPr>
              <w:bidi w:val="0"/>
              <w:ind w:firstLine="480" w:firstLineChars="200"/>
            </w:pPr>
            <w:r>
              <w:rPr>
                <w:rFonts w:hint="eastAsia"/>
              </w:rPr>
              <w:t>环境保护目标的预测考虑了敏感点与道路中心线距离、纵坡、路面衰减、障碍物遮挡（</w:t>
            </w:r>
            <w:r>
              <w:t>△L</w:t>
            </w:r>
            <w:r>
              <w:rPr>
                <w:rFonts w:hint="eastAsia"/>
              </w:rPr>
              <w:t>树木</w:t>
            </w:r>
            <w:r>
              <w:t>=0</w:t>
            </w:r>
            <w:r>
              <w:rPr>
                <w:rFonts w:hint="eastAsia"/>
              </w:rPr>
              <w:t>、</w:t>
            </w:r>
            <w:r>
              <w:t>△L</w:t>
            </w:r>
            <w:r>
              <w:rPr>
                <w:rFonts w:hint="eastAsia"/>
              </w:rPr>
              <w:t>建筑物</w:t>
            </w:r>
            <w:r>
              <w:t>=3dB(A)</w:t>
            </w:r>
            <w:r>
              <w:rPr>
                <w:rFonts w:hint="eastAsia"/>
              </w:rPr>
              <w:t>）和路基高差等因素。噪声背景值的确定分三种情况考虑：现有噪声监测点以现状评价中的实测值作为噪声背景值；对于无实地测量的声环境敏感点以声环境状况相近的声环境现状监测点的实测值代替。对于规划敏感目标，参考声环境状况相近地区的噪声值综合分析确定。其中，近期以</w:t>
            </w:r>
            <w:r>
              <w:t>20</w:t>
            </w:r>
            <w:r>
              <w:rPr>
                <w:rFonts w:hint="eastAsia"/>
              </w:rPr>
              <w:t>2</w:t>
            </w:r>
            <w:r>
              <w:rPr>
                <w:rFonts w:hint="eastAsia"/>
                <w:lang w:val="en-US" w:eastAsia="zh-CN"/>
              </w:rPr>
              <w:t>4</w:t>
            </w:r>
            <w:r>
              <w:rPr>
                <w:rFonts w:hint="eastAsia"/>
              </w:rPr>
              <w:t>年为考核年，中期以</w:t>
            </w:r>
            <w:r>
              <w:t>20</w:t>
            </w:r>
            <w:r>
              <w:rPr>
                <w:rFonts w:hint="eastAsia"/>
                <w:lang w:val="en-US" w:eastAsia="zh-CN"/>
              </w:rPr>
              <w:t>30</w:t>
            </w:r>
            <w:r>
              <w:rPr>
                <w:rFonts w:hint="eastAsia"/>
              </w:rPr>
              <w:t>年为考核年，远期以</w:t>
            </w:r>
            <w:r>
              <w:t>203</w:t>
            </w:r>
            <w:r>
              <w:rPr>
                <w:rFonts w:hint="eastAsia"/>
                <w:lang w:val="en-US" w:eastAsia="zh-CN"/>
              </w:rPr>
              <w:t>8</w:t>
            </w:r>
            <w:r>
              <w:rPr>
                <w:rFonts w:hint="eastAsia"/>
              </w:rPr>
              <w:t>年为考核年。</w:t>
            </w:r>
          </w:p>
          <w:p>
            <w:pPr>
              <w:bidi w:val="0"/>
              <w:ind w:firstLine="480" w:firstLineChars="200"/>
              <w:rPr>
                <w:rFonts w:hint="eastAsia"/>
              </w:rPr>
            </w:pPr>
            <w:r>
              <w:rPr>
                <w:rFonts w:hint="eastAsia"/>
              </w:rPr>
              <w:t>由于预测结果仅考虑一般的绿化、建筑物阻隔及高差等情况，实际中噪声衰减及阻隔效果较预测远远要大，且通过对临街建筑物采取隔声、合理规划设计建筑物布局等多项措施削减敏感点噪声，降低道路车辆运行噪声对敏感点的影响，可使其达到相关的声环境质量标准。</w:t>
            </w:r>
          </w:p>
          <w:p>
            <w:pPr>
              <w:pStyle w:val="9"/>
              <w:spacing w:before="0" w:after="0" w:line="480" w:lineRule="exact"/>
              <w:ind w:left="0" w:firstLine="0"/>
              <w:jc w:val="center"/>
              <w:rPr>
                <w:rFonts w:ascii="Times New Roman" w:hAnsi="Times New Roman"/>
                <w:color w:val="auto"/>
              </w:rPr>
            </w:pPr>
            <w:r>
              <w:rPr>
                <w:rFonts w:hint="eastAsia" w:ascii="Times New Roman" w:hAnsi="Times New Roman" w:cs="宋体"/>
                <w:color w:val="auto"/>
              </w:rPr>
              <w:t>表</w:t>
            </w:r>
            <w:r>
              <w:rPr>
                <w:rFonts w:hint="eastAsia" w:ascii="Times New Roman" w:hAnsi="Times New Roman"/>
                <w:color w:val="auto"/>
                <w:lang w:val="en-US" w:eastAsia="zh-CN"/>
              </w:rPr>
              <w:t>44</w:t>
            </w:r>
            <w:r>
              <w:rPr>
                <w:rFonts w:ascii="Times New Roman" w:hAnsi="Times New Roman"/>
                <w:color w:val="auto"/>
              </w:rPr>
              <w:t xml:space="preserve">   </w:t>
            </w:r>
            <w:r>
              <w:rPr>
                <w:rFonts w:hint="eastAsia" w:ascii="Times New Roman" w:hAnsi="Times New Roman" w:cs="宋体"/>
                <w:color w:val="auto"/>
              </w:rPr>
              <w:t>近期（</w:t>
            </w:r>
            <w:r>
              <w:rPr>
                <w:rFonts w:ascii="Times New Roman" w:hAnsi="Times New Roman"/>
                <w:color w:val="auto"/>
              </w:rPr>
              <w:t>20</w:t>
            </w:r>
            <w:r>
              <w:rPr>
                <w:rFonts w:hint="eastAsia" w:ascii="Times New Roman" w:hAnsi="Times New Roman"/>
                <w:color w:val="auto"/>
              </w:rPr>
              <w:t>2</w:t>
            </w:r>
            <w:r>
              <w:rPr>
                <w:rFonts w:hint="eastAsia" w:ascii="Times New Roman" w:hAnsi="Times New Roman"/>
                <w:color w:val="auto"/>
                <w:lang w:val="en-US" w:eastAsia="zh-CN"/>
              </w:rPr>
              <w:t>4</w:t>
            </w:r>
            <w:r>
              <w:rPr>
                <w:rFonts w:hint="eastAsia" w:ascii="Times New Roman" w:hAnsi="Times New Roman" w:cs="宋体"/>
                <w:color w:val="auto"/>
              </w:rPr>
              <w:t>年）主要声环境敏感点噪声预测结果单位：</w:t>
            </w:r>
            <w:r>
              <w:rPr>
                <w:rFonts w:ascii="Times New Roman" w:hAnsi="Times New Roman"/>
                <w:color w:val="auto"/>
              </w:rPr>
              <w:t>dB(A)</w:t>
            </w:r>
          </w:p>
          <w:tbl>
            <w:tblPr>
              <w:tblStyle w:val="34"/>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4"/>
              <w:gridCol w:w="1531"/>
              <w:gridCol w:w="1474"/>
              <w:gridCol w:w="624"/>
              <w:gridCol w:w="624"/>
              <w:gridCol w:w="737"/>
              <w:gridCol w:w="737"/>
              <w:gridCol w:w="737"/>
              <w:gridCol w:w="73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blHeader/>
                <w:jc w:val="center"/>
              </w:trPr>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序号</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敏感点名称</w:t>
                  </w:r>
                </w:p>
              </w:tc>
              <w:tc>
                <w:tcPr>
                  <w:tcW w:w="1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首排与中心线</w:t>
                  </w:r>
                  <w:r>
                    <w:rPr>
                      <w:sz w:val="21"/>
                      <w:szCs w:val="21"/>
                    </w:rPr>
                    <w:t>/</w:t>
                  </w:r>
                  <w:r>
                    <w:rPr>
                      <w:rFonts w:hint="eastAsia"/>
                      <w:sz w:val="21"/>
                      <w:szCs w:val="21"/>
                    </w:rPr>
                    <w:t>红线距离（</w:t>
                  </w:r>
                  <w:r>
                    <w:rPr>
                      <w:sz w:val="21"/>
                      <w:szCs w:val="21"/>
                    </w:rPr>
                    <w:t>m</w:t>
                  </w:r>
                  <w:r>
                    <w:rPr>
                      <w:rFonts w:hint="eastAsia"/>
                      <w:sz w:val="21"/>
                      <w:szCs w:val="2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评价标准</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时段</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背景值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贡献值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预测值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超标值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1</w:t>
                  </w:r>
                </w:p>
              </w:tc>
              <w:tc>
                <w:tcPr>
                  <w:tcW w:w="15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高福社区居民</w:t>
                  </w:r>
                </w:p>
              </w:tc>
              <w:tc>
                <w:tcPr>
                  <w:tcW w:w="14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百合路北侧</w:t>
                  </w:r>
                  <w:r>
                    <w:rPr>
                      <w:rFonts w:hint="eastAsia"/>
                      <w:sz w:val="21"/>
                      <w:szCs w:val="21"/>
                      <w:lang w:val="en-US" w:eastAsia="zh-CN"/>
                    </w:rPr>
                    <w:t>约20m/20m</w:t>
                  </w:r>
                </w:p>
              </w:tc>
              <w:tc>
                <w:tcPr>
                  <w:tcW w:w="6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w:t>
                  </w:r>
                  <w:r>
                    <w:rPr>
                      <w:sz w:val="21"/>
                      <w:szCs w:val="21"/>
                    </w:rPr>
                    <w:t>a</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54.2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60.57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61.47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5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4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43.7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53.92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sz w:val="21"/>
                      <w:szCs w:val="21"/>
                    </w:rPr>
                    <w:t>5</w:t>
                  </w:r>
                  <w:r>
                    <w:rPr>
                      <w:rFonts w:hint="eastAsia"/>
                      <w:sz w:val="21"/>
                      <w:szCs w:val="21"/>
                      <w:lang w:val="en-US" w:eastAsia="zh-CN"/>
                    </w:rPr>
                    <w:t>4.31</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2</w:t>
                  </w:r>
                </w:p>
              </w:tc>
              <w:tc>
                <w:tcPr>
                  <w:tcW w:w="15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eastAsia="zh-CN"/>
                    </w:rPr>
                    <w:t>马鞍社区居民</w:t>
                  </w:r>
                  <w:r>
                    <w:rPr>
                      <w:rFonts w:hint="eastAsia"/>
                      <w:sz w:val="21"/>
                      <w:szCs w:val="21"/>
                      <w:lang w:val="en-US" w:eastAsia="zh-CN"/>
                    </w:rPr>
                    <w:t>1</w:t>
                  </w:r>
                </w:p>
              </w:tc>
              <w:tc>
                <w:tcPr>
                  <w:tcW w:w="14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百合路西侧</w:t>
                  </w:r>
                  <w:r>
                    <w:rPr>
                      <w:rFonts w:hint="eastAsia"/>
                      <w:sz w:val="21"/>
                      <w:szCs w:val="21"/>
                      <w:lang w:val="en-US" w:eastAsia="zh-CN"/>
                    </w:rPr>
                    <w:t>约74m/62m</w:t>
                  </w:r>
                </w:p>
              </w:tc>
              <w:tc>
                <w:tcPr>
                  <w:tcW w:w="6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53.4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54.89</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57.22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5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4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42.7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48.24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49.31</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3</w:t>
                  </w:r>
                </w:p>
              </w:tc>
              <w:tc>
                <w:tcPr>
                  <w:tcW w:w="15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eastAsia="zh-CN"/>
                    </w:rPr>
                    <w:t>马鞍社区居民</w:t>
                  </w:r>
                  <w:r>
                    <w:rPr>
                      <w:rFonts w:hint="eastAsia"/>
                      <w:sz w:val="21"/>
                      <w:szCs w:val="21"/>
                      <w:lang w:val="en-US" w:eastAsia="zh-CN"/>
                    </w:rPr>
                    <w:t>2（</w:t>
                  </w:r>
                  <w:r>
                    <w:rPr>
                      <w:rFonts w:hint="eastAsia" w:ascii="宋体" w:hAnsi="宋体" w:eastAsia="宋体" w:cs="宋体"/>
                      <w:sz w:val="21"/>
                      <w:szCs w:val="21"/>
                      <w:lang w:val="en-US" w:eastAsia="zh-CN"/>
                    </w:rPr>
                    <w:t>③</w:t>
                  </w:r>
                  <w:r>
                    <w:rPr>
                      <w:rFonts w:hint="eastAsia"/>
                      <w:sz w:val="21"/>
                      <w:szCs w:val="21"/>
                      <w:lang w:val="en-US" w:eastAsia="zh-CN"/>
                    </w:rPr>
                    <w:t>）</w:t>
                  </w:r>
                </w:p>
              </w:tc>
              <w:tc>
                <w:tcPr>
                  <w:tcW w:w="14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百合路东侧</w:t>
                  </w:r>
                  <w:r>
                    <w:rPr>
                      <w:rFonts w:hint="eastAsia"/>
                      <w:sz w:val="21"/>
                      <w:szCs w:val="21"/>
                      <w:lang w:val="en-US" w:eastAsia="zh-CN"/>
                    </w:rPr>
                    <w:t>约62m/50m</w:t>
                  </w:r>
                </w:p>
              </w:tc>
              <w:tc>
                <w:tcPr>
                  <w:tcW w:w="6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54.2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55.65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58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eastAsia="zh-CN"/>
                    </w:rPr>
                  </w:pPr>
                  <w:r>
                    <w:rPr>
                      <w:sz w:val="21"/>
                      <w:szCs w:val="21"/>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5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4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43.7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49.01</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50.13</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1"/>
                      <w:szCs w:val="21"/>
                      <w:lang w:val="en-US" w:eastAsia="zh-CN"/>
                    </w:rPr>
                  </w:pPr>
                  <w:r>
                    <w:rPr>
                      <w:rFonts w:hint="eastAsia"/>
                      <w:sz w:val="21"/>
                      <w:szCs w:val="21"/>
                      <w:lang w:val="en-US" w:eastAsia="zh-CN"/>
                    </w:rPr>
                    <w:t>0.13</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w:t>
                  </w:r>
                </w:p>
              </w:tc>
              <w:tc>
                <w:tcPr>
                  <w:tcW w:w="1531"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eastAsia="zh-CN"/>
                    </w:rPr>
                    <w:t>马鞍社区居民</w:t>
                  </w:r>
                  <w:r>
                    <w:rPr>
                      <w:rFonts w:hint="eastAsia"/>
                      <w:sz w:val="21"/>
                      <w:szCs w:val="21"/>
                      <w:lang w:val="en-US" w:eastAsia="zh-CN"/>
                    </w:rPr>
                    <w:t>2（</w:t>
                  </w:r>
                  <w:r>
                    <w:rPr>
                      <w:rFonts w:hint="eastAsia" w:ascii="宋体" w:hAnsi="宋体" w:eastAsia="宋体" w:cs="宋体"/>
                      <w:sz w:val="21"/>
                      <w:szCs w:val="21"/>
                      <w:lang w:val="en-US" w:eastAsia="zh-CN"/>
                    </w:rPr>
                    <w:t>④</w:t>
                  </w:r>
                  <w:r>
                    <w:rPr>
                      <w:rFonts w:hint="eastAsia"/>
                      <w:sz w:val="21"/>
                      <w:szCs w:val="21"/>
                      <w:lang w:val="en-US" w:eastAsia="zh-CN"/>
                    </w:rPr>
                    <w:t>）</w:t>
                  </w:r>
                </w:p>
              </w:tc>
              <w:tc>
                <w:tcPr>
                  <w:tcW w:w="147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eastAsia="zh-CN"/>
                    </w:rPr>
                    <w:t>马鞍路北侧</w:t>
                  </w:r>
                  <w:r>
                    <w:rPr>
                      <w:rFonts w:hint="eastAsia"/>
                      <w:sz w:val="21"/>
                      <w:szCs w:val="21"/>
                      <w:lang w:val="en-US" w:eastAsia="zh-CN"/>
                    </w:rPr>
                    <w:t>约30m/18m</w:t>
                  </w:r>
                </w:p>
              </w:tc>
              <w:tc>
                <w:tcPr>
                  <w:tcW w:w="62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4</w:t>
                  </w:r>
                  <w:r>
                    <w:rPr>
                      <w:sz w:val="21"/>
                      <w:szCs w:val="21"/>
                    </w:rPr>
                    <w:t>a</w:t>
                  </w:r>
                  <w:r>
                    <w:rPr>
                      <w:rFonts w:hint="eastAsia"/>
                      <w:sz w:val="21"/>
                      <w:szCs w:val="21"/>
                    </w:rPr>
                    <w:t>类</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54.8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58.</w:t>
                  </w:r>
                  <w:r>
                    <w:rPr>
                      <w:rFonts w:hint="eastAsia"/>
                      <w:sz w:val="21"/>
                      <w:szCs w:val="21"/>
                      <w:lang w:val="en-US" w:eastAsia="zh-CN"/>
                    </w:rPr>
                    <w:t>64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60.14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531"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47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42.5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51.97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52.</w:t>
                  </w:r>
                  <w:r>
                    <w:rPr>
                      <w:rFonts w:hint="eastAsia"/>
                      <w:sz w:val="21"/>
                      <w:szCs w:val="21"/>
                      <w:lang w:val="en-US" w:eastAsia="zh-CN"/>
                    </w:rPr>
                    <w:t>43</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eastAsia="zh-CN"/>
                    </w:rPr>
                  </w:pPr>
                  <w:r>
                    <w:rPr>
                      <w:rFonts w:hint="eastAsia"/>
                      <w:sz w:val="21"/>
                      <w:szCs w:val="21"/>
                      <w:lang w:val="en-US" w:eastAsia="zh-CN"/>
                    </w:rPr>
                    <w:t>5</w:t>
                  </w:r>
                </w:p>
              </w:tc>
              <w:tc>
                <w:tcPr>
                  <w:tcW w:w="1531"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sz w:val="21"/>
                      <w:szCs w:val="21"/>
                      <w:lang w:val="en-US"/>
                    </w:rPr>
                  </w:pPr>
                  <w:r>
                    <w:rPr>
                      <w:rFonts w:hint="eastAsia"/>
                      <w:sz w:val="21"/>
                      <w:szCs w:val="21"/>
                      <w:lang w:eastAsia="zh-CN"/>
                    </w:rPr>
                    <w:t>马鞍社区居民</w:t>
                  </w:r>
                  <w:r>
                    <w:rPr>
                      <w:rFonts w:hint="eastAsia"/>
                      <w:sz w:val="21"/>
                      <w:szCs w:val="21"/>
                      <w:lang w:val="en-US" w:eastAsia="zh-CN"/>
                    </w:rPr>
                    <w:t>3</w:t>
                  </w:r>
                </w:p>
              </w:tc>
              <w:tc>
                <w:tcPr>
                  <w:tcW w:w="147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纬四路北侧约</w:t>
                  </w:r>
                  <w:r>
                    <w:rPr>
                      <w:rFonts w:hint="eastAsia"/>
                      <w:sz w:val="21"/>
                      <w:szCs w:val="21"/>
                      <w:lang w:val="en-US" w:eastAsia="zh-CN"/>
                    </w:rPr>
                    <w:t>31m/24.5m</w:t>
                  </w:r>
                </w:p>
              </w:tc>
              <w:tc>
                <w:tcPr>
                  <w:tcW w:w="62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4</w:t>
                  </w:r>
                  <w:r>
                    <w:rPr>
                      <w:sz w:val="21"/>
                      <w:szCs w:val="21"/>
                    </w:rPr>
                    <w:t>a</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5</w:t>
                  </w:r>
                  <w:r>
                    <w:rPr>
                      <w:rFonts w:hint="eastAsia"/>
                      <w:sz w:val="21"/>
                      <w:szCs w:val="21"/>
                      <w:lang w:val="en-US" w:eastAsia="zh-CN"/>
                    </w:rPr>
                    <w:t>3.6</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60.85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61.6</w:t>
                  </w:r>
                  <w:r>
                    <w:rPr>
                      <w:rFonts w:hint="eastAsia"/>
                      <w:sz w:val="21"/>
                      <w:szCs w:val="21"/>
                      <w:lang w:val="en-US" w:eastAsia="zh-CN"/>
                    </w:rPr>
                    <w:t>0</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531"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47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4</w:t>
                  </w:r>
                  <w:r>
                    <w:rPr>
                      <w:rFonts w:hint="eastAsia"/>
                      <w:sz w:val="21"/>
                      <w:szCs w:val="21"/>
                      <w:lang w:val="en-US" w:eastAsia="zh-CN"/>
                    </w:rPr>
                    <w:t>3.2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54.33</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54.</w:t>
                  </w:r>
                  <w:r>
                    <w:rPr>
                      <w:rFonts w:hint="eastAsia"/>
                      <w:sz w:val="21"/>
                      <w:szCs w:val="21"/>
                      <w:lang w:val="en-US" w:eastAsia="zh-CN"/>
                    </w:rPr>
                    <w:t>65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w:t>
                  </w:r>
                </w:p>
              </w:tc>
              <w:tc>
                <w:tcPr>
                  <w:tcW w:w="1531"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eastAsia="zh-CN"/>
                    </w:rPr>
                    <w:t>马鞍社区居民</w:t>
                  </w:r>
                  <w:r>
                    <w:rPr>
                      <w:rFonts w:hint="eastAsia"/>
                      <w:sz w:val="21"/>
                      <w:szCs w:val="21"/>
                      <w:lang w:val="en-US" w:eastAsia="zh-CN"/>
                    </w:rPr>
                    <w:t>3</w:t>
                  </w:r>
                </w:p>
              </w:tc>
              <w:tc>
                <w:tcPr>
                  <w:tcW w:w="147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桃园路西侧约88m/68m</w:t>
                  </w:r>
                </w:p>
              </w:tc>
              <w:tc>
                <w:tcPr>
                  <w:tcW w:w="62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54.9</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57.48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59.39</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531"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47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43.2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50.82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51.51</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1.51</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sz w:val="21"/>
                      <w:szCs w:val="21"/>
                      <w:lang w:eastAsia="zh-CN"/>
                    </w:rPr>
                  </w:pPr>
                  <w:r>
                    <w:rPr>
                      <w:rFonts w:hint="eastAsia"/>
                      <w:sz w:val="21"/>
                      <w:szCs w:val="21"/>
                      <w:lang w:val="en-US" w:eastAsia="zh-CN"/>
                    </w:rPr>
                    <w:t>7</w:t>
                  </w:r>
                </w:p>
              </w:tc>
              <w:tc>
                <w:tcPr>
                  <w:tcW w:w="1531"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马鞍社区居民</w:t>
                  </w:r>
                  <w:r>
                    <w:rPr>
                      <w:rFonts w:hint="eastAsia"/>
                      <w:sz w:val="21"/>
                      <w:szCs w:val="21"/>
                      <w:lang w:val="en-US" w:eastAsia="zh-CN"/>
                    </w:rPr>
                    <w:t>4</w:t>
                  </w:r>
                </w:p>
              </w:tc>
              <w:tc>
                <w:tcPr>
                  <w:tcW w:w="147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eastAsia="zh-CN"/>
                    </w:rPr>
                    <w:t>桃园路东侧</w:t>
                  </w:r>
                  <w:r>
                    <w:rPr>
                      <w:rFonts w:hint="eastAsia"/>
                      <w:sz w:val="21"/>
                      <w:szCs w:val="21"/>
                      <w:lang w:val="en-US" w:eastAsia="zh-CN"/>
                    </w:rPr>
                    <w:t>约59m/39m</w:t>
                  </w:r>
                </w:p>
              </w:tc>
              <w:tc>
                <w:tcPr>
                  <w:tcW w:w="62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54.5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59.21</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60.47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0.47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53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147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43.0</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52.56</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53.02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3.02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50</w:t>
                  </w:r>
                </w:p>
              </w:tc>
            </w:tr>
          </w:tbl>
          <w:p>
            <w:pPr>
              <w:pStyle w:val="9"/>
              <w:spacing w:before="0" w:after="0" w:line="480" w:lineRule="exact"/>
              <w:ind w:left="0" w:firstLine="0"/>
              <w:jc w:val="center"/>
              <w:rPr>
                <w:rFonts w:hint="eastAsia" w:ascii="Times New Roman" w:hAnsi="Times New Roman" w:cs="宋体"/>
                <w:color w:val="auto"/>
              </w:rPr>
            </w:pPr>
          </w:p>
          <w:p>
            <w:pPr>
              <w:pStyle w:val="9"/>
              <w:spacing w:before="0" w:after="0" w:line="480" w:lineRule="exact"/>
              <w:ind w:left="0" w:firstLine="0"/>
              <w:jc w:val="center"/>
              <w:rPr>
                <w:rFonts w:hint="eastAsia" w:ascii="Times New Roman" w:hAnsi="Times New Roman" w:cs="宋体"/>
                <w:color w:val="auto"/>
              </w:rPr>
            </w:pPr>
          </w:p>
          <w:p>
            <w:pPr>
              <w:pStyle w:val="9"/>
              <w:spacing w:before="0" w:after="0" w:line="480" w:lineRule="exact"/>
              <w:ind w:left="0" w:firstLine="0"/>
              <w:jc w:val="center"/>
              <w:rPr>
                <w:rFonts w:hint="eastAsia" w:ascii="Times New Roman" w:hAnsi="Times New Roman" w:cs="宋体"/>
                <w:color w:val="auto"/>
              </w:rPr>
            </w:pPr>
          </w:p>
          <w:p>
            <w:pPr>
              <w:pStyle w:val="9"/>
              <w:spacing w:before="0" w:after="0" w:line="480" w:lineRule="exact"/>
              <w:ind w:left="0" w:firstLine="0"/>
              <w:jc w:val="center"/>
              <w:rPr>
                <w:rFonts w:ascii="Times New Roman" w:hAnsi="Times New Roman"/>
                <w:color w:val="auto"/>
              </w:rPr>
            </w:pPr>
            <w:r>
              <w:rPr>
                <w:rFonts w:hint="eastAsia" w:ascii="Times New Roman" w:hAnsi="Times New Roman" w:cs="宋体"/>
                <w:color w:val="auto"/>
              </w:rPr>
              <w:t>表</w:t>
            </w:r>
            <w:r>
              <w:rPr>
                <w:rFonts w:hint="eastAsia" w:ascii="Times New Roman" w:hAnsi="Times New Roman"/>
                <w:color w:val="auto"/>
                <w:lang w:val="en-US" w:eastAsia="zh-CN"/>
              </w:rPr>
              <w:t>45</w:t>
            </w:r>
            <w:r>
              <w:rPr>
                <w:rFonts w:ascii="Times New Roman" w:hAnsi="Times New Roman"/>
                <w:color w:val="auto"/>
              </w:rPr>
              <w:t xml:space="preserve">   </w:t>
            </w:r>
            <w:r>
              <w:rPr>
                <w:rFonts w:hint="eastAsia" w:ascii="Times New Roman" w:hAnsi="Times New Roman" w:cs="宋体"/>
                <w:color w:val="auto"/>
              </w:rPr>
              <w:t>中期（</w:t>
            </w:r>
            <w:r>
              <w:rPr>
                <w:rFonts w:ascii="Times New Roman" w:hAnsi="Times New Roman"/>
                <w:color w:val="auto"/>
              </w:rPr>
              <w:t>20</w:t>
            </w:r>
            <w:r>
              <w:rPr>
                <w:rFonts w:hint="eastAsia" w:ascii="Times New Roman" w:hAnsi="Times New Roman"/>
                <w:color w:val="auto"/>
                <w:lang w:val="en-US" w:eastAsia="zh-CN"/>
              </w:rPr>
              <w:t>30</w:t>
            </w:r>
            <w:r>
              <w:rPr>
                <w:rFonts w:hint="eastAsia" w:ascii="Times New Roman" w:hAnsi="Times New Roman" w:cs="宋体"/>
                <w:color w:val="auto"/>
              </w:rPr>
              <w:t>年）主要声环境敏感点噪声预测结果单位：</w:t>
            </w:r>
            <w:r>
              <w:rPr>
                <w:rFonts w:ascii="Times New Roman" w:hAnsi="Times New Roman"/>
                <w:color w:val="auto"/>
              </w:rPr>
              <w:t>dB(A)</w:t>
            </w:r>
          </w:p>
          <w:tbl>
            <w:tblPr>
              <w:tblStyle w:val="34"/>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7"/>
              <w:gridCol w:w="2098"/>
              <w:gridCol w:w="1417"/>
              <w:gridCol w:w="624"/>
              <w:gridCol w:w="624"/>
              <w:gridCol w:w="737"/>
              <w:gridCol w:w="737"/>
              <w:gridCol w:w="737"/>
              <w:gridCol w:w="73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blHeader/>
                <w:jc w:val="center"/>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序</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号</w:t>
                  </w:r>
                </w:p>
              </w:tc>
              <w:tc>
                <w:tcPr>
                  <w:tcW w:w="20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敏感点名称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首排与中心线</w:t>
                  </w:r>
                  <w:r>
                    <w:rPr>
                      <w:sz w:val="21"/>
                      <w:szCs w:val="21"/>
                    </w:rPr>
                    <w:t>/</w:t>
                  </w:r>
                  <w:r>
                    <w:rPr>
                      <w:rFonts w:hint="eastAsia"/>
                      <w:sz w:val="21"/>
                      <w:szCs w:val="21"/>
                    </w:rPr>
                    <w:t>红线距离（</w:t>
                  </w:r>
                  <w:r>
                    <w:rPr>
                      <w:sz w:val="21"/>
                      <w:szCs w:val="21"/>
                    </w:rPr>
                    <w:t>m</w:t>
                  </w:r>
                  <w:r>
                    <w:rPr>
                      <w:rFonts w:hint="eastAsia"/>
                      <w:sz w:val="21"/>
                      <w:szCs w:val="2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评价标准</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时段</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背景值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贡献值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预测值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超标值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jc w:val="center"/>
                    <w:textAlignment w:val="auto"/>
                    <w:rPr>
                      <w:rFonts w:hint="default" w:eastAsia="宋体"/>
                      <w:sz w:val="21"/>
                      <w:szCs w:val="21"/>
                      <w:lang w:val="en-US" w:eastAsia="zh-CN"/>
                    </w:rPr>
                  </w:pPr>
                  <w:r>
                    <w:rPr>
                      <w:rFonts w:hint="eastAsia"/>
                      <w:sz w:val="21"/>
                      <w:szCs w:val="21"/>
                      <w:lang w:val="en-US" w:eastAsia="zh-CN"/>
                    </w:rPr>
                    <w:t>1</w:t>
                  </w:r>
                </w:p>
              </w:tc>
              <w:tc>
                <w:tcPr>
                  <w:tcW w:w="20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eastAsia="zh-CN"/>
                    </w:rPr>
                    <w:t>规划</w:t>
                  </w:r>
                  <w:r>
                    <w:rPr>
                      <w:rFonts w:hint="eastAsia"/>
                      <w:sz w:val="21"/>
                      <w:szCs w:val="21"/>
                      <w:lang w:val="en-US" w:eastAsia="zh-CN"/>
                    </w:rPr>
                    <w:t>二类居民用地</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百合路东侧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sz w:val="21"/>
                      <w:szCs w:val="21"/>
                      <w:lang w:val="en-US" w:eastAsia="zh-CN"/>
                    </w:rPr>
                  </w:pPr>
                  <w:r>
                    <w:rPr>
                      <w:rFonts w:hint="eastAsia"/>
                      <w:sz w:val="21"/>
                      <w:szCs w:val="21"/>
                      <w:lang w:val="en-US" w:eastAsia="zh-CN"/>
                    </w:rPr>
                    <w:t>40m/40m</w:t>
                  </w:r>
                </w:p>
              </w:tc>
              <w:tc>
                <w:tcPr>
                  <w:tcW w:w="6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jc w:val="center"/>
                    <w:textAlignment w:val="auto"/>
                    <w:rPr>
                      <w:sz w:val="21"/>
                      <w:szCs w:val="21"/>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jc w:val="center"/>
                    <w:textAlignment w:val="auto"/>
                    <w:rPr>
                      <w:sz w:val="21"/>
                      <w:szCs w:val="21"/>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jc w:val="center"/>
                    <w:textAlignment w:val="auto"/>
                    <w:rPr>
                      <w:rFonts w:hint="eastAsia" w:eastAsia="宋体"/>
                      <w:sz w:val="21"/>
                      <w:szCs w:val="21"/>
                      <w:lang w:eastAsia="zh-CN"/>
                    </w:rPr>
                  </w:pPr>
                  <w:r>
                    <w:rPr>
                      <w:sz w:val="21"/>
                      <w:szCs w:val="21"/>
                    </w:rPr>
                    <w:t>53.</w:t>
                  </w:r>
                  <w:r>
                    <w:rPr>
                      <w:rFonts w:hint="eastAsia"/>
                      <w:sz w:val="21"/>
                      <w:szCs w:val="21"/>
                      <w:lang w:val="en-US" w:eastAsia="zh-CN"/>
                    </w:rPr>
                    <w:t>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jc w:val="center"/>
                    <w:textAlignment w:val="auto"/>
                    <w:rPr>
                      <w:sz w:val="21"/>
                      <w:szCs w:val="21"/>
                    </w:rPr>
                  </w:pPr>
                  <w:r>
                    <w:rPr>
                      <w:rFonts w:hint="eastAsia"/>
                      <w:sz w:val="21"/>
                      <w:szCs w:val="21"/>
                      <w:lang w:val="en-US" w:eastAsia="zh-CN"/>
                    </w:rPr>
                    <w:t>58.13</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jc w:val="center"/>
                    <w:textAlignment w:val="auto"/>
                    <w:rPr>
                      <w:rFonts w:hint="default" w:eastAsia="宋体"/>
                      <w:sz w:val="21"/>
                      <w:szCs w:val="21"/>
                      <w:lang w:val="en-US" w:eastAsia="zh-CN"/>
                    </w:rPr>
                  </w:pPr>
                  <w:r>
                    <w:rPr>
                      <w:sz w:val="21"/>
                      <w:szCs w:val="21"/>
                    </w:rPr>
                    <w:t>59.</w:t>
                  </w:r>
                  <w:r>
                    <w:rPr>
                      <w:rFonts w:hint="eastAsia"/>
                      <w:sz w:val="21"/>
                      <w:szCs w:val="21"/>
                      <w:lang w:val="en-US" w:eastAsia="zh-CN"/>
                    </w:rPr>
                    <w:t>42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jc w:val="center"/>
                    <w:textAlignment w:val="auto"/>
                    <w:rPr>
                      <w:sz w:val="21"/>
                      <w:szCs w:val="21"/>
                    </w:rPr>
                  </w:pPr>
                  <w:r>
                    <w:rPr>
                      <w:sz w:val="21"/>
                      <w:szCs w:val="21"/>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0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4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lang w:val="en-US" w:eastAsia="zh-CN" w:bidi="ar-SA"/>
                    </w:rPr>
                  </w:pPr>
                </w:p>
              </w:tc>
              <w:tc>
                <w:tcPr>
                  <w:tcW w:w="6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41.7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sz w:val="21"/>
                      <w:szCs w:val="21"/>
                    </w:rPr>
                    <w:t>51.</w:t>
                  </w:r>
                  <w:r>
                    <w:rPr>
                      <w:rFonts w:hint="eastAsia"/>
                      <w:sz w:val="21"/>
                      <w:szCs w:val="21"/>
                      <w:lang w:val="en-US" w:eastAsia="zh-CN"/>
                    </w:rPr>
                    <w:t>55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sz w:val="21"/>
                      <w:szCs w:val="21"/>
                    </w:rPr>
                    <w:t>51.</w:t>
                  </w:r>
                  <w:r>
                    <w:rPr>
                      <w:rFonts w:hint="eastAsia"/>
                      <w:sz w:val="21"/>
                      <w:szCs w:val="21"/>
                      <w:lang w:val="en-US" w:eastAsia="zh-CN"/>
                    </w:rPr>
                    <w:t>98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1.98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2</w:t>
                  </w:r>
                </w:p>
              </w:tc>
              <w:tc>
                <w:tcPr>
                  <w:tcW w:w="2098"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eastAsia="zh-CN"/>
                    </w:rPr>
                    <w:t>规划</w:t>
                  </w:r>
                  <w:r>
                    <w:rPr>
                      <w:rFonts w:hint="eastAsia"/>
                      <w:sz w:val="21"/>
                      <w:szCs w:val="21"/>
                      <w:lang w:val="en-US" w:eastAsia="zh-CN"/>
                    </w:rPr>
                    <w:t>中小学用地</w:t>
                  </w:r>
                </w:p>
              </w:tc>
              <w:tc>
                <w:tcPr>
                  <w:tcW w:w="1417"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sz w:val="21"/>
                      <w:szCs w:val="21"/>
                      <w:lang w:val="en-US"/>
                    </w:rPr>
                  </w:pPr>
                  <w:r>
                    <w:rPr>
                      <w:rFonts w:hint="eastAsia"/>
                      <w:sz w:val="21"/>
                      <w:szCs w:val="21"/>
                      <w:lang w:eastAsia="zh-CN"/>
                    </w:rPr>
                    <w:t>马鞍路北侧</w:t>
                  </w:r>
                  <w:r>
                    <w:rPr>
                      <w:rFonts w:hint="eastAsia"/>
                      <w:sz w:val="21"/>
                      <w:szCs w:val="21"/>
                      <w:lang w:val="en-US" w:eastAsia="zh-CN"/>
                    </w:rPr>
                    <w:t>60m/60m</w:t>
                  </w:r>
                </w:p>
              </w:tc>
              <w:tc>
                <w:tcPr>
                  <w:tcW w:w="62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sz w:val="21"/>
                      <w:szCs w:val="21"/>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ascii="Times New Roman" w:hAnsi="Times New Roman" w:eastAsia="宋体" w:cs="Times New Roman"/>
                      <w:kern w:val="2"/>
                      <w:sz w:val="21"/>
                      <w:szCs w:val="21"/>
                      <w:lang w:val="en-US" w:eastAsia="zh-CN" w:bidi="ar-SA"/>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53.8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lang w:val="en-US" w:eastAsia="zh-CN"/>
                    </w:rPr>
                    <w:t>56.30</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58.24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lang w:val="en-US" w:eastAsia="zh-CN"/>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098"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417"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43.5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49.74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50.67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0.67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rPr>
                    <w:t>2</w:t>
                  </w:r>
                </w:p>
              </w:tc>
              <w:tc>
                <w:tcPr>
                  <w:tcW w:w="2098"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eastAsia="zh-CN"/>
                    </w:rPr>
                    <w:t>规划服务设施用地</w:t>
                  </w:r>
                </w:p>
              </w:tc>
              <w:tc>
                <w:tcPr>
                  <w:tcW w:w="1417"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eastAsia="zh-CN"/>
                    </w:rPr>
                    <w:t>马鞍路北侧</w:t>
                  </w:r>
                  <w:r>
                    <w:rPr>
                      <w:rFonts w:hint="eastAsia"/>
                      <w:sz w:val="21"/>
                      <w:szCs w:val="21"/>
                      <w:lang w:val="en-US" w:eastAsia="zh-CN"/>
                    </w:rPr>
                    <w:t>30m/30m</w:t>
                  </w:r>
                </w:p>
              </w:tc>
              <w:tc>
                <w:tcPr>
                  <w:tcW w:w="62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53.8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58.06</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59.44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098"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417"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43.5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51.50</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5</w:t>
                  </w:r>
                  <w:r>
                    <w:rPr>
                      <w:rFonts w:hint="eastAsia"/>
                      <w:sz w:val="21"/>
                      <w:szCs w:val="21"/>
                      <w:lang w:val="en-US" w:eastAsia="zh-CN"/>
                    </w:rPr>
                    <w:t>2.14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2.14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50</w:t>
                  </w:r>
                </w:p>
              </w:tc>
            </w:tr>
          </w:tbl>
          <w:p>
            <w:pPr>
              <w:pStyle w:val="9"/>
              <w:spacing w:before="0" w:after="0" w:line="480" w:lineRule="exact"/>
              <w:ind w:left="0" w:firstLine="0"/>
              <w:jc w:val="center"/>
              <w:rPr>
                <w:rFonts w:ascii="Times New Roman" w:hAnsi="Times New Roman"/>
                <w:color w:val="auto"/>
              </w:rPr>
            </w:pPr>
            <w:r>
              <w:rPr>
                <w:rFonts w:hint="eastAsia" w:ascii="Times New Roman" w:hAnsi="Times New Roman" w:cs="宋体"/>
                <w:color w:val="auto"/>
              </w:rPr>
              <w:t>表</w:t>
            </w:r>
            <w:r>
              <w:rPr>
                <w:rFonts w:hint="eastAsia" w:ascii="Times New Roman" w:hAnsi="Times New Roman"/>
                <w:color w:val="auto"/>
                <w:lang w:val="en-US" w:eastAsia="zh-CN"/>
              </w:rPr>
              <w:t>46</w:t>
            </w:r>
            <w:r>
              <w:rPr>
                <w:rFonts w:ascii="Times New Roman" w:hAnsi="Times New Roman"/>
                <w:color w:val="auto"/>
              </w:rPr>
              <w:t xml:space="preserve">   </w:t>
            </w:r>
            <w:r>
              <w:rPr>
                <w:rFonts w:hint="eastAsia" w:ascii="Times New Roman" w:hAnsi="Times New Roman" w:cs="宋体"/>
                <w:color w:val="auto"/>
              </w:rPr>
              <w:t>远期（</w:t>
            </w:r>
            <w:r>
              <w:rPr>
                <w:rFonts w:ascii="Times New Roman" w:hAnsi="Times New Roman"/>
                <w:color w:val="auto"/>
              </w:rPr>
              <w:t>203</w:t>
            </w:r>
            <w:r>
              <w:rPr>
                <w:rFonts w:hint="eastAsia" w:ascii="Times New Roman" w:hAnsi="Times New Roman"/>
                <w:color w:val="auto"/>
                <w:lang w:val="en-US" w:eastAsia="zh-CN"/>
              </w:rPr>
              <w:t>8</w:t>
            </w:r>
            <w:r>
              <w:rPr>
                <w:rFonts w:hint="eastAsia" w:ascii="Times New Roman" w:hAnsi="Times New Roman" w:cs="宋体"/>
                <w:color w:val="auto"/>
              </w:rPr>
              <w:t>年）主要声环境敏感点噪声预测结果单位：</w:t>
            </w:r>
            <w:r>
              <w:rPr>
                <w:rFonts w:ascii="Times New Roman" w:hAnsi="Times New Roman"/>
                <w:color w:val="auto"/>
              </w:rPr>
              <w:t>dB(A)</w:t>
            </w:r>
          </w:p>
          <w:tbl>
            <w:tblPr>
              <w:tblStyle w:val="34"/>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7"/>
              <w:gridCol w:w="2098"/>
              <w:gridCol w:w="1417"/>
              <w:gridCol w:w="624"/>
              <w:gridCol w:w="624"/>
              <w:gridCol w:w="737"/>
              <w:gridCol w:w="737"/>
              <w:gridCol w:w="737"/>
              <w:gridCol w:w="73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blHeader/>
                <w:jc w:val="center"/>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序</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号</w:t>
                  </w:r>
                </w:p>
              </w:tc>
              <w:tc>
                <w:tcPr>
                  <w:tcW w:w="20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敏感点名称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首排与中心线</w:t>
                  </w:r>
                  <w:r>
                    <w:rPr>
                      <w:sz w:val="21"/>
                      <w:szCs w:val="21"/>
                    </w:rPr>
                    <w:t>/</w:t>
                  </w:r>
                  <w:r>
                    <w:rPr>
                      <w:rFonts w:hint="eastAsia"/>
                      <w:sz w:val="21"/>
                      <w:szCs w:val="21"/>
                    </w:rPr>
                    <w:t>红线距离（</w:t>
                  </w:r>
                  <w:r>
                    <w:rPr>
                      <w:sz w:val="21"/>
                      <w:szCs w:val="21"/>
                    </w:rPr>
                    <w:t>m</w:t>
                  </w:r>
                  <w:r>
                    <w:rPr>
                      <w:rFonts w:hint="eastAsia"/>
                      <w:sz w:val="21"/>
                      <w:szCs w:val="21"/>
                    </w:rPr>
                    <w:t>）</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评价标准</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时段</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背景值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贡献值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预测值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超标值</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sz w:val="21"/>
                      <w:szCs w:val="21"/>
                    </w:rPr>
                  </w:pPr>
                  <w:r>
                    <w:rPr>
                      <w:rFonts w:hint="eastAsia"/>
                      <w:sz w:val="21"/>
                      <w:szCs w:val="21"/>
                      <w:lang w:val="en-US" w:eastAsia="zh-CN"/>
                    </w:rPr>
                    <w:t>1</w:t>
                  </w:r>
                </w:p>
              </w:tc>
              <w:tc>
                <w:tcPr>
                  <w:tcW w:w="20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eastAsia="zh-CN"/>
                    </w:rPr>
                    <w:t>规划</w:t>
                  </w:r>
                  <w:r>
                    <w:rPr>
                      <w:rFonts w:hint="eastAsia"/>
                      <w:sz w:val="21"/>
                      <w:szCs w:val="21"/>
                      <w:lang w:val="en-US" w:eastAsia="zh-CN"/>
                    </w:rPr>
                    <w:t>二类居民用地</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百合路东侧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val="en-US" w:eastAsia="zh-CN"/>
                    </w:rPr>
                    <w:t>40m/40m</w:t>
                  </w:r>
                </w:p>
              </w:tc>
              <w:tc>
                <w:tcPr>
                  <w:tcW w:w="6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sz w:val="21"/>
                      <w:szCs w:val="21"/>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sz w:val="21"/>
                      <w:szCs w:val="21"/>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sz w:val="21"/>
                      <w:szCs w:val="21"/>
                    </w:rPr>
                  </w:pPr>
                  <w:r>
                    <w:rPr>
                      <w:sz w:val="21"/>
                      <w:szCs w:val="21"/>
                    </w:rPr>
                    <w:t>53.</w:t>
                  </w:r>
                  <w:r>
                    <w:rPr>
                      <w:rFonts w:hint="eastAsia"/>
                      <w:sz w:val="21"/>
                      <w:szCs w:val="21"/>
                      <w:lang w:val="en-US" w:eastAsia="zh-CN"/>
                    </w:rPr>
                    <w:t>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sz w:val="21"/>
                      <w:szCs w:val="21"/>
                    </w:rPr>
                  </w:pPr>
                  <w:r>
                    <w:rPr>
                      <w:rFonts w:hint="eastAsia"/>
                      <w:sz w:val="21"/>
                      <w:szCs w:val="21"/>
                      <w:lang w:val="en-US" w:eastAsia="zh-CN"/>
                    </w:rPr>
                    <w:t>58.50</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hint="default" w:eastAsia="宋体"/>
                      <w:sz w:val="21"/>
                      <w:szCs w:val="21"/>
                      <w:lang w:val="en-US" w:eastAsia="zh-CN"/>
                    </w:rPr>
                  </w:pPr>
                  <w:r>
                    <w:rPr>
                      <w:sz w:val="21"/>
                      <w:szCs w:val="21"/>
                    </w:rPr>
                    <w:t>59.</w:t>
                  </w:r>
                  <w:r>
                    <w:rPr>
                      <w:rFonts w:hint="eastAsia"/>
                      <w:sz w:val="21"/>
                      <w:szCs w:val="21"/>
                      <w:lang w:val="en-US" w:eastAsia="zh-CN"/>
                    </w:rPr>
                    <w:t>69</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sz w:val="21"/>
                      <w:szCs w:val="21"/>
                    </w:rPr>
                  </w:pPr>
                  <w:r>
                    <w:rPr>
                      <w:sz w:val="21"/>
                      <w:szCs w:val="21"/>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0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4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p>
              </w:tc>
              <w:tc>
                <w:tcPr>
                  <w:tcW w:w="62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lang w:val="en-US" w:eastAsia="zh-CN"/>
                    </w:rPr>
                    <w:t>41.7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sz w:val="21"/>
                      <w:szCs w:val="21"/>
                    </w:rPr>
                    <w:t>51.</w:t>
                  </w:r>
                  <w:r>
                    <w:rPr>
                      <w:rFonts w:hint="eastAsia"/>
                      <w:sz w:val="21"/>
                      <w:szCs w:val="21"/>
                      <w:lang w:val="en-US" w:eastAsia="zh-CN"/>
                    </w:rPr>
                    <w:t>93</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sz w:val="21"/>
                      <w:szCs w:val="21"/>
                    </w:rPr>
                    <w:t>5</w:t>
                  </w:r>
                  <w:r>
                    <w:rPr>
                      <w:rFonts w:hint="eastAsia"/>
                      <w:sz w:val="21"/>
                      <w:szCs w:val="21"/>
                      <w:lang w:val="en-US" w:eastAsia="zh-CN"/>
                    </w:rPr>
                    <w:t>2.32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2.32</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2</w:t>
                  </w:r>
                </w:p>
              </w:tc>
              <w:tc>
                <w:tcPr>
                  <w:tcW w:w="2098"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eastAsia="zh-CN"/>
                    </w:rPr>
                    <w:t>规划</w:t>
                  </w:r>
                  <w:r>
                    <w:rPr>
                      <w:rFonts w:hint="eastAsia"/>
                      <w:sz w:val="21"/>
                      <w:szCs w:val="21"/>
                      <w:lang w:val="en-US" w:eastAsia="zh-CN"/>
                    </w:rPr>
                    <w:t>中小学用地</w:t>
                  </w:r>
                </w:p>
              </w:tc>
              <w:tc>
                <w:tcPr>
                  <w:tcW w:w="1417"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eastAsia="zh-CN"/>
                    </w:rPr>
                    <w:t>马鞍路北侧</w:t>
                  </w:r>
                  <w:r>
                    <w:rPr>
                      <w:rFonts w:hint="eastAsia"/>
                      <w:sz w:val="21"/>
                      <w:szCs w:val="21"/>
                      <w:lang w:val="en-US" w:eastAsia="zh-CN"/>
                    </w:rPr>
                    <w:t>60m/60m</w:t>
                  </w:r>
                </w:p>
              </w:tc>
              <w:tc>
                <w:tcPr>
                  <w:tcW w:w="62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sz w:val="21"/>
                      <w:szCs w:val="21"/>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0" w:firstLineChars="0"/>
                    <w:jc w:val="center"/>
                    <w:textAlignment w:val="auto"/>
                    <w:rPr>
                      <w:rFonts w:ascii="Times New Roman" w:hAnsi="Times New Roman" w:eastAsia="宋体" w:cs="Times New Roman"/>
                      <w:kern w:val="2"/>
                      <w:sz w:val="21"/>
                      <w:szCs w:val="21"/>
                      <w:lang w:val="en-US" w:eastAsia="zh-CN" w:bidi="ar-SA"/>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53.8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lang w:val="en-US" w:eastAsia="zh-CN"/>
                    </w:rPr>
                    <w:t>56.78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58.55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lang w:val="en-US" w:eastAsia="zh-CN"/>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098"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417"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kern w:val="2"/>
                      <w:sz w:val="21"/>
                      <w:szCs w:val="21"/>
                      <w:lang w:val="en-US" w:eastAsia="zh-CN" w:bidi="ar-SA"/>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43.5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50.21</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51.05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z w:val="21"/>
                      <w:szCs w:val="21"/>
                      <w:lang w:val="en-US" w:eastAsia="zh-CN"/>
                    </w:rPr>
                  </w:pPr>
                  <w:r>
                    <w:rPr>
                      <w:rFonts w:hint="eastAsia"/>
                      <w:sz w:val="21"/>
                      <w:szCs w:val="21"/>
                      <w:lang w:val="en-US" w:eastAsia="zh-CN"/>
                    </w:rPr>
                    <w:t>1.05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lang w:val="en-US" w:eastAsia="zh-CN"/>
                    </w:rPr>
                    <w:t>3</w:t>
                  </w:r>
                </w:p>
              </w:tc>
              <w:tc>
                <w:tcPr>
                  <w:tcW w:w="2098"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sz w:val="21"/>
                      <w:szCs w:val="21"/>
                      <w:lang w:eastAsia="zh-CN"/>
                    </w:rPr>
                  </w:pPr>
                  <w:r>
                    <w:rPr>
                      <w:rFonts w:hint="eastAsia"/>
                      <w:sz w:val="21"/>
                      <w:szCs w:val="21"/>
                      <w:lang w:eastAsia="zh-CN"/>
                    </w:rPr>
                    <w:t>规划服务设施用地</w:t>
                  </w:r>
                </w:p>
              </w:tc>
              <w:tc>
                <w:tcPr>
                  <w:tcW w:w="1417"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sz w:val="21"/>
                      <w:szCs w:val="21"/>
                    </w:rPr>
                  </w:pPr>
                  <w:r>
                    <w:rPr>
                      <w:rFonts w:hint="eastAsia"/>
                      <w:sz w:val="21"/>
                      <w:szCs w:val="21"/>
                      <w:lang w:eastAsia="zh-CN"/>
                    </w:rPr>
                    <w:t>马鞍路北侧</w:t>
                  </w:r>
                  <w:r>
                    <w:rPr>
                      <w:rFonts w:hint="eastAsia"/>
                      <w:sz w:val="21"/>
                      <w:szCs w:val="21"/>
                      <w:lang w:val="en-US" w:eastAsia="zh-CN"/>
                    </w:rPr>
                    <w:t>30m/30m</w:t>
                  </w:r>
                </w:p>
              </w:tc>
              <w:tc>
                <w:tcPr>
                  <w:tcW w:w="624" w:type="dxa"/>
                  <w:vMerge w:val="restart"/>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lang w:val="en-US" w:eastAsia="zh-CN"/>
                    </w:rPr>
                    <w:t>2</w:t>
                  </w:r>
                  <w:r>
                    <w:rPr>
                      <w:rFonts w:hint="eastAsia"/>
                      <w:sz w:val="21"/>
                      <w:szCs w:val="21"/>
                    </w:rPr>
                    <w:t>类</w:t>
                  </w: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昼间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53.8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58.54</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5</w:t>
                  </w:r>
                  <w:r>
                    <w:rPr>
                      <w:rFonts w:hint="eastAsia"/>
                      <w:sz w:val="21"/>
                      <w:szCs w:val="21"/>
                      <w:lang w:val="en-US" w:eastAsia="zh-CN"/>
                    </w:rPr>
                    <w:t>9.8</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098"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417"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rPr>
                    <w:t>夜间</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43.5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51.97</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5</w:t>
                  </w:r>
                  <w:r>
                    <w:rPr>
                      <w:rFonts w:hint="eastAsia"/>
                      <w:sz w:val="21"/>
                      <w:szCs w:val="21"/>
                      <w:lang w:val="en-US" w:eastAsia="zh-CN"/>
                    </w:rPr>
                    <w:t>2.55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2.55</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kern w:val="2"/>
                      <w:sz w:val="21"/>
                      <w:szCs w:val="21"/>
                      <w:lang w:val="en-US" w:eastAsia="zh-CN" w:bidi="ar-SA"/>
                    </w:rPr>
                  </w:pPr>
                  <w:r>
                    <w:rPr>
                      <w:sz w:val="21"/>
                      <w:szCs w:val="21"/>
                    </w:rPr>
                    <w:t>50</w:t>
                  </w:r>
                </w:p>
              </w:tc>
            </w:tr>
          </w:tbl>
          <w:p>
            <w:pPr>
              <w:bidi w:val="0"/>
              <w:ind w:firstLine="480" w:firstLineChars="200"/>
            </w:pPr>
            <w:r>
              <w:rPr>
                <w:rFonts w:hint="eastAsia"/>
              </w:rPr>
              <w:t>由表可知，营运近期，高福社区居民点、马鞍社区居民点</w:t>
            </w:r>
            <w:r>
              <w:rPr>
                <w:rFonts w:hint="eastAsia"/>
                <w:lang w:val="en-US" w:eastAsia="zh-CN"/>
              </w:rPr>
              <w:t>1、2（</w:t>
            </w:r>
            <w:r>
              <w:rPr>
                <w:rFonts w:hint="eastAsia" w:ascii="宋体" w:hAnsi="宋体" w:eastAsia="宋体" w:cs="宋体"/>
                <w:sz w:val="21"/>
                <w:szCs w:val="21"/>
                <w:lang w:val="en-US" w:eastAsia="zh-CN"/>
              </w:rPr>
              <w:t>④</w:t>
            </w:r>
            <w:r>
              <w:rPr>
                <w:rFonts w:hint="eastAsia"/>
                <w:lang w:val="en-US" w:eastAsia="zh-CN"/>
              </w:rPr>
              <w:t>）</w:t>
            </w:r>
            <w:r>
              <w:rPr>
                <w:rFonts w:hint="eastAsia"/>
              </w:rPr>
              <w:t>昼夜间均未出现超标现象</w:t>
            </w:r>
            <w:r>
              <w:rPr>
                <w:rFonts w:hint="eastAsia"/>
                <w:lang w:eastAsia="zh-CN"/>
              </w:rPr>
              <w:t>；</w:t>
            </w:r>
            <w:r>
              <w:rPr>
                <w:rFonts w:hint="eastAsia"/>
              </w:rPr>
              <w:t>马鞍社区居民点</w:t>
            </w:r>
            <w:r>
              <w:rPr>
                <w:rFonts w:hint="eastAsia"/>
                <w:lang w:val="en-US" w:eastAsia="zh-CN"/>
              </w:rPr>
              <w:t>2（</w:t>
            </w:r>
            <w:r>
              <w:rPr>
                <w:rFonts w:hint="eastAsia" w:ascii="宋体" w:hAnsi="宋体" w:eastAsia="宋体" w:cs="宋体"/>
                <w:sz w:val="21"/>
                <w:szCs w:val="21"/>
                <w:lang w:val="en-US" w:eastAsia="zh-CN"/>
              </w:rPr>
              <w:t>③</w:t>
            </w:r>
            <w:r>
              <w:rPr>
                <w:rFonts w:hint="eastAsia"/>
                <w:lang w:val="en-US" w:eastAsia="zh-CN"/>
              </w:rPr>
              <w:t>）</w:t>
            </w:r>
            <w:r>
              <w:rPr>
                <w:rFonts w:hint="eastAsia"/>
              </w:rPr>
              <w:t>昼间未出现超标现象</w:t>
            </w:r>
            <w:r>
              <w:rPr>
                <w:rFonts w:hint="eastAsia"/>
                <w:lang w:eastAsia="zh-CN"/>
              </w:rPr>
              <w:t>，夜间超标</w:t>
            </w:r>
            <w:r>
              <w:rPr>
                <w:rFonts w:hint="eastAsia"/>
                <w:lang w:val="en-US" w:eastAsia="zh-CN"/>
              </w:rPr>
              <w:t>0.13</w:t>
            </w:r>
            <w:r>
              <w:t>dB(A)</w:t>
            </w:r>
            <w:r>
              <w:rPr>
                <w:rFonts w:hint="eastAsia"/>
                <w:lang w:eastAsia="zh-CN"/>
              </w:rPr>
              <w:t>；马鞍社区居民</w:t>
            </w:r>
            <w:r>
              <w:rPr>
                <w:rFonts w:hint="eastAsia"/>
              </w:rPr>
              <w:t>点</w:t>
            </w:r>
            <w:r>
              <w:rPr>
                <w:rFonts w:hint="eastAsia"/>
                <w:lang w:val="en-US" w:eastAsia="zh-CN"/>
              </w:rPr>
              <w:t>3纬四路北侧未出现超标现象，桃园路西侧</w:t>
            </w:r>
            <w:r>
              <w:rPr>
                <w:rFonts w:hint="eastAsia"/>
              </w:rPr>
              <w:t>昼间未出现超标现象</w:t>
            </w:r>
            <w:r>
              <w:rPr>
                <w:rFonts w:hint="eastAsia"/>
                <w:lang w:eastAsia="zh-CN"/>
              </w:rPr>
              <w:t>，夜间超标</w:t>
            </w:r>
            <w:r>
              <w:rPr>
                <w:rFonts w:hint="eastAsia"/>
                <w:lang w:val="en-US" w:eastAsia="zh-CN"/>
              </w:rPr>
              <w:t>1.51</w:t>
            </w:r>
            <w:r>
              <w:t>dB(A)</w:t>
            </w:r>
            <w:r>
              <w:rPr>
                <w:rFonts w:hint="eastAsia"/>
                <w:lang w:eastAsia="zh-CN"/>
              </w:rPr>
              <w:t>；</w:t>
            </w:r>
            <w:r>
              <w:rPr>
                <w:rFonts w:hint="eastAsia"/>
              </w:rPr>
              <w:t>马鞍社区居民点</w:t>
            </w:r>
            <w:r>
              <w:rPr>
                <w:rFonts w:hint="eastAsia"/>
                <w:lang w:val="en-US" w:eastAsia="zh-CN"/>
              </w:rPr>
              <w:t>4</w:t>
            </w:r>
            <w:r>
              <w:rPr>
                <w:rFonts w:hint="eastAsia"/>
              </w:rPr>
              <w:t>昼间超标值</w:t>
            </w:r>
            <w:r>
              <w:t>0.</w:t>
            </w:r>
            <w:r>
              <w:rPr>
                <w:rFonts w:hint="eastAsia"/>
                <w:lang w:val="en-US" w:eastAsia="zh-CN"/>
              </w:rPr>
              <w:t>47</w:t>
            </w:r>
            <w:r>
              <w:t>dB(A)</w:t>
            </w:r>
            <w:r>
              <w:rPr>
                <w:rFonts w:hint="eastAsia"/>
              </w:rPr>
              <w:t>，夜间超标值</w:t>
            </w:r>
            <w:r>
              <w:rPr>
                <w:rFonts w:hint="eastAsia"/>
                <w:lang w:val="en-US" w:eastAsia="zh-CN"/>
              </w:rPr>
              <w:t>3.02</w:t>
            </w:r>
            <w:r>
              <w:t>dB(A)</w:t>
            </w:r>
            <w:r>
              <w:rPr>
                <w:rFonts w:hint="eastAsia"/>
              </w:rPr>
              <w:t>。</w:t>
            </w:r>
          </w:p>
          <w:p>
            <w:pPr>
              <w:bidi w:val="0"/>
              <w:ind w:firstLine="480" w:firstLineChars="200"/>
            </w:pPr>
            <w:r>
              <w:rPr>
                <w:rFonts w:hint="eastAsia"/>
              </w:rPr>
              <w:t>营运中期，规划二类居住用地</w:t>
            </w:r>
            <w:r>
              <w:rPr>
                <w:rFonts w:hint="eastAsia"/>
                <w:lang w:eastAsia="zh-CN"/>
              </w:rPr>
              <w:t>、规划中小学用地、规划服务设施用地</w:t>
            </w:r>
            <w:r>
              <w:rPr>
                <w:rFonts w:hint="eastAsia"/>
              </w:rPr>
              <w:t>昼间均未出现超标现象，规划二类居住用地夜间超标值</w:t>
            </w:r>
            <w:r>
              <w:rPr>
                <w:rFonts w:hint="eastAsia"/>
                <w:lang w:val="en-US" w:eastAsia="zh-CN"/>
              </w:rPr>
              <w:t>1.98</w:t>
            </w:r>
            <w:r>
              <w:t>dB(A)</w:t>
            </w:r>
            <w:r>
              <w:rPr>
                <w:rFonts w:hint="eastAsia"/>
                <w:lang w:eastAsia="zh-CN"/>
              </w:rPr>
              <w:t>，规划中小学用地</w:t>
            </w:r>
            <w:r>
              <w:rPr>
                <w:rFonts w:hint="eastAsia"/>
              </w:rPr>
              <w:t>夜间超标值</w:t>
            </w:r>
            <w:r>
              <w:rPr>
                <w:rFonts w:hint="eastAsia"/>
                <w:lang w:val="en-US" w:eastAsia="zh-CN"/>
              </w:rPr>
              <w:t>0.67</w:t>
            </w:r>
            <w:r>
              <w:t>dB(A)</w:t>
            </w:r>
            <w:r>
              <w:rPr>
                <w:rFonts w:hint="eastAsia"/>
                <w:lang w:eastAsia="zh-CN"/>
              </w:rPr>
              <w:t>，规划中小学用地</w:t>
            </w:r>
            <w:r>
              <w:rPr>
                <w:rFonts w:hint="eastAsia"/>
              </w:rPr>
              <w:t>夜间超标值</w:t>
            </w:r>
            <w:r>
              <w:rPr>
                <w:rFonts w:hint="eastAsia"/>
                <w:lang w:val="en-US" w:eastAsia="zh-CN"/>
              </w:rPr>
              <w:t>2.14</w:t>
            </w:r>
            <w:r>
              <w:t>dB(A)</w:t>
            </w:r>
            <w:r>
              <w:rPr>
                <w:rFonts w:hint="eastAsia"/>
              </w:rPr>
              <w:t>。</w:t>
            </w:r>
          </w:p>
          <w:p>
            <w:pPr>
              <w:bidi w:val="0"/>
              <w:ind w:firstLine="480" w:firstLineChars="200"/>
              <w:rPr>
                <w:rFonts w:hint="eastAsia" w:eastAsia="宋体"/>
                <w:lang w:eastAsia="zh-CN"/>
              </w:rPr>
            </w:pPr>
            <w:r>
              <w:rPr>
                <w:rFonts w:hint="eastAsia"/>
              </w:rPr>
              <w:t>营运远期，规划二类居住用地</w:t>
            </w:r>
            <w:r>
              <w:rPr>
                <w:rFonts w:hint="eastAsia"/>
                <w:lang w:eastAsia="zh-CN"/>
              </w:rPr>
              <w:t>、规划中小学用地、规划服务设施用地</w:t>
            </w:r>
            <w:r>
              <w:rPr>
                <w:rFonts w:hint="eastAsia"/>
              </w:rPr>
              <w:t>昼间均未出现超标现象，规划二类居住用地夜间超标值</w:t>
            </w:r>
            <w:r>
              <w:rPr>
                <w:rFonts w:hint="eastAsia"/>
                <w:lang w:val="en-US" w:eastAsia="zh-CN"/>
              </w:rPr>
              <w:t>2.32</w:t>
            </w:r>
            <w:r>
              <w:t>dB(A)</w:t>
            </w:r>
            <w:r>
              <w:rPr>
                <w:rFonts w:hint="eastAsia"/>
                <w:lang w:eastAsia="zh-CN"/>
              </w:rPr>
              <w:t>，规划中小学用地</w:t>
            </w:r>
            <w:r>
              <w:rPr>
                <w:rFonts w:hint="eastAsia"/>
              </w:rPr>
              <w:t>夜间超标值</w:t>
            </w:r>
            <w:r>
              <w:rPr>
                <w:rFonts w:hint="eastAsia"/>
                <w:lang w:val="en-US" w:eastAsia="zh-CN"/>
              </w:rPr>
              <w:t>1.05</w:t>
            </w:r>
            <w:r>
              <w:t>dB(A)</w:t>
            </w:r>
            <w:r>
              <w:rPr>
                <w:rFonts w:hint="eastAsia"/>
                <w:lang w:eastAsia="zh-CN"/>
              </w:rPr>
              <w:t>，规划中小学用地</w:t>
            </w:r>
            <w:r>
              <w:rPr>
                <w:rFonts w:hint="eastAsia"/>
              </w:rPr>
              <w:t>夜间超标值</w:t>
            </w:r>
            <w:r>
              <w:rPr>
                <w:rFonts w:hint="eastAsia"/>
                <w:lang w:val="en-US" w:eastAsia="zh-CN"/>
              </w:rPr>
              <w:t>2.55</w:t>
            </w:r>
            <w:r>
              <w:t>dB(A)</w:t>
            </w:r>
            <w:r>
              <w:rPr>
                <w:rFonts w:hint="eastAsia"/>
              </w:rPr>
              <w:t>。</w:t>
            </w:r>
          </w:p>
          <w:p>
            <w:pPr>
              <w:ind w:firstLine="480" w:firstLineChars="200"/>
              <w:rPr>
                <w:rFonts w:hint="eastAsia"/>
                <w:color w:val="000000"/>
                <w:sz w:val="24"/>
              </w:rPr>
            </w:pPr>
            <w:r>
              <w:rPr>
                <w:rFonts w:hint="eastAsia"/>
                <w:color w:val="auto"/>
                <w:sz w:val="24"/>
              </w:rPr>
              <w:t>根据上述预测，在靠近道路较近距离处出现超标现象，</w:t>
            </w:r>
            <w:r>
              <w:rPr>
                <w:rFonts w:hint="eastAsia" w:cs="宋体"/>
                <w:color w:val="auto"/>
                <w:sz w:val="24"/>
                <w:lang w:bidi="ar"/>
              </w:rPr>
              <w:t>为减小本项目营运近期、中期、远期噪声对道路两侧敏感点的影响，要求在超标段采取绿化降噪、禁鸣、限速、跟踪监测、预留环保费用等措施，同时要求必须铺设沥青路面。根据本项目标准横断面图可知，道路两侧将设置绿化缓冲带，各敏感点采取道路两侧绿化降噪、并限速至</w:t>
            </w:r>
            <w:r>
              <w:rPr>
                <w:color w:val="auto"/>
                <w:sz w:val="24"/>
                <w:lang w:bidi="ar"/>
              </w:rPr>
              <w:t xml:space="preserve"> 30km/h</w:t>
            </w:r>
            <w:r>
              <w:rPr>
                <w:rFonts w:hint="eastAsia" w:cs="宋体"/>
                <w:color w:val="auto"/>
                <w:sz w:val="24"/>
                <w:lang w:bidi="ar"/>
              </w:rPr>
              <w:t>。本环评建议在人行道外侧种植高大乔木，必要时可以双排种植，中间栽种</w:t>
            </w:r>
            <w:r>
              <w:rPr>
                <w:color w:val="auto"/>
                <w:sz w:val="24"/>
                <w:lang w:bidi="ar"/>
              </w:rPr>
              <w:t xml:space="preserve"> 2m </w:t>
            </w:r>
            <w:r>
              <w:rPr>
                <w:rFonts w:hint="eastAsia" w:cs="宋体"/>
                <w:color w:val="auto"/>
                <w:sz w:val="24"/>
                <w:lang w:bidi="ar"/>
              </w:rPr>
              <w:t>高左右的灌木丛。在采取以上措施后，可降低交通噪声对沿线敏感目标的影响。采取上述措施后可降噪</w:t>
            </w:r>
            <w:r>
              <w:rPr>
                <w:color w:val="auto"/>
                <w:sz w:val="24"/>
                <w:lang w:bidi="ar"/>
              </w:rPr>
              <w:t xml:space="preserve"> 2~6dB</w:t>
            </w:r>
            <w:r>
              <w:rPr>
                <w:rFonts w:hint="eastAsia" w:cs="宋体"/>
                <w:color w:val="auto"/>
                <w:sz w:val="24"/>
                <w:lang w:bidi="ar"/>
              </w:rPr>
              <w:t>，确保在本项目营运近期、中期、远期道路两侧敏感点昼夜间噪声可达标。</w:t>
            </w:r>
          </w:p>
          <w:p>
            <w:pPr>
              <w:ind w:firstLine="480" w:firstLineChars="200"/>
              <w:rPr>
                <w:color w:val="000000"/>
                <w:sz w:val="24"/>
              </w:rPr>
            </w:pPr>
            <w:r>
              <w:rPr>
                <w:rFonts w:hint="eastAsia"/>
                <w:color w:val="000000"/>
                <w:sz w:val="24"/>
              </w:rPr>
              <w:t>（4）拟建道路两侧规划用地受噪声影响分析</w:t>
            </w:r>
          </w:p>
          <w:p>
            <w:pPr>
              <w:bidi w:val="0"/>
              <w:ind w:firstLine="480" w:firstLineChars="200"/>
              <w:rPr>
                <w:rFonts w:hint="eastAsia"/>
                <w:color w:val="000000"/>
                <w:sz w:val="24"/>
                <w:lang w:eastAsia="zh-CN"/>
              </w:rPr>
            </w:pPr>
            <w:r>
              <w:t>根据</w:t>
            </w:r>
            <w:r>
              <w:rPr>
                <w:rFonts w:hint="eastAsia"/>
              </w:rPr>
              <w:t>可研及业主提供的征地、规划等资料，本项目所在地规划为道路用地，道路两侧主要为</w:t>
            </w:r>
            <w:r>
              <w:rPr>
                <w:rFonts w:hint="eastAsia"/>
                <w:lang w:eastAsia="zh-CN"/>
              </w:rPr>
              <w:t>二类工业用地、物流仓储</w:t>
            </w:r>
            <w:r>
              <w:rPr>
                <w:rFonts w:hint="eastAsia"/>
              </w:rPr>
              <w:t>用地、</w:t>
            </w:r>
            <w:r>
              <w:rPr>
                <w:rFonts w:hint="eastAsia"/>
                <w:lang w:eastAsia="zh-CN"/>
              </w:rPr>
              <w:t>二类居住</w:t>
            </w:r>
            <w:r>
              <w:rPr>
                <w:rFonts w:hint="eastAsia"/>
              </w:rPr>
              <w:t>用地</w:t>
            </w:r>
            <w:r>
              <w:rPr>
                <w:rFonts w:hint="eastAsia"/>
                <w:lang w:eastAsia="zh-CN"/>
              </w:rPr>
              <w:t>和规划中小学用地</w:t>
            </w:r>
            <w:r>
              <w:rPr>
                <w:rFonts w:hint="eastAsia"/>
              </w:rPr>
              <w:t>等，综合服务功能突出。同时根据《株洲市城区声环境功能区划分》，区域声环境质量执行2类标准，其中距道路红线35</w:t>
            </w:r>
            <w:r>
              <w:t>m</w:t>
            </w:r>
            <w:r>
              <w:rPr>
                <w:rFonts w:hint="eastAsia"/>
              </w:rPr>
              <w:t>内执行4</w:t>
            </w:r>
            <w:r>
              <w:t>a</w:t>
            </w:r>
            <w:r>
              <w:rPr>
                <w:rFonts w:hint="eastAsia"/>
              </w:rPr>
              <w:t>类标准。根据拟建项目</w:t>
            </w:r>
            <w:r>
              <w:t>两侧交通噪声达标距离</w:t>
            </w:r>
            <w:r>
              <w:rPr>
                <w:rFonts w:hint="eastAsia"/>
              </w:rPr>
              <w:t>预测可知，</w:t>
            </w:r>
            <w:r>
              <w:rPr>
                <w:rFonts w:hint="eastAsia"/>
                <w:color w:val="000000"/>
                <w:sz w:val="24"/>
                <w:lang w:eastAsia="zh-CN"/>
              </w:rPr>
              <w:t>马鞍路</w:t>
            </w:r>
            <w:r>
              <w:rPr>
                <w:rFonts w:hint="eastAsia"/>
              </w:rPr>
              <w:t>2类标准远期夜间达标距离为红线外</w:t>
            </w:r>
            <w:r>
              <w:rPr>
                <w:rFonts w:hint="eastAsia"/>
                <w:color w:val="000000"/>
                <w:sz w:val="24"/>
                <w:lang w:val="en-US" w:eastAsia="zh-CN"/>
              </w:rPr>
              <w:t>51m，</w:t>
            </w:r>
            <w:r>
              <w:rPr>
                <w:rFonts w:hint="eastAsia"/>
                <w:color w:val="auto"/>
                <w:sz w:val="24"/>
              </w:rPr>
              <w:t>4a类标准远期夜间红线</w:t>
            </w:r>
            <w:r>
              <w:rPr>
                <w:rFonts w:hint="eastAsia"/>
                <w:color w:val="auto"/>
                <w:sz w:val="24"/>
                <w:lang w:eastAsia="zh-CN"/>
              </w:rPr>
              <w:t>内即可</w:t>
            </w:r>
            <w:r>
              <w:rPr>
                <w:rFonts w:hint="eastAsia"/>
                <w:color w:val="auto"/>
                <w:sz w:val="24"/>
              </w:rPr>
              <w:t>达标</w:t>
            </w:r>
            <w:r>
              <w:rPr>
                <w:rFonts w:hint="eastAsia"/>
                <w:color w:val="000000"/>
                <w:sz w:val="24"/>
                <w:lang w:val="en-US" w:eastAsia="zh-CN"/>
              </w:rPr>
              <w:t>；</w:t>
            </w:r>
            <w:r>
              <w:rPr>
                <w:rFonts w:hint="eastAsia"/>
                <w:color w:val="000000"/>
                <w:sz w:val="24"/>
                <w:lang w:eastAsia="zh-CN"/>
              </w:rPr>
              <w:t>桃园路</w:t>
            </w:r>
            <w:r>
              <w:rPr>
                <w:rFonts w:hint="eastAsia"/>
              </w:rPr>
              <w:t>2类标准远期夜间达标距离为红线外</w:t>
            </w:r>
            <w:r>
              <w:rPr>
                <w:rFonts w:hint="eastAsia"/>
                <w:color w:val="000000"/>
                <w:sz w:val="24"/>
                <w:lang w:val="en-US" w:eastAsia="zh-CN"/>
              </w:rPr>
              <w:t>134m，</w:t>
            </w:r>
            <w:r>
              <w:rPr>
                <w:rFonts w:hint="eastAsia"/>
                <w:color w:val="auto"/>
                <w:sz w:val="24"/>
              </w:rPr>
              <w:t>4a类标准远期夜间达标距离为红线外</w:t>
            </w:r>
            <w:r>
              <w:rPr>
                <w:rFonts w:hint="eastAsia"/>
                <w:color w:val="auto"/>
                <w:sz w:val="24"/>
                <w:lang w:val="en-US" w:eastAsia="zh-CN"/>
              </w:rPr>
              <w:t>29m</w:t>
            </w:r>
            <w:r>
              <w:rPr>
                <w:rFonts w:hint="eastAsia"/>
                <w:color w:val="000000"/>
                <w:sz w:val="24"/>
                <w:lang w:val="en-US" w:eastAsia="zh-CN"/>
              </w:rPr>
              <w:t>；</w:t>
            </w:r>
            <w:r>
              <w:rPr>
                <w:rFonts w:hint="eastAsia"/>
                <w:color w:val="000000"/>
                <w:sz w:val="24"/>
                <w:lang w:eastAsia="zh-CN"/>
              </w:rPr>
              <w:t>纬四路</w:t>
            </w:r>
            <w:r>
              <w:rPr>
                <w:rFonts w:hint="eastAsia"/>
              </w:rPr>
              <w:t>2类标准远期夜间达标距离为红线外</w:t>
            </w:r>
            <w:r>
              <w:rPr>
                <w:rFonts w:hint="eastAsia"/>
                <w:lang w:val="en-US" w:eastAsia="zh-CN"/>
              </w:rPr>
              <w:t>1m，</w:t>
            </w:r>
            <w:r>
              <w:rPr>
                <w:rFonts w:hint="eastAsia"/>
                <w:color w:val="auto"/>
                <w:sz w:val="24"/>
              </w:rPr>
              <w:t>4a类标准远期夜间红线</w:t>
            </w:r>
            <w:r>
              <w:rPr>
                <w:rFonts w:hint="eastAsia"/>
                <w:color w:val="auto"/>
                <w:sz w:val="24"/>
                <w:lang w:eastAsia="zh-CN"/>
              </w:rPr>
              <w:t>内即可</w:t>
            </w:r>
            <w:r>
              <w:rPr>
                <w:rFonts w:hint="eastAsia"/>
                <w:color w:val="auto"/>
                <w:sz w:val="24"/>
              </w:rPr>
              <w:t>达标</w:t>
            </w:r>
            <w:r>
              <w:rPr>
                <w:rFonts w:hint="eastAsia"/>
                <w:color w:val="000000"/>
                <w:sz w:val="24"/>
                <w:lang w:val="en-US" w:eastAsia="zh-CN"/>
              </w:rPr>
              <w:t>；百合路</w:t>
            </w:r>
            <w:r>
              <w:rPr>
                <w:rFonts w:hint="eastAsia"/>
              </w:rPr>
              <w:t>2类标准远期夜间达标距离为红线外</w:t>
            </w:r>
            <w:r>
              <w:rPr>
                <w:rFonts w:hint="eastAsia"/>
                <w:color w:val="000000"/>
                <w:sz w:val="24"/>
                <w:lang w:val="en-US" w:eastAsia="zh-CN"/>
              </w:rPr>
              <w:t>51m，</w:t>
            </w:r>
            <w:r>
              <w:rPr>
                <w:rFonts w:hint="eastAsia"/>
                <w:color w:val="auto"/>
                <w:sz w:val="24"/>
              </w:rPr>
              <w:t>4a类标准远期夜间达标距离为红线外</w:t>
            </w:r>
            <w:r>
              <w:rPr>
                <w:rFonts w:hint="eastAsia"/>
                <w:color w:val="auto"/>
                <w:sz w:val="24"/>
                <w:lang w:val="en-US" w:eastAsia="zh-CN"/>
              </w:rPr>
              <w:t>8m</w:t>
            </w:r>
            <w:r>
              <w:rPr>
                <w:rFonts w:hint="eastAsia"/>
                <w:color w:val="000000"/>
                <w:sz w:val="24"/>
                <w:lang w:eastAsia="zh-CN"/>
              </w:rPr>
              <w:t>。</w:t>
            </w:r>
          </w:p>
          <w:p>
            <w:pPr>
              <w:ind w:firstLine="480" w:firstLineChars="200"/>
            </w:pPr>
            <w:r>
              <w:rPr>
                <w:rFonts w:hint="eastAsia"/>
                <w:color w:val="000000"/>
                <w:sz w:val="24"/>
                <w:lang w:eastAsia="zh-CN"/>
              </w:rPr>
              <w:t>故</w:t>
            </w:r>
            <w:r>
              <w:rPr>
                <w:rFonts w:hint="eastAsia"/>
                <w:color w:val="000000"/>
                <w:sz w:val="24"/>
              </w:rPr>
              <w:t>本项目</w:t>
            </w:r>
            <w:r>
              <w:rPr>
                <w:rFonts w:hint="eastAsia"/>
                <w:color w:val="000000"/>
                <w:sz w:val="24"/>
                <w:lang w:eastAsia="zh-CN"/>
              </w:rPr>
              <w:t>中</w:t>
            </w:r>
            <w:r>
              <w:rPr>
                <w:rFonts w:hint="eastAsia"/>
                <w:color w:val="000000"/>
                <w:sz w:val="24"/>
              </w:rPr>
              <w:t>在未来运营期间，其交通噪声值对沿线两侧区域具有一定影响，</w:t>
            </w:r>
            <w:r>
              <w:rPr>
                <w:rFonts w:hint="eastAsia"/>
                <w:color w:val="000000"/>
                <w:sz w:val="24"/>
                <w:lang w:eastAsia="zh-CN"/>
              </w:rPr>
              <w:t>除纬四路能达标外，其余</w:t>
            </w:r>
            <w:r>
              <w:rPr>
                <w:rFonts w:hint="eastAsia"/>
                <w:color w:val="000000"/>
                <w:sz w:val="24"/>
                <w:lang w:val="en-US" w:eastAsia="zh-CN"/>
              </w:rPr>
              <w:t>3</w:t>
            </w:r>
            <w:r>
              <w:rPr>
                <w:rFonts w:hint="eastAsia"/>
                <w:color w:val="000000"/>
                <w:sz w:val="24"/>
                <w:lang w:eastAsia="zh-CN"/>
              </w:rPr>
              <w:t>条路均仅能在</w:t>
            </w:r>
            <w:r>
              <w:rPr>
                <w:rFonts w:hint="eastAsia"/>
                <w:color w:val="000000"/>
                <w:sz w:val="24"/>
              </w:rPr>
              <w:t>昼间4a类区均能达标，其他预测时段达标距离均在道路边界外。根据以上情况，本次评价建议在道路噪声达标距离范围内，首排不应规划建设学校、医院及居民住宅等噪声敏感建筑，必要时需在规划和建设过程中充分考虑交通噪声的影响。若在控制距离内新建声敏感建筑物时，建设单位与设计单位则需按《民用建筑隔声设计规范》（GB50118-2010）的要求，采取建筑物隔声围护、隔声门窗，同时进行合理布局，以使室内声环境满足相应建筑物的使用功能要求。</w:t>
            </w:r>
          </w:p>
          <w:p>
            <w:pPr>
              <w:ind w:firstLine="498" w:firstLineChars="200"/>
              <w:rPr>
                <w:b/>
                <w:bCs/>
                <w:spacing w:val="4"/>
                <w:sz w:val="24"/>
              </w:rPr>
            </w:pPr>
            <w:r>
              <w:rPr>
                <w:b/>
                <w:bCs/>
                <w:spacing w:val="4"/>
                <w:sz w:val="24"/>
              </w:rPr>
              <w:t>4、固体废物环境影响分析</w:t>
            </w:r>
          </w:p>
          <w:p>
            <w:pPr>
              <w:bidi w:val="0"/>
              <w:ind w:firstLine="480" w:firstLineChars="200"/>
            </w:pPr>
            <w:r>
              <w:t>营运期建议对经过道路的司乘人员进行环保教育，树立宣传标语，项目沿线设置若干垃圾桶，同时采用分路段到负责人的方式对沿线的固体废物及时进行收集处理。道路日常维护产生的少量筑路物料由维护部门现场收集后送垃圾填埋场处置，不留环境问题。采取上述措施后，项目营运期产生的固废对环境的影响较小。</w:t>
            </w:r>
          </w:p>
          <w:p>
            <w:pPr>
              <w:numPr>
                <w:ilvl w:val="0"/>
                <w:numId w:val="16"/>
              </w:numPr>
              <w:ind w:firstLine="482" w:firstLineChars="200"/>
              <w:rPr>
                <w:b/>
                <w:bCs/>
                <w:sz w:val="24"/>
                <w:highlight w:val="none"/>
              </w:rPr>
            </w:pPr>
            <w:r>
              <w:rPr>
                <w:b/>
                <w:bCs/>
                <w:sz w:val="24"/>
                <w:highlight w:val="none"/>
              </w:rPr>
              <w:t>生态环境影响分析</w:t>
            </w:r>
          </w:p>
          <w:p>
            <w:pPr>
              <w:bidi w:val="0"/>
              <w:ind w:firstLine="480" w:firstLineChars="200"/>
            </w:pPr>
            <w:r>
              <w:t>本项目为城市建设用地，由于拟建项目沿线区域</w:t>
            </w:r>
            <w:r>
              <w:rPr>
                <w:rFonts w:hint="eastAsia"/>
              </w:rPr>
              <w:t>为待开发用地</w:t>
            </w:r>
            <w:r>
              <w:t>，因此项目建设不会造成沿线植被类型分布状况和森林植物群落结构的改变。项目建成后两侧建设绿化大可增加区域绿地率，有利于改善区域生态环境。</w:t>
            </w:r>
          </w:p>
          <w:p>
            <w:pPr>
              <w:ind w:firstLine="482" w:firstLineChars="200"/>
              <w:rPr>
                <w:b/>
                <w:bCs/>
                <w:sz w:val="24"/>
              </w:rPr>
            </w:pPr>
            <w:r>
              <w:rPr>
                <w:b/>
                <w:bCs/>
                <w:sz w:val="24"/>
              </w:rPr>
              <w:t>6、社会环境影响分析</w:t>
            </w:r>
          </w:p>
          <w:p>
            <w:pPr>
              <w:ind w:firstLine="480" w:firstLineChars="200"/>
              <w:rPr>
                <w:rFonts w:hint="eastAsia"/>
                <w:b/>
                <w:u w:val="none"/>
              </w:rPr>
            </w:pPr>
            <w:r>
              <w:rPr>
                <w:rFonts w:hint="eastAsia"/>
                <w:u w:val="none"/>
              </w:rPr>
              <w:t>本项目的建设加强了</w:t>
            </w:r>
            <w:r>
              <w:rPr>
                <w:rFonts w:hint="eastAsia"/>
                <w:u w:val="none"/>
                <w:lang w:eastAsia="zh-CN"/>
              </w:rPr>
              <w:t>云龙示范区</w:t>
            </w:r>
            <w:r>
              <w:rPr>
                <w:rFonts w:hint="eastAsia"/>
                <w:u w:val="none"/>
              </w:rPr>
              <w:t>内的交通联系，其建设有利于完善</w:t>
            </w:r>
            <w:r>
              <w:rPr>
                <w:rFonts w:hint="eastAsia"/>
                <w:u w:val="none"/>
                <w:lang w:eastAsia="zh-CN"/>
              </w:rPr>
              <w:t>云龙示范区</w:t>
            </w:r>
            <w:r>
              <w:rPr>
                <w:rFonts w:hint="eastAsia"/>
                <w:u w:val="none"/>
              </w:rPr>
              <w:t>的交通路网，并对沿线及周边地区的经济、社会发展产生积极影响。</w:t>
            </w:r>
          </w:p>
          <w:p>
            <w:pPr>
              <w:adjustRightInd w:val="0"/>
              <w:snapToGrid w:val="0"/>
              <w:ind w:firstLine="482" w:firstLineChars="200"/>
              <w:rPr>
                <w:b/>
                <w:bCs/>
                <w:spacing w:val="4"/>
                <w:sz w:val="24"/>
              </w:rPr>
            </w:pPr>
            <w:r>
              <w:rPr>
                <w:rFonts w:hint="eastAsia"/>
                <w:b/>
                <w:sz w:val="24"/>
              </w:rPr>
              <w:t>7</w:t>
            </w:r>
            <w:r>
              <w:rPr>
                <w:b/>
                <w:sz w:val="24"/>
              </w:rPr>
              <w:t>、</w:t>
            </w:r>
            <w:r>
              <w:rPr>
                <w:b/>
                <w:bCs/>
                <w:spacing w:val="4"/>
                <w:sz w:val="24"/>
              </w:rPr>
              <w:t>营运期环境保护措施</w:t>
            </w:r>
          </w:p>
          <w:p>
            <w:pPr>
              <w:adjustRightInd w:val="0"/>
              <w:snapToGrid w:val="0"/>
              <w:ind w:firstLine="498" w:firstLineChars="200"/>
              <w:rPr>
                <w:b/>
                <w:bCs/>
                <w:spacing w:val="4"/>
                <w:sz w:val="24"/>
              </w:rPr>
            </w:pPr>
            <w:r>
              <w:rPr>
                <w:rFonts w:hint="eastAsia"/>
                <w:b/>
                <w:bCs/>
                <w:spacing w:val="4"/>
                <w:sz w:val="24"/>
              </w:rPr>
              <w:t>7</w:t>
            </w:r>
            <w:r>
              <w:rPr>
                <w:b/>
                <w:bCs/>
                <w:spacing w:val="4"/>
                <w:sz w:val="24"/>
              </w:rPr>
              <w:t>.1营运期声环境保护措施</w:t>
            </w:r>
          </w:p>
          <w:p>
            <w:pPr>
              <w:bidi w:val="0"/>
              <w:ind w:firstLine="480" w:firstLineChars="200"/>
            </w:pPr>
            <w:r>
              <w:t>（1）加强交通管理，严格执行限速和禁止超载等交通规则，以减少交通噪声扰民问题。</w:t>
            </w:r>
          </w:p>
          <w:p>
            <w:pPr>
              <w:bidi w:val="0"/>
              <w:ind w:firstLine="480" w:firstLineChars="200"/>
            </w:pPr>
            <w:r>
              <w:t>（2）加强拟建道路沿线的声环境质量的环境监测工作，对可能受到较严重污染的敏感点实行环境噪声定期监测制度，根据因交通量增大引起的声环境污染程度，及时采取相应的减缓措施。</w:t>
            </w:r>
          </w:p>
          <w:p>
            <w:pPr>
              <w:bidi w:val="0"/>
              <w:ind w:firstLine="480" w:firstLineChars="200"/>
            </w:pPr>
            <w:r>
              <w:t>（</w:t>
            </w:r>
            <w:r>
              <w:rPr>
                <w:rFonts w:hint="eastAsia"/>
              </w:rPr>
              <w:t>3</w:t>
            </w:r>
            <w:r>
              <w:t>）经常养护路面，保证拟建</w:t>
            </w:r>
            <w:r>
              <w:rPr>
                <w:rFonts w:hint="eastAsia"/>
              </w:rPr>
              <w:t>道路</w:t>
            </w:r>
            <w:r>
              <w:t>的良好路况。</w:t>
            </w:r>
          </w:p>
          <w:p>
            <w:pPr>
              <w:bidi w:val="0"/>
              <w:ind w:firstLine="480" w:firstLineChars="200"/>
            </w:pPr>
            <w:r>
              <w:t>（</w:t>
            </w:r>
            <w:r>
              <w:rPr>
                <w:rFonts w:hint="eastAsia"/>
              </w:rPr>
              <w:t>4</w:t>
            </w:r>
            <w:r>
              <w:t>）结合当地生态建设规划，加强拟道路红线范围内可绿化地段的绿化工作。</w:t>
            </w:r>
          </w:p>
          <w:p>
            <w:pPr>
              <w:bidi w:val="0"/>
              <w:ind w:firstLine="480" w:firstLineChars="200"/>
            </w:pPr>
            <w:r>
              <w:t>（</w:t>
            </w:r>
            <w:r>
              <w:rPr>
                <w:rFonts w:hint="eastAsia"/>
              </w:rPr>
              <w:t>5</w:t>
            </w:r>
            <w:r>
              <w:t>）工程管理措施</w:t>
            </w:r>
          </w:p>
          <w:p>
            <w:pPr>
              <w:bidi w:val="0"/>
              <w:ind w:firstLine="480" w:firstLineChars="200"/>
            </w:pPr>
            <w:r>
              <w:rPr>
                <w:rFonts w:hint="eastAsia"/>
              </w:rPr>
              <w:t>①</w:t>
            </w:r>
            <w:r>
              <w:t>应设禁鸣标志，以降低交通噪声的污染源。</w:t>
            </w:r>
          </w:p>
          <w:p>
            <w:pPr>
              <w:bidi w:val="0"/>
              <w:ind w:firstLine="480" w:firstLineChars="200"/>
            </w:pPr>
            <w:r>
              <w:rPr>
                <w:rFonts w:hint="eastAsia"/>
              </w:rPr>
              <w:t>②</w:t>
            </w:r>
            <w:r>
              <w:t>加强交通管理，经常维持道路路面的平整度，避免因路况不佳造成车辆颠簸等引起交通噪声增加。</w:t>
            </w:r>
          </w:p>
          <w:p>
            <w:pPr>
              <w:bidi w:val="0"/>
              <w:ind w:firstLine="480" w:firstLineChars="200"/>
            </w:pPr>
            <w:r>
              <w:rPr>
                <w:rFonts w:hint="eastAsia"/>
              </w:rPr>
              <w:t>（6）对沿线城镇规划建设的控制性要求</w:t>
            </w:r>
          </w:p>
          <w:p>
            <w:pPr>
              <w:bidi w:val="0"/>
              <w:ind w:firstLine="480" w:firstLineChars="200"/>
              <w:rPr>
                <w:rFonts w:hint="eastAsia"/>
              </w:rPr>
            </w:pPr>
            <w:r>
              <w:rPr>
                <w:rFonts w:hint="eastAsia"/>
              </w:rPr>
              <w:t>在拟建道路沿线开发建设过程中，应参考本环评报告道路两侧噪声预测结果，并结合当地的地形条件确定相应的防护距离，项目平面布置时将声环境要求高的敏感点尽量远离道路</w:t>
            </w:r>
            <w:r>
              <w:rPr>
                <w:rFonts w:hint="eastAsia"/>
                <w:lang w:eastAsia="zh-CN"/>
              </w:rPr>
              <w:t>，</w:t>
            </w:r>
            <w:r>
              <w:rPr>
                <w:rFonts w:hint="eastAsia"/>
              </w:rPr>
              <w:t>建议在距离拟建道路中心线</w:t>
            </w:r>
            <w:r>
              <w:rPr>
                <w:rFonts w:hint="eastAsia"/>
                <w:lang w:val="en-US" w:eastAsia="zh-CN"/>
              </w:rPr>
              <w:t>95</w:t>
            </w:r>
            <w:r>
              <w:rPr>
                <w:rFonts w:hint="eastAsia"/>
              </w:rPr>
              <w:t>m（近期20</w:t>
            </w:r>
            <w:r>
              <w:rPr>
                <w:rFonts w:hint="eastAsia"/>
                <w:lang w:val="en-US" w:eastAsia="zh-CN"/>
              </w:rPr>
              <w:t>24</w:t>
            </w:r>
            <w:r>
              <w:rPr>
                <w:rFonts w:hint="eastAsia"/>
              </w:rPr>
              <w:t>年）、1</w:t>
            </w:r>
            <w:r>
              <w:rPr>
                <w:rFonts w:hint="eastAsia"/>
                <w:lang w:val="en-US" w:eastAsia="zh-CN"/>
              </w:rPr>
              <w:t>37</w:t>
            </w:r>
            <w:r>
              <w:rPr>
                <w:rFonts w:hint="eastAsia"/>
              </w:rPr>
              <w:t>m（中期20</w:t>
            </w:r>
            <w:r>
              <w:rPr>
                <w:rFonts w:hint="eastAsia"/>
                <w:lang w:val="en-US" w:eastAsia="zh-CN"/>
              </w:rPr>
              <w:t>30</w:t>
            </w:r>
            <w:r>
              <w:rPr>
                <w:rFonts w:hint="eastAsia"/>
              </w:rPr>
              <w:t>年）、1</w:t>
            </w:r>
            <w:r>
              <w:rPr>
                <w:rFonts w:hint="eastAsia"/>
                <w:lang w:val="en-US" w:eastAsia="zh-CN"/>
              </w:rPr>
              <w:t>54</w:t>
            </w:r>
            <w:r>
              <w:rPr>
                <w:rFonts w:hint="eastAsia"/>
              </w:rPr>
              <w:t>m（远期203</w:t>
            </w:r>
            <w:r>
              <w:rPr>
                <w:rFonts w:hint="eastAsia"/>
                <w:lang w:val="en-US" w:eastAsia="zh-CN"/>
              </w:rPr>
              <w:t>8</w:t>
            </w:r>
            <w:r>
              <w:rPr>
                <w:rFonts w:hint="eastAsia"/>
              </w:rPr>
              <w:t>年）范围内尽量布置对声环境相对不敏感的建筑，不布置医院住院部、学校教学楼等对声环境敏感的建筑</w:t>
            </w:r>
            <w:r>
              <w:rPr>
                <w:rFonts w:hint="eastAsia"/>
                <w:lang w:eastAsia="zh-CN"/>
              </w:rPr>
              <w:t>，</w:t>
            </w:r>
            <w:r>
              <w:rPr>
                <w:rFonts w:hint="eastAsia"/>
              </w:rPr>
              <w:t>以减小其受交通噪声的影响。</w:t>
            </w:r>
          </w:p>
          <w:p>
            <w:pPr>
              <w:adjustRightInd w:val="0"/>
              <w:snapToGrid w:val="0"/>
              <w:ind w:firstLine="482" w:firstLineChars="200"/>
              <w:rPr>
                <w:b/>
                <w:bCs/>
                <w:sz w:val="24"/>
              </w:rPr>
            </w:pPr>
            <w:r>
              <w:rPr>
                <w:rFonts w:hint="eastAsia"/>
                <w:b/>
                <w:sz w:val="24"/>
                <w:szCs w:val="28"/>
              </w:rPr>
              <w:t>7</w:t>
            </w:r>
            <w:r>
              <w:rPr>
                <w:b/>
                <w:sz w:val="24"/>
                <w:szCs w:val="28"/>
              </w:rPr>
              <w:t>.2营运期</w:t>
            </w:r>
            <w:r>
              <w:rPr>
                <w:b/>
                <w:bCs/>
                <w:sz w:val="24"/>
              </w:rPr>
              <w:t>大气污染防治措施</w:t>
            </w:r>
          </w:p>
          <w:p>
            <w:pPr>
              <w:bidi w:val="0"/>
              <w:ind w:firstLine="480" w:firstLineChars="200"/>
            </w:pPr>
            <w:r>
              <w:t>根据道路工程运行期大气污染的产生特点，其大气污染主要为交通车辆尾气排放及扬尘所造成的局部污染。为减小道路交通车辆尾气排放对周边局部大气环境的影响，提出如下措施：</w:t>
            </w:r>
          </w:p>
          <w:p>
            <w:pPr>
              <w:bidi w:val="0"/>
              <w:ind w:firstLine="480" w:firstLineChars="200"/>
            </w:pPr>
            <w:r>
              <w:t>（1）加强道路管理及路面养护，保持道路良好运营状态，减少塞车现象。</w:t>
            </w:r>
          </w:p>
          <w:p>
            <w:pPr>
              <w:bidi w:val="0"/>
              <w:ind w:firstLine="480" w:firstLineChars="200"/>
            </w:pPr>
            <w:r>
              <w:t>（2）城市道路清扫与清洗作业应按照《城市市容和环境卫生管理条例》及市容和环境卫生管理条例中规定的等级和标准执行。实施高效清洁的清扫作业方式，提高机械化作业面积</w:t>
            </w:r>
            <w:r>
              <w:rPr>
                <w:rFonts w:hint="eastAsia"/>
              </w:rPr>
              <w:t>，</w:t>
            </w:r>
            <w:r>
              <w:t>加强道路洒水降尘措施，以减小扬尘污染；四级及以上大风天气停止人工清扫作业。</w:t>
            </w:r>
          </w:p>
          <w:p>
            <w:pPr>
              <w:bidi w:val="0"/>
              <w:ind w:firstLine="480" w:firstLineChars="200"/>
            </w:pPr>
            <w:r>
              <w:t>（3）运送易产生扬尘物质的车辆应符合《中华人民共和国道路交通安全法》和</w:t>
            </w:r>
          </w:p>
          <w:p>
            <w:pPr>
              <w:bidi w:val="0"/>
            </w:pPr>
            <w:r>
              <w:t>《城市道路管理条例》相关规定，实行密闭运输，避免在运输过程中因物料遗撒或泄漏而产生扬尘。</w:t>
            </w:r>
          </w:p>
          <w:p>
            <w:pPr>
              <w:adjustRightInd w:val="0"/>
              <w:snapToGrid w:val="0"/>
              <w:ind w:firstLine="482" w:firstLineChars="200"/>
              <w:rPr>
                <w:b/>
                <w:sz w:val="24"/>
                <w:szCs w:val="28"/>
              </w:rPr>
            </w:pPr>
            <w:r>
              <w:rPr>
                <w:rFonts w:hint="eastAsia"/>
                <w:b/>
                <w:sz w:val="24"/>
                <w:szCs w:val="28"/>
              </w:rPr>
              <w:t>7</w:t>
            </w:r>
            <w:r>
              <w:rPr>
                <w:b/>
                <w:sz w:val="24"/>
                <w:szCs w:val="28"/>
              </w:rPr>
              <w:t>.3营运期水污染防治措施</w:t>
            </w:r>
          </w:p>
          <w:p>
            <w:pPr>
              <w:bidi w:val="0"/>
              <w:ind w:firstLine="480" w:firstLineChars="200"/>
            </w:pPr>
            <w:r>
              <w:rPr>
                <w:rFonts w:hint="eastAsia"/>
              </w:rPr>
              <w:t>（1）</w:t>
            </w:r>
            <w:r>
              <w:t>道路的排水管网应与区域雨污水管网相衔接。</w:t>
            </w:r>
          </w:p>
          <w:p>
            <w:pPr>
              <w:bidi w:val="0"/>
              <w:ind w:firstLine="480" w:firstLineChars="200"/>
            </w:pPr>
            <w:r>
              <w:rPr>
                <w:rFonts w:hint="eastAsia"/>
              </w:rPr>
              <w:t>（2）</w:t>
            </w:r>
            <w:r>
              <w:t>加强道路排水设施的管理，维持经常性的巡查和养护。</w:t>
            </w:r>
          </w:p>
          <w:p>
            <w:pPr>
              <w:bidi w:val="0"/>
              <w:ind w:firstLine="480" w:firstLineChars="200"/>
            </w:pPr>
            <w:r>
              <w:rPr>
                <w:rFonts w:hint="eastAsia"/>
              </w:rPr>
              <w:t>（3）</w:t>
            </w:r>
            <w:r>
              <w:t>运营期的排水系统会因路基边坡或道路上的尘砂受雨水冲刷等原因产生沉积、堵塞，应定期清理排水系统及全线的边沟，从而保证排水系统疏通。对可能造成的积水问题将予以特别关注。</w:t>
            </w:r>
          </w:p>
          <w:p>
            <w:pPr>
              <w:adjustRightInd w:val="0"/>
              <w:snapToGrid w:val="0"/>
              <w:ind w:firstLine="482" w:firstLineChars="200"/>
              <w:rPr>
                <w:b/>
                <w:sz w:val="24"/>
                <w:szCs w:val="28"/>
              </w:rPr>
            </w:pPr>
            <w:r>
              <w:rPr>
                <w:rFonts w:hint="eastAsia"/>
                <w:b/>
                <w:sz w:val="24"/>
                <w:szCs w:val="28"/>
              </w:rPr>
              <w:t>7</w:t>
            </w:r>
            <w:r>
              <w:rPr>
                <w:b/>
                <w:sz w:val="24"/>
                <w:szCs w:val="28"/>
              </w:rPr>
              <w:t>.4营运期固体废物污染防治措施</w:t>
            </w:r>
          </w:p>
          <w:p>
            <w:pPr>
              <w:bidi w:val="0"/>
              <w:ind w:firstLine="480" w:firstLineChars="200"/>
            </w:pPr>
            <w:r>
              <w:t>（1）安排专职环卫工人、清扫车定期、定时对道路进行清扫，以保持道路清洁，在固体废物的收集、运输过程中应做到集装化、封闭化，采用密闭式的垃圾收集储存设备，运输采用专用封闭式垃圾运输车进行清运。</w:t>
            </w:r>
          </w:p>
          <w:p>
            <w:pPr>
              <w:bidi w:val="0"/>
              <w:ind w:firstLine="480" w:firstLineChars="200"/>
            </w:pPr>
            <w:r>
              <w:t>（2）通过宣传和制定法规，禁止在道路上乱丢弃饮料袋，易拉罐等垃圾，以保持道路两侧的清洁；</w:t>
            </w:r>
          </w:p>
          <w:p>
            <w:pPr>
              <w:bidi w:val="0"/>
              <w:ind w:firstLine="480" w:firstLineChars="200"/>
            </w:pPr>
            <w:r>
              <w:t>（3）道路运输中的散装物资如煤、水泥、砂石材料及简易包装的化肥，农药等，当防护不严时易产生撒落，罐装物资也可能会产生泄漏，从而污染道路和道路两旁的环境，因此，应加强对运输车辆进入的检查，并通过有关法规予以解决。</w:t>
            </w:r>
          </w:p>
          <w:p>
            <w:pPr>
              <w:adjustRightInd w:val="0"/>
              <w:snapToGrid w:val="0"/>
              <w:ind w:firstLine="482" w:firstLineChars="200"/>
              <w:rPr>
                <w:b/>
                <w:sz w:val="24"/>
                <w:szCs w:val="28"/>
              </w:rPr>
            </w:pPr>
            <w:r>
              <w:rPr>
                <w:rFonts w:hint="eastAsia"/>
                <w:b/>
                <w:sz w:val="24"/>
                <w:szCs w:val="28"/>
              </w:rPr>
              <w:t>7</w:t>
            </w:r>
            <w:r>
              <w:rPr>
                <w:b/>
                <w:sz w:val="24"/>
                <w:szCs w:val="28"/>
              </w:rPr>
              <w:t>.5营运期社会环境影响减缓措施</w:t>
            </w:r>
          </w:p>
          <w:p>
            <w:pPr>
              <w:bidi w:val="0"/>
              <w:ind w:firstLine="480" w:firstLineChars="200"/>
            </w:pPr>
            <w:r>
              <w:t>（1）道路的管理机构应做好交通运输安全预防和宣传工作，确保道路畅通和人民生命财产安全。</w:t>
            </w:r>
          </w:p>
          <w:p>
            <w:pPr>
              <w:bidi w:val="0"/>
              <w:ind w:firstLine="480" w:firstLineChars="200"/>
            </w:pPr>
            <w:r>
              <w:t>（2）做好环境工程的建设和维护工作，使道路与周围环境相协调，消除道路主体工程阻隔。</w:t>
            </w:r>
          </w:p>
          <w:p>
            <w:pPr>
              <w:bidi w:val="0"/>
              <w:ind w:firstLine="480" w:firstLineChars="200"/>
            </w:pPr>
            <w:r>
              <w:t>（3）加强道路主体工程的管理工作，确保通道工程畅通，以提供人民的出行方便、工作方便。</w:t>
            </w:r>
          </w:p>
          <w:p>
            <w:pPr>
              <w:ind w:firstLine="482" w:firstLineChars="200"/>
              <w:rPr>
                <w:sz w:val="24"/>
              </w:rPr>
            </w:pPr>
            <w:r>
              <w:rPr>
                <w:rFonts w:hint="eastAsia"/>
                <w:b/>
                <w:sz w:val="24"/>
              </w:rPr>
              <w:t>8</w:t>
            </w:r>
            <w:r>
              <w:rPr>
                <w:b/>
                <w:sz w:val="24"/>
              </w:rPr>
              <w:t>、</w:t>
            </w:r>
            <w:r>
              <w:rPr>
                <w:rFonts w:hint="eastAsia"/>
                <w:b/>
                <w:sz w:val="24"/>
              </w:rPr>
              <w:t>环境风险分析</w:t>
            </w:r>
          </w:p>
          <w:p>
            <w:pPr>
              <w:ind w:firstLine="482" w:firstLineChars="200"/>
              <w:rPr>
                <w:b/>
                <w:bCs/>
                <w:sz w:val="24"/>
              </w:rPr>
            </w:pPr>
            <w:r>
              <w:rPr>
                <w:b/>
                <w:bCs/>
                <w:sz w:val="24"/>
              </w:rPr>
              <w:t>8.</w:t>
            </w:r>
            <w:r>
              <w:rPr>
                <w:rFonts w:hint="eastAsia"/>
                <w:b/>
                <w:bCs/>
                <w:sz w:val="24"/>
              </w:rPr>
              <w:t>1、</w:t>
            </w:r>
            <w:r>
              <w:rPr>
                <w:b/>
                <w:bCs/>
                <w:sz w:val="24"/>
              </w:rPr>
              <w:t>风险</w:t>
            </w:r>
            <w:r>
              <w:rPr>
                <w:rFonts w:hint="eastAsia"/>
                <w:b/>
                <w:bCs/>
                <w:sz w:val="24"/>
              </w:rPr>
              <w:t>评价等级</w:t>
            </w:r>
          </w:p>
          <w:p>
            <w:pPr>
              <w:bidi w:val="0"/>
              <w:ind w:firstLine="480" w:firstLineChars="200"/>
            </w:pPr>
            <w:r>
              <w:t>根据建设项目设计的物质和工艺系统的危险性及其所在地的环境敏感程度，结合事故情形下环境影响途径，对建设项目潜在环境危害程度进行概化分析，按照表</w:t>
            </w:r>
            <w:r>
              <w:rPr>
                <w:rFonts w:hint="eastAsia"/>
                <w:lang w:val="en-US" w:eastAsia="zh-CN"/>
              </w:rPr>
              <w:t>43</w:t>
            </w:r>
            <w:r>
              <w:t>确定环境风险潜势。</w:t>
            </w:r>
          </w:p>
          <w:p>
            <w:pPr>
              <w:bidi w:val="0"/>
              <w:jc w:val="center"/>
              <w:rPr>
                <w:b/>
                <w:bCs/>
              </w:rPr>
            </w:pPr>
            <w:r>
              <w:rPr>
                <w:b/>
                <w:bCs/>
              </w:rPr>
              <w:t>表</w:t>
            </w:r>
            <w:r>
              <w:rPr>
                <w:rFonts w:hint="eastAsia"/>
                <w:b/>
                <w:bCs/>
                <w:lang w:val="en-US" w:eastAsia="zh-CN"/>
              </w:rPr>
              <w:t>47</w:t>
            </w:r>
            <w:r>
              <w:rPr>
                <w:b/>
                <w:bCs/>
              </w:rPr>
              <w:t xml:space="preserve">  建设项目环境风险潜势划分</w:t>
            </w:r>
          </w:p>
          <w:tbl>
            <w:tblPr>
              <w:tblStyle w:val="34"/>
              <w:tblW w:w="8505"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94"/>
              <w:gridCol w:w="1578"/>
              <w:gridCol w:w="1578"/>
              <w:gridCol w:w="1578"/>
              <w:gridCol w:w="15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19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环境敏感程度（E）</w:t>
                  </w:r>
                </w:p>
              </w:tc>
              <w:tc>
                <w:tcPr>
                  <w:tcW w:w="6311"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危险物质及工艺系统危险性（P）</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1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极高危害（P1）</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高度危害（P2）</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中度危害（P3）</w:t>
                  </w:r>
                </w:p>
              </w:tc>
              <w:tc>
                <w:tcPr>
                  <w:tcW w:w="15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轻度危害（P4）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1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环境高度敏感区（E1）</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IV+</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IV</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Ⅲ</w:t>
                  </w:r>
                </w:p>
              </w:tc>
              <w:tc>
                <w:tcPr>
                  <w:tcW w:w="15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Ⅲ</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1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环境中度敏感区（E2）</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IV</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Ⅲ</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Ⅲ</w:t>
                  </w:r>
                </w:p>
              </w:tc>
              <w:tc>
                <w:tcPr>
                  <w:tcW w:w="15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Ⅱ</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21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环境低度敏感区（E3）</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Ⅲ</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Ⅲ</w:t>
                  </w:r>
                </w:p>
              </w:tc>
              <w:tc>
                <w:tcPr>
                  <w:tcW w:w="15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Ⅱ</w:t>
                  </w:r>
                </w:p>
              </w:tc>
              <w:tc>
                <w:tcPr>
                  <w:tcW w:w="15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8505" w:type="dxa"/>
                  <w:gridSpan w:val="5"/>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000000"/>
                      <w:sz w:val="21"/>
                      <w:szCs w:val="21"/>
                    </w:rPr>
                  </w:pPr>
                  <w:r>
                    <w:rPr>
                      <w:color w:val="000000"/>
                      <w:sz w:val="21"/>
                      <w:szCs w:val="21"/>
                    </w:rPr>
                    <w:t>注：IV+为极高环境风险</w:t>
                  </w:r>
                </w:p>
              </w:tc>
            </w:tr>
          </w:tbl>
          <w:p>
            <w:pPr>
              <w:bidi w:val="0"/>
              <w:ind w:firstLine="480" w:firstLineChars="200"/>
            </w:pPr>
            <w:r>
              <w:t>由上表可知项目环境风险潜势判断需依据 P 值和 E 值来确定，本项目 P 的分级确定如下：</w:t>
            </w:r>
          </w:p>
          <w:p>
            <w:pPr>
              <w:bidi w:val="0"/>
              <w:ind w:firstLine="480" w:firstLineChars="200"/>
              <w:rPr>
                <w:sz w:val="24"/>
              </w:rPr>
            </w:pPr>
            <w:r>
              <w:rPr>
                <w:sz w:val="24"/>
              </w:rPr>
              <w:t xml:space="preserve">根据《建设项目环境风险评价技术导则 HJ169-2018》附录 C </w:t>
            </w:r>
            <w:r>
              <w:rPr>
                <w:rFonts w:hint="eastAsia"/>
                <w:sz w:val="24"/>
              </w:rPr>
              <w:t>中</w:t>
            </w:r>
            <w:r>
              <w:rPr>
                <w:sz w:val="24"/>
              </w:rPr>
              <w:t>环境风险物质最大存在总量与其对应的临界量，计算（Q），计算公式如下：</w:t>
            </w:r>
          </w:p>
          <w:p>
            <w:pPr>
              <w:spacing w:line="240" w:lineRule="auto"/>
              <w:jc w:val="center"/>
              <w:rPr>
                <w:sz w:val="24"/>
              </w:rPr>
            </w:pPr>
            <w:r>
              <w:rPr>
                <w:sz w:val="24"/>
              </w:rPr>
              <w:drawing>
                <wp:inline distT="0" distB="0" distL="114300" distR="114300">
                  <wp:extent cx="2086610" cy="552450"/>
                  <wp:effectExtent l="0" t="0" r="889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48"/>
                          <a:stretch>
                            <a:fillRect/>
                          </a:stretch>
                        </pic:blipFill>
                        <pic:spPr>
                          <a:xfrm>
                            <a:off x="0" y="0"/>
                            <a:ext cx="2086610" cy="552450"/>
                          </a:xfrm>
                          <a:prstGeom prst="rect">
                            <a:avLst/>
                          </a:prstGeom>
                          <a:noFill/>
                          <a:ln>
                            <a:noFill/>
                          </a:ln>
                        </pic:spPr>
                      </pic:pic>
                    </a:graphicData>
                  </a:graphic>
                </wp:inline>
              </w:drawing>
            </w:r>
          </w:p>
          <w:p>
            <w:pPr>
              <w:bidi w:val="0"/>
              <w:ind w:firstLine="480" w:firstLineChars="200"/>
            </w:pPr>
            <w:r>
              <w:t>式中：q</w:t>
            </w:r>
            <w:r>
              <w:rPr>
                <w:vertAlign w:val="subscript"/>
              </w:rPr>
              <w:t>1</w:t>
            </w:r>
            <w:r>
              <w:t>、q</w:t>
            </w:r>
            <w:r>
              <w:rPr>
                <w:vertAlign w:val="subscript"/>
              </w:rPr>
              <w:t>2</w:t>
            </w:r>
            <w:r>
              <w:t>、···q</w:t>
            </w:r>
            <w:r>
              <w:rPr>
                <w:rFonts w:hint="eastAsia"/>
                <w:vertAlign w:val="subscript"/>
                <w:lang w:val="en-US" w:eastAsia="zh-CN"/>
              </w:rPr>
              <w:t xml:space="preserve"> </w:t>
            </w:r>
            <w:r>
              <w:rPr>
                <w:vertAlign w:val="subscript"/>
              </w:rPr>
              <w:t>n</w:t>
            </w:r>
            <w:r>
              <w:t>——每种环境风险物质的最大存在总量，t；</w:t>
            </w:r>
          </w:p>
          <w:p>
            <w:pPr>
              <w:bidi w:val="0"/>
              <w:ind w:firstLine="1200" w:firstLineChars="500"/>
            </w:pPr>
            <w:r>
              <w:t>Q</w:t>
            </w:r>
            <w:r>
              <w:rPr>
                <w:vertAlign w:val="subscript"/>
              </w:rPr>
              <w:t>1</w:t>
            </w:r>
            <w:r>
              <w:t>、Q</w:t>
            </w:r>
            <w:r>
              <w:rPr>
                <w:vertAlign w:val="subscript"/>
              </w:rPr>
              <w:t>2</w:t>
            </w:r>
            <w:r>
              <w:t>、···Q</w:t>
            </w:r>
            <w:r>
              <w:rPr>
                <w:rFonts w:hint="eastAsia"/>
                <w:vertAlign w:val="subscript"/>
                <w:lang w:val="en-US" w:eastAsia="zh-CN"/>
              </w:rPr>
              <w:t xml:space="preserve"> </w:t>
            </w:r>
            <w:r>
              <w:rPr>
                <w:vertAlign w:val="subscript"/>
              </w:rPr>
              <w:t>n</w:t>
            </w:r>
            <w:r>
              <w:t>——每种环境风险物质相对应的临界量，t。</w:t>
            </w:r>
          </w:p>
          <w:p>
            <w:pPr>
              <w:bidi w:val="0"/>
              <w:ind w:firstLine="480" w:firstLineChars="200"/>
            </w:pPr>
            <w:r>
              <w:t>计算出 Q 值后，将 Q 值划分为 4 级，分别为 Q＜1，该项目环境风险潜势为Ⅰ； 当 Q ≥1 有三种情况，1≤Q＜10；10≤Q＜100；Q≥100）。</w:t>
            </w:r>
          </w:p>
          <w:p>
            <w:pPr>
              <w:bidi w:val="0"/>
              <w:ind w:firstLine="480" w:firstLineChars="200"/>
            </w:pPr>
            <w:r>
              <w:t>根据《建设项目环境风险评价技术导则》（HJ 169—2018）附录B</w:t>
            </w:r>
            <w:r>
              <w:rPr>
                <w:rFonts w:hint="eastAsia"/>
              </w:rPr>
              <w:t>重点关注的危险物质及临界量</w:t>
            </w:r>
            <w:r>
              <w:t>，项目</w:t>
            </w:r>
            <w:r>
              <w:rPr>
                <w:rFonts w:hint="eastAsia"/>
              </w:rPr>
              <w:t>施工期和</w:t>
            </w:r>
            <w:r>
              <w:t>运营期</w:t>
            </w:r>
            <w:r>
              <w:rPr>
                <w:rFonts w:hint="eastAsia"/>
              </w:rPr>
              <w:t>有少量一氧化碳</w:t>
            </w:r>
            <w:r>
              <w:t>和氮氧化物废气排放，</w:t>
            </w:r>
            <w:r>
              <w:rPr>
                <w:rFonts w:hint="eastAsia"/>
              </w:rPr>
              <w:t>但很快在环境空气中扩散和稀释，基本可忽略不计。</w:t>
            </w:r>
          </w:p>
          <w:p>
            <w:pPr>
              <w:adjustRightInd w:val="0"/>
              <w:snapToGrid w:val="0"/>
              <w:ind w:firstLine="482" w:firstLineChars="200"/>
              <w:jc w:val="center"/>
              <w:rPr>
                <w:b/>
                <w:bCs/>
              </w:rPr>
            </w:pPr>
            <w:r>
              <w:rPr>
                <w:b/>
                <w:bCs/>
              </w:rPr>
              <w:t>表</w:t>
            </w:r>
            <w:r>
              <w:rPr>
                <w:rFonts w:hint="eastAsia"/>
                <w:b/>
                <w:bCs/>
                <w:lang w:val="en-US" w:eastAsia="zh-CN"/>
              </w:rPr>
              <w:t>48</w:t>
            </w:r>
            <w:r>
              <w:rPr>
                <w:b/>
                <w:bCs/>
              </w:rPr>
              <w:t xml:space="preserve"> 建设项目Q值确定表</w:t>
            </w:r>
          </w:p>
          <w:tbl>
            <w:tblPr>
              <w:tblStyle w:val="34"/>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298"/>
              <w:gridCol w:w="1316"/>
              <w:gridCol w:w="2099"/>
              <w:gridCol w:w="130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序号</w:t>
                  </w:r>
                </w:p>
              </w:tc>
              <w:tc>
                <w:tcPr>
                  <w:tcW w:w="1298"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物质名称</w:t>
                  </w:r>
                </w:p>
              </w:tc>
              <w:tc>
                <w:tcPr>
                  <w:tcW w:w="1316"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CAS号</w:t>
                  </w:r>
                </w:p>
              </w:tc>
              <w:tc>
                <w:tcPr>
                  <w:tcW w:w="2099"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最大存在总量</w:t>
                  </w:r>
                  <w:r>
                    <w:t>q</w:t>
                  </w:r>
                  <w:r>
                    <w:rPr>
                      <w:rFonts w:hint="eastAsia"/>
                      <w:vertAlign w:val="subscript"/>
                      <w:lang w:val="en-US" w:eastAsia="zh-CN"/>
                    </w:rPr>
                    <w:t xml:space="preserve"> </w:t>
                  </w:r>
                  <w:r>
                    <w:rPr>
                      <w:vertAlign w:val="subscript"/>
                    </w:rPr>
                    <w:t>n</w:t>
                  </w:r>
                  <w:r>
                    <w:rPr>
                      <w:rFonts w:hint="eastAsia"/>
                      <w:vertAlign w:val="subscript"/>
                      <w:lang w:val="en-US" w:eastAsia="zh-CN"/>
                    </w:rPr>
                    <w:t xml:space="preserve"> </w:t>
                  </w:r>
                  <w:r>
                    <w:rPr>
                      <w:rFonts w:eastAsia="宋体"/>
                      <w:sz w:val="21"/>
                      <w:szCs w:val="21"/>
                    </w:rPr>
                    <w:t>/t</w:t>
                  </w:r>
                </w:p>
              </w:tc>
              <w:tc>
                <w:tcPr>
                  <w:tcW w:w="1304"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临界量</w:t>
                  </w:r>
                  <w:r>
                    <w:t>Q</w:t>
                  </w:r>
                  <w:r>
                    <w:rPr>
                      <w:rFonts w:hint="eastAsia"/>
                      <w:vertAlign w:val="subscript"/>
                      <w:lang w:val="en-US" w:eastAsia="zh-CN"/>
                    </w:rPr>
                    <w:t xml:space="preserve"> </w:t>
                  </w:r>
                  <w:r>
                    <w:rPr>
                      <w:vertAlign w:val="subscript"/>
                    </w:rPr>
                    <w:t>n</w:t>
                  </w:r>
                  <w:r>
                    <w:rPr>
                      <w:rFonts w:eastAsia="宋体"/>
                      <w:sz w:val="21"/>
                      <w:szCs w:val="21"/>
                    </w:rPr>
                    <w:t>/t</w:t>
                  </w:r>
                </w:p>
              </w:tc>
              <w:tc>
                <w:tcPr>
                  <w:tcW w:w="2074"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1</w:t>
                  </w:r>
                </w:p>
              </w:tc>
              <w:tc>
                <w:tcPr>
                  <w:tcW w:w="1298"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hint="eastAsia" w:eastAsia="宋体"/>
                      <w:sz w:val="21"/>
                      <w:szCs w:val="21"/>
                    </w:rPr>
                    <w:t>一氧化碳</w:t>
                  </w:r>
                </w:p>
              </w:tc>
              <w:tc>
                <w:tcPr>
                  <w:tcW w:w="1316"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hint="eastAsia" w:eastAsia="宋体"/>
                      <w:sz w:val="21"/>
                      <w:szCs w:val="21"/>
                    </w:rPr>
                    <w:t>630</w:t>
                  </w:r>
                  <w:r>
                    <w:rPr>
                      <w:rFonts w:eastAsia="宋体"/>
                      <w:sz w:val="21"/>
                      <w:szCs w:val="21"/>
                    </w:rPr>
                    <w:t>-</w:t>
                  </w:r>
                  <w:r>
                    <w:rPr>
                      <w:rFonts w:hint="eastAsia" w:eastAsia="宋体"/>
                      <w:sz w:val="21"/>
                      <w:szCs w:val="21"/>
                    </w:rPr>
                    <w:t>08</w:t>
                  </w:r>
                  <w:r>
                    <w:rPr>
                      <w:rFonts w:eastAsia="宋体"/>
                      <w:sz w:val="21"/>
                      <w:szCs w:val="21"/>
                    </w:rPr>
                    <w:t>-</w:t>
                  </w:r>
                  <w:r>
                    <w:rPr>
                      <w:rFonts w:hint="eastAsia" w:eastAsia="宋体"/>
                      <w:sz w:val="21"/>
                      <w:szCs w:val="21"/>
                    </w:rPr>
                    <w:t>0</w:t>
                  </w:r>
                </w:p>
              </w:tc>
              <w:tc>
                <w:tcPr>
                  <w:tcW w:w="209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napToGrid w:val="0"/>
                      <w:sz w:val="21"/>
                      <w:szCs w:val="21"/>
                    </w:rPr>
                  </w:pPr>
                  <w:r>
                    <w:rPr>
                      <w:rFonts w:hint="eastAsia"/>
                      <w:snapToGrid w:val="0"/>
                      <w:sz w:val="21"/>
                      <w:szCs w:val="21"/>
                    </w:rPr>
                    <w:t>0</w:t>
                  </w:r>
                </w:p>
              </w:tc>
              <w:tc>
                <w:tcPr>
                  <w:tcW w:w="1304"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hint="eastAsia"/>
                      <w:snapToGrid w:val="0"/>
                      <w:sz w:val="21"/>
                      <w:szCs w:val="21"/>
                    </w:rPr>
                    <w:t>7</w:t>
                  </w:r>
                  <w:r>
                    <w:rPr>
                      <w:rFonts w:eastAsia="宋体"/>
                      <w:snapToGrid w:val="0"/>
                      <w:sz w:val="21"/>
                      <w:szCs w:val="21"/>
                    </w:rPr>
                    <w:t>.5</w:t>
                  </w:r>
                </w:p>
              </w:tc>
              <w:tc>
                <w:tcPr>
                  <w:tcW w:w="2074"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napToGrid w:val="0"/>
                      <w:sz w:val="21"/>
                      <w:szCs w:val="21"/>
                    </w:rPr>
                  </w:pPr>
                  <w:r>
                    <w:rPr>
                      <w:snapToGrid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2</w:t>
                  </w:r>
                </w:p>
              </w:tc>
              <w:tc>
                <w:tcPr>
                  <w:tcW w:w="1298"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hint="eastAsia" w:eastAsia="宋体"/>
                      <w:sz w:val="21"/>
                      <w:szCs w:val="21"/>
                    </w:rPr>
                    <w:t>二氧化氮</w:t>
                  </w:r>
                </w:p>
              </w:tc>
              <w:tc>
                <w:tcPr>
                  <w:tcW w:w="1316"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1</w:t>
                  </w:r>
                  <w:r>
                    <w:rPr>
                      <w:rFonts w:hint="eastAsia" w:eastAsia="宋体"/>
                      <w:sz w:val="21"/>
                      <w:szCs w:val="21"/>
                    </w:rPr>
                    <w:t>0102</w:t>
                  </w:r>
                  <w:r>
                    <w:rPr>
                      <w:rFonts w:eastAsia="宋体"/>
                      <w:sz w:val="21"/>
                      <w:szCs w:val="21"/>
                    </w:rPr>
                    <w:t>-</w:t>
                  </w:r>
                  <w:r>
                    <w:rPr>
                      <w:rFonts w:hint="eastAsia" w:eastAsia="宋体"/>
                      <w:sz w:val="21"/>
                      <w:szCs w:val="21"/>
                    </w:rPr>
                    <w:t>44</w:t>
                  </w:r>
                  <w:r>
                    <w:rPr>
                      <w:rFonts w:eastAsia="宋体"/>
                      <w:sz w:val="21"/>
                      <w:szCs w:val="21"/>
                    </w:rPr>
                    <w:t>-</w:t>
                  </w:r>
                  <w:r>
                    <w:rPr>
                      <w:rFonts w:hint="eastAsia" w:eastAsia="宋体"/>
                      <w:sz w:val="21"/>
                      <w:szCs w:val="21"/>
                    </w:rPr>
                    <w:t>0</w:t>
                  </w:r>
                </w:p>
              </w:tc>
              <w:tc>
                <w:tcPr>
                  <w:tcW w:w="209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napToGrid w:val="0"/>
                      <w:sz w:val="21"/>
                      <w:szCs w:val="21"/>
                    </w:rPr>
                  </w:pPr>
                  <w:r>
                    <w:rPr>
                      <w:rFonts w:hint="eastAsia"/>
                      <w:snapToGrid w:val="0"/>
                      <w:sz w:val="21"/>
                      <w:szCs w:val="21"/>
                    </w:rPr>
                    <w:t>0</w:t>
                  </w:r>
                </w:p>
              </w:tc>
              <w:tc>
                <w:tcPr>
                  <w:tcW w:w="1304"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hint="eastAsia"/>
                      <w:snapToGrid w:val="0"/>
                      <w:sz w:val="21"/>
                      <w:szCs w:val="21"/>
                    </w:rPr>
                    <w:t>1</w:t>
                  </w:r>
                </w:p>
              </w:tc>
              <w:tc>
                <w:tcPr>
                  <w:tcW w:w="2074"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napToGrid w:val="0"/>
                      <w:sz w:val="21"/>
                      <w:szCs w:val="21"/>
                    </w:rPr>
                  </w:pPr>
                  <w:r>
                    <w:rPr>
                      <w:snapToGrid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p>
              </w:tc>
              <w:tc>
                <w:tcPr>
                  <w:tcW w:w="1298"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r>
                    <w:rPr>
                      <w:rFonts w:eastAsia="宋体"/>
                      <w:sz w:val="21"/>
                      <w:szCs w:val="21"/>
                    </w:rPr>
                    <w:t>合计</w:t>
                  </w:r>
                </w:p>
              </w:tc>
              <w:tc>
                <w:tcPr>
                  <w:tcW w:w="1316"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napToGrid w:val="0"/>
                      <w:sz w:val="21"/>
                      <w:szCs w:val="21"/>
                    </w:rPr>
                  </w:pPr>
                </w:p>
              </w:tc>
              <w:tc>
                <w:tcPr>
                  <w:tcW w:w="209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napToGrid w:val="0"/>
                      <w:sz w:val="21"/>
                      <w:szCs w:val="21"/>
                    </w:rPr>
                  </w:pPr>
                </w:p>
              </w:tc>
              <w:tc>
                <w:tcPr>
                  <w:tcW w:w="1304" w:type="dxa"/>
                  <w:vAlign w:val="center"/>
                </w:tcPr>
                <w:p>
                  <w:pPr>
                    <w:pStyle w:val="17"/>
                    <w:keepNext w:val="0"/>
                    <w:keepLines w:val="0"/>
                    <w:pageBreakBefore w:val="0"/>
                    <w:kinsoku/>
                    <w:wordWrap/>
                    <w:overflowPunct/>
                    <w:topLinePunct w:val="0"/>
                    <w:autoSpaceDE/>
                    <w:autoSpaceDN/>
                    <w:bidi w:val="0"/>
                    <w:adjustRightInd/>
                    <w:snapToGrid/>
                    <w:spacing w:line="360" w:lineRule="exact"/>
                    <w:textAlignment w:val="auto"/>
                    <w:rPr>
                      <w:rFonts w:eastAsia="宋体"/>
                      <w:sz w:val="21"/>
                      <w:szCs w:val="21"/>
                    </w:rPr>
                  </w:pPr>
                </w:p>
              </w:tc>
              <w:tc>
                <w:tcPr>
                  <w:tcW w:w="2074"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napToGrid w:val="0"/>
                      <w:sz w:val="21"/>
                      <w:szCs w:val="21"/>
                    </w:rPr>
                  </w:pPr>
                  <w:r>
                    <w:rPr>
                      <w:rFonts w:hint="eastAsia"/>
                      <w:snapToGrid w:val="0"/>
                      <w:sz w:val="21"/>
                      <w:szCs w:val="21"/>
                    </w:rPr>
                    <w:t>0</w:t>
                  </w:r>
                </w:p>
              </w:tc>
            </w:tr>
          </w:tbl>
          <w:p>
            <w:pPr>
              <w:ind w:firstLine="480" w:firstLineChars="200"/>
              <w:rPr>
                <w:sz w:val="24"/>
              </w:rPr>
            </w:pPr>
            <w:r>
              <w:rPr>
                <w:rFonts w:hint="eastAsia"/>
                <w:sz w:val="24"/>
              </w:rPr>
              <w:t>因此，</w:t>
            </w:r>
            <w:r>
              <w:rPr>
                <w:sz w:val="24"/>
              </w:rPr>
              <w:t>本项目环境风险物质最大存在总量与临界量比值Q</w:t>
            </w:r>
            <w:r>
              <w:rPr>
                <w:rFonts w:hint="eastAsia"/>
                <w:sz w:val="24"/>
              </w:rPr>
              <w:t>为0，</w:t>
            </w:r>
            <w:r>
              <w:rPr>
                <w:sz w:val="24"/>
              </w:rPr>
              <w:t>＜1，则该项目环境风险潜势为Ⅰ</w:t>
            </w:r>
            <w:r>
              <w:rPr>
                <w:rFonts w:hint="eastAsia"/>
                <w:sz w:val="24"/>
              </w:rPr>
              <w:t>，仅作简单分析</w:t>
            </w:r>
            <w:r>
              <w:rPr>
                <w:sz w:val="24"/>
              </w:rPr>
              <w:t>。</w:t>
            </w:r>
          </w:p>
          <w:p>
            <w:pPr>
              <w:ind w:firstLine="482" w:firstLineChars="200"/>
              <w:rPr>
                <w:b/>
                <w:sz w:val="24"/>
              </w:rPr>
            </w:pPr>
            <w:r>
              <w:rPr>
                <w:b/>
                <w:sz w:val="24"/>
              </w:rPr>
              <w:t>8.</w:t>
            </w:r>
            <w:r>
              <w:rPr>
                <w:rFonts w:hint="eastAsia"/>
                <w:b/>
                <w:sz w:val="24"/>
              </w:rPr>
              <w:t>2、</w:t>
            </w:r>
            <w:r>
              <w:rPr>
                <w:b/>
                <w:sz w:val="24"/>
              </w:rPr>
              <w:t xml:space="preserve">环境风险识别 </w:t>
            </w:r>
          </w:p>
          <w:p>
            <w:pPr>
              <w:bidi w:val="0"/>
              <w:ind w:firstLine="480" w:firstLineChars="200"/>
            </w:pPr>
            <w:r>
              <w:t>项目为城市道路</w:t>
            </w:r>
            <w:r>
              <w:rPr>
                <w:rFonts w:hint="eastAsia"/>
              </w:rPr>
              <w:t>建设项目</w:t>
            </w:r>
            <w:r>
              <w:t>，</w:t>
            </w:r>
            <w:r>
              <w:rPr>
                <w:rFonts w:hint="eastAsia"/>
              </w:rPr>
              <w:t>本项目本身不存在环境风险，但项目投入使用后道路因运输有毒有害和易燃易爆物质时的交通事故以及污水管路因堵塞、破裂而引起的污水外溢等引起的环境风险。</w:t>
            </w:r>
          </w:p>
          <w:p>
            <w:pPr>
              <w:bidi w:val="0"/>
              <w:ind w:firstLine="480" w:firstLineChars="200"/>
            </w:pPr>
            <w:r>
              <w:t xml:space="preserve">项目施工和运营过程中的风险事故主要为： </w:t>
            </w:r>
          </w:p>
          <w:p>
            <w:pPr>
              <w:bidi w:val="0"/>
              <w:ind w:firstLine="480" w:firstLineChars="200"/>
            </w:pPr>
            <w:r>
              <w:t>（1）</w:t>
            </w:r>
            <w:r>
              <w:rPr>
                <w:rFonts w:hint="eastAsia"/>
              </w:rPr>
              <w:t>道路上运输有毒或易燃易爆等危险品是不可避免的，其风险主要表现在因交通事故和违反危险品运输的有关规定，使被运输的危险品在运输途中突发性发生遗漏、爆炸、燃烧等，一旦出现将在很短时间内造成一定面积的恶性污染事故，对当地环境造成较大危害，给国家财产造成巨大的损失。</w:t>
            </w:r>
          </w:p>
          <w:p>
            <w:pPr>
              <w:bidi w:val="0"/>
              <w:ind w:firstLine="480" w:firstLineChars="200"/>
            </w:pPr>
            <w:r>
              <w:t>（2）本工程中包含雨、污水管道的铺设，故存在施工过程中</w:t>
            </w:r>
            <w:r>
              <w:rPr>
                <w:rFonts w:hint="eastAsia"/>
              </w:rPr>
              <w:t>污水管路因堵塞、破裂而引起的污水外溢等引起的环境风险</w:t>
            </w:r>
            <w:r>
              <w:t xml:space="preserve">。 </w:t>
            </w:r>
          </w:p>
          <w:p>
            <w:pPr>
              <w:ind w:firstLine="482" w:firstLineChars="200"/>
              <w:rPr>
                <w:b/>
                <w:sz w:val="24"/>
              </w:rPr>
            </w:pPr>
            <w:r>
              <w:rPr>
                <w:b/>
                <w:sz w:val="24"/>
              </w:rPr>
              <w:t>8.</w:t>
            </w:r>
            <w:r>
              <w:rPr>
                <w:rFonts w:hint="eastAsia"/>
                <w:b/>
                <w:sz w:val="24"/>
              </w:rPr>
              <w:t>3、</w:t>
            </w:r>
            <w:r>
              <w:rPr>
                <w:b/>
                <w:sz w:val="24"/>
              </w:rPr>
              <w:t xml:space="preserve">风险防范措施 </w:t>
            </w:r>
          </w:p>
          <w:p>
            <w:pPr>
              <w:bidi w:val="0"/>
              <w:ind w:firstLine="480" w:firstLineChars="200"/>
            </w:pPr>
            <w:r>
              <w:t>本工程的风险防范措施主要包括以下几点：</w:t>
            </w:r>
          </w:p>
          <w:p>
            <w:pPr>
              <w:bidi w:val="0"/>
              <w:ind w:firstLine="480" w:firstLineChars="200"/>
            </w:pPr>
            <w:r>
              <w:rPr>
                <w:rFonts w:hint="eastAsia"/>
              </w:rPr>
              <w:t>（1）本项目施工过程中将不可避免的使用一些燃料等危险物品。这些危险物品一旦意外发生爆炸、燃烧、泄漏，将会危害施工人员及沿线群众的人身财产安全，造成严重后果。因此对易燃、易爆和有毒物品必须专人保管，详细登记取用时间、人员、数量、用途等，定期检查，并应对保管人员进行专业培训。</w:t>
            </w:r>
          </w:p>
          <w:p>
            <w:pPr>
              <w:bidi w:val="0"/>
              <w:ind w:firstLine="480" w:firstLineChars="200"/>
            </w:pPr>
            <w:r>
              <w:rPr>
                <w:rFonts w:hint="eastAsia"/>
              </w:rPr>
              <w:t>（2）施工前对工程所影响范围内的全部管线进行核查，对管线的性质、材质、埋深、方向等方面做仔细调查，在遇到不明管线时，立即报告项目工程部、安质部等相关部门，在明确管线埋深及管位的前提下，加强施工管理，确保管线安全。</w:t>
            </w:r>
          </w:p>
          <w:p>
            <w:pPr>
              <w:bidi w:val="0"/>
              <w:ind w:firstLine="480" w:firstLineChars="200"/>
            </w:pPr>
            <w:r>
              <w:rPr>
                <w:rFonts w:hint="eastAsia"/>
              </w:rPr>
              <w:t>（3）在管理上成立专门组织机构，负责组织处理紧急事故，发现事故预兆要及时上报相关部门，并采取措施预防降低事故发生可能性。一旦发生事故，应及时采取控制及缓解措施并进行赔偿，减少事故危害范围和程度对社会的影响。在施工结束后，施工队伍必须做好地表植被、施工临时用地的恢复工作，以防水土流失和生态破坏事故发生。</w:t>
            </w:r>
          </w:p>
          <w:p>
            <w:pPr>
              <w:ind w:firstLine="482" w:firstLineChars="200"/>
              <w:rPr>
                <w:b/>
                <w:sz w:val="24"/>
              </w:rPr>
            </w:pPr>
            <w:r>
              <w:rPr>
                <w:b/>
                <w:sz w:val="24"/>
              </w:rPr>
              <w:t>8.</w:t>
            </w:r>
            <w:r>
              <w:rPr>
                <w:rFonts w:hint="eastAsia"/>
                <w:b/>
                <w:sz w:val="24"/>
              </w:rPr>
              <w:t>4、</w:t>
            </w:r>
            <w:r>
              <w:rPr>
                <w:b/>
                <w:sz w:val="24"/>
              </w:rPr>
              <w:t xml:space="preserve">应急措施 </w:t>
            </w:r>
          </w:p>
          <w:p>
            <w:pPr>
              <w:bidi w:val="0"/>
              <w:ind w:firstLine="480" w:firstLineChars="200"/>
            </w:pPr>
            <w:r>
              <w:t>（1）编制应急预案，制定应急计划，成立</w:t>
            </w:r>
            <w:r>
              <w:rPr>
                <w:rFonts w:hint="eastAsia"/>
              </w:rPr>
              <w:t>项目</w:t>
            </w:r>
            <w:r>
              <w:t xml:space="preserve">风险影响的事故应急指挥机构，全权负责本工程施工期的突发性风险事故的处理和处置。应急指挥部应设24小时值班电话，并向社会公布。 </w:t>
            </w:r>
          </w:p>
          <w:p>
            <w:pPr>
              <w:bidi w:val="0"/>
              <w:ind w:firstLine="480" w:firstLineChars="200"/>
            </w:pPr>
            <w:r>
              <w:t>（2）施工期</w:t>
            </w:r>
            <w:r>
              <w:rPr>
                <w:rFonts w:hint="eastAsia"/>
              </w:rPr>
              <w:t>或营运期</w:t>
            </w:r>
            <w:r>
              <w:t>间发生</w:t>
            </w:r>
            <w:r>
              <w:rPr>
                <w:rFonts w:hint="eastAsia"/>
              </w:rPr>
              <w:t>风险</w:t>
            </w:r>
            <w:r>
              <w:t>事故时，应及时通知事故应急指挥机构</w:t>
            </w:r>
            <w:r>
              <w:rPr>
                <w:rFonts w:hint="eastAsia"/>
              </w:rPr>
              <w:t>和</w:t>
            </w:r>
            <w:r>
              <w:t xml:space="preserve">环境主管部门，并立即处理事故现场，尽快控制风险，减少损失。 </w:t>
            </w:r>
          </w:p>
          <w:p>
            <w:pPr>
              <w:bidi w:val="0"/>
              <w:ind w:firstLine="480" w:firstLineChars="200"/>
            </w:pPr>
            <w:r>
              <w:t>（</w:t>
            </w:r>
            <w:r>
              <w:rPr>
                <w:rFonts w:hint="eastAsia"/>
              </w:rPr>
              <w:t>3</w:t>
            </w:r>
            <w:r>
              <w:t xml:space="preserve">）污染事故一旦发生，监测人员必须快速出击、赶赴现场，现场判断出污染事故影响波及的范围及程度，在事故现场清理回收与化学处理过程中，应随时出具数据， 以判断污染物的控制情况。同时，对污染现场和下游河流段进行较长时间跟踪监测。 </w:t>
            </w:r>
          </w:p>
          <w:p>
            <w:pPr>
              <w:bidi w:val="0"/>
              <w:ind w:firstLine="480" w:firstLineChars="200"/>
            </w:pPr>
            <w:r>
              <w:t>（</w:t>
            </w:r>
            <w:r>
              <w:rPr>
                <w:rFonts w:hint="eastAsia"/>
              </w:rPr>
              <w:t>4</w:t>
            </w:r>
            <w:r>
              <w:t xml:space="preserve">）污染事故控制住后，指挥部要做好设施的恢复等善后工作；要对水环境污染事故的基本情况进行定性和定量描述，对整个事故进行评估；要对相关资料进行汇编， 包括决策记录、信息分析；要进行工作总结。 </w:t>
            </w:r>
          </w:p>
          <w:p>
            <w:pPr>
              <w:ind w:firstLine="482" w:firstLineChars="200"/>
              <w:rPr>
                <w:bCs/>
                <w:sz w:val="24"/>
              </w:rPr>
            </w:pPr>
            <w:r>
              <w:rPr>
                <w:b/>
                <w:sz w:val="24"/>
              </w:rPr>
              <w:t>8.</w:t>
            </w:r>
            <w:r>
              <w:rPr>
                <w:rFonts w:hint="eastAsia"/>
                <w:b/>
                <w:sz w:val="24"/>
              </w:rPr>
              <w:t>5、</w:t>
            </w:r>
            <w:r>
              <w:rPr>
                <w:b/>
                <w:sz w:val="24"/>
              </w:rPr>
              <w:t>风险评价结论</w:t>
            </w:r>
            <w:r>
              <w:rPr>
                <w:bCs/>
                <w:sz w:val="24"/>
              </w:rPr>
              <w:t xml:space="preserve"> </w:t>
            </w:r>
          </w:p>
          <w:p>
            <w:pPr>
              <w:ind w:firstLine="480" w:firstLineChars="200"/>
              <w:rPr>
                <w:sz w:val="24"/>
                <w:highlight w:val="yellow"/>
              </w:rPr>
            </w:pPr>
            <w:r>
              <w:rPr>
                <w:bCs/>
                <w:sz w:val="24"/>
              </w:rPr>
              <w:t>采取本报告提出的风险防范措施后，项目风险水平在可接受范围内，项目环境风险影响相对较小。</w:t>
            </w:r>
          </w:p>
          <w:p>
            <w:pPr>
              <w:ind w:firstLine="482" w:firstLineChars="200"/>
              <w:rPr>
                <w:b/>
                <w:sz w:val="24"/>
              </w:rPr>
            </w:pPr>
            <w:r>
              <w:rPr>
                <w:rFonts w:hint="eastAsia"/>
                <w:b/>
                <w:sz w:val="24"/>
              </w:rPr>
              <w:t>9、</w:t>
            </w:r>
            <w:r>
              <w:rPr>
                <w:b/>
                <w:sz w:val="24"/>
              </w:rPr>
              <w:t>环境管理和环境监测计划</w:t>
            </w:r>
          </w:p>
          <w:p>
            <w:pPr>
              <w:ind w:firstLine="482" w:firstLineChars="200"/>
              <w:rPr>
                <w:b/>
                <w:sz w:val="24"/>
              </w:rPr>
            </w:pPr>
            <w:r>
              <w:rPr>
                <w:b/>
                <w:sz w:val="24"/>
              </w:rPr>
              <w:t>9.</w:t>
            </w:r>
            <w:r>
              <w:rPr>
                <w:rFonts w:hint="eastAsia"/>
                <w:b/>
                <w:sz w:val="24"/>
              </w:rPr>
              <w:t>1、</w:t>
            </w:r>
            <w:r>
              <w:rPr>
                <w:b/>
                <w:sz w:val="24"/>
              </w:rPr>
              <w:t>施工环境管理及保护要求</w:t>
            </w:r>
          </w:p>
          <w:p>
            <w:pPr>
              <w:bidi w:val="0"/>
              <w:ind w:firstLine="480" w:firstLineChars="200"/>
            </w:pPr>
            <w:r>
              <w:t>工期环境管理是组织实施环保设施的</w:t>
            </w:r>
            <w:r>
              <w:rPr>
                <w:rFonts w:hint="eastAsia"/>
                <w:lang w:eastAsia="zh-CN"/>
              </w:rPr>
              <w:t>“</w:t>
            </w:r>
            <w:r>
              <w:t>三同时</w:t>
            </w:r>
            <w:r>
              <w:rPr>
                <w:rFonts w:hint="eastAsia"/>
                <w:lang w:eastAsia="zh-CN"/>
              </w:rPr>
              <w:t>”</w:t>
            </w:r>
            <w:r>
              <w:t>和施工过程污染防治。在施工开始后应配备管理人员 1~2 人专门负责施工期的环境管理和监督。</w:t>
            </w:r>
          </w:p>
          <w:p>
            <w:pPr>
              <w:bidi w:val="0"/>
              <w:ind w:firstLine="480" w:firstLineChars="200"/>
            </w:pPr>
            <w:r>
              <w:rPr>
                <w:rFonts w:hint="eastAsia"/>
                <w:lang w:val="en-US" w:eastAsia="zh-CN"/>
              </w:rPr>
              <w:t>（1）</w:t>
            </w:r>
            <w:r>
              <w:t>监督实施环保设施的</w:t>
            </w:r>
            <w:r>
              <w:rPr>
                <w:rFonts w:hint="eastAsia"/>
                <w:lang w:eastAsia="zh-CN"/>
              </w:rPr>
              <w:t>“</w:t>
            </w:r>
            <w:r>
              <w:t>三同时</w:t>
            </w:r>
            <w:r>
              <w:rPr>
                <w:rFonts w:hint="eastAsia"/>
                <w:lang w:eastAsia="zh-CN"/>
              </w:rPr>
              <w:t>”</w:t>
            </w:r>
          </w:p>
          <w:p>
            <w:pPr>
              <w:bidi w:val="0"/>
              <w:ind w:firstLine="480" w:firstLineChars="200"/>
            </w:pPr>
            <w:r>
              <w:t>各项环保设施的设计、施工计划必须与主体工程同时进行，并把工程设计和施工计划报环保行政主管部门审批。在施工过程中定期检查环保设施建设进度，如有滞后，应立即纠正。在试运营前检查各项环保设施完工情况，并向环保审批部门申报营运计划。</w:t>
            </w:r>
          </w:p>
          <w:p>
            <w:pPr>
              <w:bidi w:val="0"/>
            </w:pPr>
            <w:r>
              <w:t>竣工验收时提交环保竣工验收监测报告，经竣工验收合格，并发放环保设施验收合格证及排污许可证，方可投入正式运营。</w:t>
            </w:r>
          </w:p>
          <w:p>
            <w:pPr>
              <w:ind w:firstLine="480" w:firstLineChars="200"/>
              <w:rPr>
                <w:bCs/>
                <w:sz w:val="24"/>
                <w:u w:val="none"/>
              </w:rPr>
            </w:pPr>
            <w:r>
              <w:rPr>
                <w:rFonts w:hint="eastAsia"/>
                <w:lang w:val="en-US" w:eastAsia="zh-CN"/>
              </w:rPr>
              <w:t>（2）</w:t>
            </w:r>
            <w:r>
              <w:rPr>
                <w:bCs/>
                <w:sz w:val="24"/>
                <w:u w:val="none"/>
              </w:rPr>
              <w:t>施工期环境保护实施计划</w:t>
            </w:r>
          </w:p>
          <w:p>
            <w:pPr>
              <w:ind w:firstLine="480" w:firstLineChars="200"/>
              <w:rPr>
                <w:bCs/>
                <w:sz w:val="24"/>
                <w:u w:val="none"/>
              </w:rPr>
            </w:pPr>
            <w:r>
              <w:rPr>
                <w:rFonts w:hint="eastAsia" w:ascii="宋体" w:hAnsi="宋体" w:eastAsia="宋体" w:cs="宋体"/>
                <w:bCs/>
                <w:sz w:val="24"/>
                <w:u w:val="none"/>
                <w:lang w:val="en-US" w:eastAsia="zh-CN"/>
              </w:rPr>
              <w:t>①</w:t>
            </w:r>
            <w:r>
              <w:rPr>
                <w:bCs/>
                <w:sz w:val="24"/>
                <w:u w:val="none"/>
              </w:rPr>
              <w:t>施工期环境管理</w:t>
            </w:r>
          </w:p>
          <w:p>
            <w:pPr>
              <w:ind w:firstLine="480" w:firstLineChars="200"/>
              <w:rPr>
                <w:bCs/>
                <w:sz w:val="24"/>
                <w:u w:val="none"/>
              </w:rPr>
            </w:pPr>
            <w:r>
              <w:rPr>
                <w:bCs/>
                <w:sz w:val="24"/>
                <w:u w:val="none"/>
              </w:rPr>
              <w:t>在施工开始后应派人专门负责施工期环境管理与监督，重点是防止施工过程泥沙砖块散落、施工噪声、粉尘及施工环境管理。</w:t>
            </w:r>
          </w:p>
          <w:p>
            <w:pPr>
              <w:ind w:firstLine="480" w:firstLineChars="200"/>
              <w:rPr>
                <w:bCs/>
                <w:sz w:val="24"/>
                <w:u w:val="none"/>
              </w:rPr>
            </w:pPr>
            <w:r>
              <w:rPr>
                <w:bCs/>
                <w:sz w:val="24"/>
                <w:u w:val="none"/>
              </w:rPr>
              <w:t>对各施工队伍的施工环保实施计划进行检查监督，对施工中的排污情况进行监督，对造成严重水土流失或其它环境污染事故进行调查处理。</w:t>
            </w:r>
          </w:p>
          <w:p>
            <w:pPr>
              <w:ind w:firstLine="480" w:firstLineChars="200"/>
              <w:rPr>
                <w:bCs/>
                <w:sz w:val="24"/>
                <w:u w:val="none"/>
              </w:rPr>
            </w:pPr>
            <w:r>
              <w:rPr>
                <w:bCs/>
                <w:sz w:val="24"/>
                <w:u w:val="none"/>
              </w:rPr>
              <w:t>各施工队伍应配备一名环保员，根据承包工程的环境问题提出环保实施计划，进行实施、监督、管理，对发生的水土流失事件或其他污染事故应组织处理，并及时向建设单位和地方环保部门报告。</w:t>
            </w:r>
          </w:p>
          <w:p>
            <w:pPr>
              <w:numPr>
                <w:ilvl w:val="0"/>
                <w:numId w:val="0"/>
              </w:numPr>
              <w:ind w:leftChars="200"/>
              <w:rPr>
                <w:bCs/>
                <w:sz w:val="24"/>
                <w:u w:val="none"/>
              </w:rPr>
            </w:pPr>
            <w:r>
              <w:rPr>
                <w:rFonts w:hint="eastAsia" w:ascii="宋体" w:hAnsi="宋体" w:eastAsia="宋体" w:cs="宋体"/>
                <w:bCs/>
                <w:sz w:val="24"/>
                <w:u w:val="none"/>
              </w:rPr>
              <w:t>②</w:t>
            </w:r>
            <w:r>
              <w:rPr>
                <w:bCs/>
                <w:sz w:val="24"/>
                <w:u w:val="none"/>
              </w:rPr>
              <w:t>施工现场环境恢复监督</w:t>
            </w:r>
          </w:p>
          <w:p>
            <w:pPr>
              <w:ind w:firstLine="480" w:firstLineChars="200"/>
              <w:rPr>
                <w:bCs/>
                <w:sz w:val="24"/>
                <w:u w:val="none"/>
              </w:rPr>
            </w:pPr>
            <w:r>
              <w:rPr>
                <w:bCs/>
                <w:sz w:val="24"/>
                <w:u w:val="none"/>
              </w:rPr>
              <w:t>在营运期前应全面检查施工现场的环境恢复情况，施工单位应及时撤出占用场地，拆除临时设施，恢复被破坏的地面，恢复绿化。</w:t>
            </w:r>
          </w:p>
          <w:p>
            <w:pPr>
              <w:ind w:firstLine="482" w:firstLineChars="200"/>
              <w:rPr>
                <w:b/>
                <w:sz w:val="24"/>
              </w:rPr>
            </w:pPr>
            <w:r>
              <w:rPr>
                <w:b/>
                <w:sz w:val="24"/>
              </w:rPr>
              <w:t>9.</w:t>
            </w:r>
            <w:r>
              <w:rPr>
                <w:rFonts w:hint="eastAsia"/>
                <w:b/>
                <w:sz w:val="24"/>
              </w:rPr>
              <w:t>2、</w:t>
            </w:r>
            <w:r>
              <w:rPr>
                <w:b/>
                <w:sz w:val="24"/>
              </w:rPr>
              <w:t>环境管理措施及监理内容</w:t>
            </w:r>
          </w:p>
          <w:p>
            <w:pPr>
              <w:ind w:firstLine="480" w:firstLineChars="200"/>
              <w:rPr>
                <w:bCs/>
                <w:sz w:val="24"/>
              </w:rPr>
            </w:pPr>
            <w:r>
              <w:rPr>
                <w:rFonts w:hint="eastAsia" w:ascii="宋体" w:hAnsi="宋体" w:cs="宋体"/>
                <w:bCs/>
                <w:sz w:val="24"/>
                <w:lang w:eastAsia="zh-CN"/>
              </w:rPr>
              <w:t>（</w:t>
            </w:r>
            <w:r>
              <w:rPr>
                <w:rFonts w:hint="eastAsia" w:ascii="宋体" w:hAnsi="宋体" w:cs="宋体"/>
                <w:bCs/>
                <w:sz w:val="24"/>
                <w:lang w:val="en-US" w:eastAsia="zh-CN"/>
              </w:rPr>
              <w:t>1</w:t>
            </w:r>
            <w:r>
              <w:rPr>
                <w:rFonts w:hint="eastAsia" w:ascii="宋体" w:hAnsi="宋体" w:cs="宋体"/>
                <w:bCs/>
                <w:sz w:val="24"/>
                <w:lang w:eastAsia="zh-CN"/>
              </w:rPr>
              <w:t>）</w:t>
            </w:r>
            <w:r>
              <w:rPr>
                <w:bCs/>
                <w:sz w:val="24"/>
              </w:rPr>
              <w:t>施工现场进行围护，进行封闭施工。</w:t>
            </w:r>
          </w:p>
          <w:p>
            <w:pPr>
              <w:ind w:firstLine="480" w:firstLineChars="200"/>
              <w:rPr>
                <w:bCs/>
                <w:sz w:val="24"/>
              </w:rPr>
            </w:pPr>
            <w:r>
              <w:rPr>
                <w:rFonts w:hint="eastAsia"/>
                <w:bCs/>
                <w:sz w:val="24"/>
                <w:lang w:eastAsia="zh-CN"/>
              </w:rPr>
              <w:t>（</w:t>
            </w:r>
            <w:r>
              <w:rPr>
                <w:rFonts w:hint="eastAsia"/>
                <w:bCs/>
                <w:sz w:val="24"/>
                <w:lang w:val="en-US" w:eastAsia="zh-CN"/>
              </w:rPr>
              <w:t>2</w:t>
            </w:r>
            <w:r>
              <w:rPr>
                <w:rFonts w:hint="eastAsia"/>
                <w:bCs/>
                <w:sz w:val="24"/>
                <w:lang w:eastAsia="zh-CN"/>
              </w:rPr>
              <w:t>）</w:t>
            </w:r>
            <w:r>
              <w:rPr>
                <w:bCs/>
                <w:sz w:val="24"/>
              </w:rPr>
              <w:t>在施工中遇到连续晴好天气又起风的情况下，应对开挖土方临时堆存处采取洒水或采用覆盖网进行覆盖，防止扬尘。</w:t>
            </w:r>
          </w:p>
          <w:p>
            <w:pPr>
              <w:ind w:firstLine="480" w:firstLineChars="200"/>
              <w:rPr>
                <w:bCs/>
                <w:sz w:val="24"/>
              </w:rPr>
            </w:pPr>
            <w:r>
              <w:rPr>
                <w:rFonts w:hint="eastAsia" w:ascii="宋体" w:hAnsi="宋体" w:cs="宋体"/>
                <w:bCs/>
                <w:sz w:val="24"/>
                <w:lang w:eastAsia="zh-CN"/>
              </w:rPr>
              <w:t>（</w:t>
            </w:r>
            <w:r>
              <w:rPr>
                <w:rFonts w:hint="eastAsia" w:ascii="宋体" w:hAnsi="宋体" w:cs="宋体"/>
                <w:bCs/>
                <w:sz w:val="24"/>
                <w:lang w:val="en-US" w:eastAsia="zh-CN"/>
              </w:rPr>
              <w:t>3</w:t>
            </w:r>
            <w:r>
              <w:rPr>
                <w:rFonts w:hint="eastAsia" w:ascii="宋体" w:hAnsi="宋体" w:cs="宋体"/>
                <w:bCs/>
                <w:sz w:val="24"/>
                <w:lang w:eastAsia="zh-CN"/>
              </w:rPr>
              <w:t>）</w:t>
            </w:r>
            <w:r>
              <w:rPr>
                <w:bCs/>
                <w:sz w:val="24"/>
              </w:rPr>
              <w:t>土方在装运过程中对汽车采取帆布覆盖车厢，避免在起风的情况下开挖土方和装卸物料，施工道路实行保洁制度，一旦有弃土应及时清扫。</w:t>
            </w:r>
          </w:p>
          <w:p>
            <w:pPr>
              <w:ind w:firstLine="480" w:firstLineChars="200"/>
              <w:rPr>
                <w:bCs/>
                <w:sz w:val="24"/>
              </w:rPr>
            </w:pPr>
            <w:r>
              <w:rPr>
                <w:rFonts w:hint="eastAsia" w:ascii="宋体" w:hAnsi="宋体" w:cs="宋体"/>
                <w:bCs/>
                <w:sz w:val="24"/>
                <w:lang w:eastAsia="zh-CN"/>
              </w:rPr>
              <w:t>（</w:t>
            </w:r>
            <w:r>
              <w:rPr>
                <w:rFonts w:hint="eastAsia" w:ascii="宋体" w:hAnsi="宋体" w:cs="宋体"/>
                <w:bCs/>
                <w:sz w:val="24"/>
                <w:lang w:val="en-US" w:eastAsia="zh-CN"/>
              </w:rPr>
              <w:t>4</w:t>
            </w:r>
            <w:r>
              <w:rPr>
                <w:rFonts w:hint="eastAsia" w:ascii="宋体" w:hAnsi="宋体" w:cs="宋体"/>
                <w:bCs/>
                <w:sz w:val="24"/>
                <w:lang w:eastAsia="zh-CN"/>
              </w:rPr>
              <w:t>）</w:t>
            </w:r>
            <w:r>
              <w:rPr>
                <w:bCs/>
                <w:sz w:val="24"/>
              </w:rPr>
              <w:t>雨天施工要注意防止水土流失，堆积土方时适当采取覆盖措施，防止淤塞周边水塘， 汛期及暴雨天要停止施工。</w:t>
            </w:r>
          </w:p>
          <w:p>
            <w:pPr>
              <w:ind w:firstLine="480" w:firstLineChars="200"/>
              <w:rPr>
                <w:bCs/>
                <w:sz w:val="24"/>
              </w:rPr>
            </w:pPr>
            <w:r>
              <w:rPr>
                <w:rFonts w:hint="eastAsia" w:ascii="宋体" w:hAnsi="宋体" w:cs="宋体"/>
                <w:bCs/>
                <w:sz w:val="24"/>
                <w:lang w:eastAsia="zh-CN"/>
              </w:rPr>
              <w:t>（</w:t>
            </w:r>
            <w:r>
              <w:rPr>
                <w:rFonts w:hint="eastAsia" w:ascii="宋体" w:hAnsi="宋体" w:cs="宋体"/>
                <w:bCs/>
                <w:sz w:val="24"/>
                <w:lang w:val="en-US" w:eastAsia="zh-CN"/>
              </w:rPr>
              <w:t>5</w:t>
            </w:r>
            <w:r>
              <w:rPr>
                <w:rFonts w:hint="eastAsia" w:ascii="宋体" w:hAnsi="宋体" w:cs="宋体"/>
                <w:bCs/>
                <w:sz w:val="24"/>
                <w:lang w:eastAsia="zh-CN"/>
              </w:rPr>
              <w:t>）</w:t>
            </w:r>
            <w:r>
              <w:rPr>
                <w:bCs/>
                <w:sz w:val="24"/>
              </w:rPr>
              <w:t>建筑垃圾及时清理，严禁随意丢弃、堆放。</w:t>
            </w:r>
          </w:p>
          <w:p>
            <w:pPr>
              <w:ind w:firstLine="482" w:firstLineChars="200"/>
              <w:rPr>
                <w:b/>
                <w:sz w:val="24"/>
                <w:highlight w:val="none"/>
              </w:rPr>
            </w:pPr>
            <w:r>
              <w:rPr>
                <w:b/>
                <w:sz w:val="24"/>
                <w:highlight w:val="none"/>
              </w:rPr>
              <w:t>9.</w:t>
            </w:r>
            <w:r>
              <w:rPr>
                <w:rFonts w:hint="eastAsia"/>
                <w:b/>
                <w:sz w:val="24"/>
                <w:highlight w:val="none"/>
              </w:rPr>
              <w:t>3、</w:t>
            </w:r>
            <w:r>
              <w:rPr>
                <w:b/>
                <w:sz w:val="24"/>
                <w:highlight w:val="none"/>
              </w:rPr>
              <w:t>环境监测计划</w:t>
            </w:r>
          </w:p>
          <w:p>
            <w:pPr>
              <w:ind w:firstLine="480" w:firstLineChars="200"/>
              <w:rPr>
                <w:bCs/>
                <w:sz w:val="24"/>
              </w:rPr>
            </w:pPr>
            <w:r>
              <w:rPr>
                <w:rFonts w:hint="eastAsia"/>
                <w:bCs/>
                <w:sz w:val="24"/>
              </w:rPr>
              <w:t>施工期环境</w:t>
            </w:r>
            <w:r>
              <w:rPr>
                <w:bCs/>
                <w:sz w:val="24"/>
              </w:rPr>
              <w:t>监测计划见下表</w:t>
            </w:r>
            <w:r>
              <w:rPr>
                <w:rFonts w:hint="eastAsia"/>
                <w:bCs/>
                <w:sz w:val="24"/>
                <w:lang w:val="en-US" w:eastAsia="zh-CN"/>
              </w:rPr>
              <w:t>49</w:t>
            </w:r>
            <w:r>
              <w:rPr>
                <w:bCs/>
                <w:sz w:val="24"/>
              </w:rPr>
              <w:t>。</w:t>
            </w:r>
          </w:p>
          <w:p>
            <w:pPr>
              <w:ind w:firstLine="482" w:firstLineChars="200"/>
              <w:jc w:val="center"/>
              <w:rPr>
                <w:b/>
                <w:sz w:val="24"/>
              </w:rPr>
            </w:pPr>
            <w:r>
              <w:rPr>
                <w:b/>
                <w:sz w:val="24"/>
              </w:rPr>
              <w:t>表</w:t>
            </w:r>
            <w:r>
              <w:rPr>
                <w:rFonts w:hint="eastAsia"/>
                <w:b/>
                <w:sz w:val="24"/>
                <w:lang w:val="en-US" w:eastAsia="zh-CN"/>
              </w:rPr>
              <w:t>49</w:t>
            </w:r>
            <w:r>
              <w:rPr>
                <w:b/>
                <w:sz w:val="24"/>
              </w:rPr>
              <w:t xml:space="preserve">  </w:t>
            </w:r>
            <w:r>
              <w:rPr>
                <w:rFonts w:hint="eastAsia"/>
                <w:b/>
                <w:sz w:val="24"/>
              </w:rPr>
              <w:t>施工期</w:t>
            </w:r>
            <w:r>
              <w:rPr>
                <w:b/>
                <w:sz w:val="24"/>
              </w:rPr>
              <w:t>监测计划</w:t>
            </w:r>
          </w:p>
          <w:tbl>
            <w:tblPr>
              <w:tblStyle w:val="35"/>
              <w:tblW w:w="9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2183"/>
              <w:gridCol w:w="2353"/>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8" w:type="dxa"/>
                  <w:gridSpan w:val="2"/>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类别</w:t>
                  </w:r>
                </w:p>
              </w:tc>
              <w:tc>
                <w:tcPr>
                  <w:tcW w:w="2183"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监测点</w:t>
                  </w:r>
                </w:p>
              </w:tc>
              <w:tc>
                <w:tcPr>
                  <w:tcW w:w="2353"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监测项目</w:t>
                  </w:r>
                </w:p>
              </w:tc>
              <w:tc>
                <w:tcPr>
                  <w:tcW w:w="2269" w:type="dxa"/>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施工期</w:t>
                  </w:r>
                </w:p>
              </w:tc>
              <w:tc>
                <w:tcPr>
                  <w:tcW w:w="1134"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废气</w:t>
                  </w: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rPr>
                    <w:t>马鞍社区居民点</w:t>
                  </w:r>
                  <w:r>
                    <w:rPr>
                      <w:rFonts w:hint="eastAsia"/>
                      <w:sz w:val="21"/>
                      <w:szCs w:val="21"/>
                      <w:lang w:val="en-US" w:eastAsia="zh-CN"/>
                    </w:rPr>
                    <w:t>1</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TSP</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每季监测1次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rPr>
                    <w:t>马鞍社区居民点</w:t>
                  </w:r>
                  <w:r>
                    <w:rPr>
                      <w:rFonts w:hint="eastAsia"/>
                      <w:sz w:val="21"/>
                      <w:szCs w:val="21"/>
                      <w:lang w:val="en-US" w:eastAsia="zh-CN"/>
                    </w:rPr>
                    <w:t>2</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TSP</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每季监测1次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rPr>
                    <w:t>马鞍社区居民点</w:t>
                  </w:r>
                  <w:r>
                    <w:rPr>
                      <w:rFonts w:hint="eastAsia"/>
                      <w:sz w:val="21"/>
                      <w:szCs w:val="21"/>
                      <w:lang w:val="en-US" w:eastAsia="zh-CN"/>
                    </w:rPr>
                    <w:t>3</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TSP</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rPr>
                  </w:pPr>
                  <w:r>
                    <w:rPr>
                      <w:rFonts w:hint="eastAsia"/>
                      <w:sz w:val="21"/>
                      <w:szCs w:val="21"/>
                    </w:rPr>
                    <w:t>每季监测1次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rPr>
                    <w:t>马鞍社区居民点</w:t>
                  </w:r>
                  <w:r>
                    <w:rPr>
                      <w:rFonts w:hint="eastAsia"/>
                      <w:sz w:val="21"/>
                      <w:szCs w:val="21"/>
                      <w:lang w:val="en-US" w:eastAsia="zh-CN"/>
                    </w:rPr>
                    <w:t>4</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TSP</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rPr>
                  </w:pPr>
                  <w:r>
                    <w:rPr>
                      <w:rFonts w:hint="eastAsia"/>
                      <w:sz w:val="21"/>
                      <w:szCs w:val="21"/>
                    </w:rPr>
                    <w:t>每季监测1次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高福社区居民点</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TSP</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每季监测1次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134"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噪声</w:t>
                  </w: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rPr>
                    <w:t>马鞍社区居民点</w:t>
                  </w:r>
                  <w:r>
                    <w:rPr>
                      <w:rFonts w:hint="eastAsia"/>
                      <w:sz w:val="21"/>
                      <w:szCs w:val="21"/>
                      <w:lang w:val="en-US" w:eastAsia="zh-CN"/>
                    </w:rPr>
                    <w:t>1</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LAeq</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每月监测1次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rPr>
                    <w:t>马鞍社区居民点</w:t>
                  </w:r>
                  <w:r>
                    <w:rPr>
                      <w:rFonts w:hint="eastAsia"/>
                      <w:sz w:val="21"/>
                      <w:szCs w:val="21"/>
                      <w:lang w:val="en-US" w:eastAsia="zh-CN"/>
                    </w:rPr>
                    <w:t>2</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LAeq</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每月监测1次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rPr>
                    <w:t>马鞍社区居民点</w:t>
                  </w:r>
                  <w:r>
                    <w:rPr>
                      <w:rFonts w:hint="eastAsia"/>
                      <w:sz w:val="21"/>
                      <w:szCs w:val="21"/>
                      <w:lang w:val="en-US" w:eastAsia="zh-CN"/>
                    </w:rPr>
                    <w:t>3</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LAeq</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rPr>
                  </w:pPr>
                  <w:r>
                    <w:rPr>
                      <w:rFonts w:hint="eastAsia"/>
                      <w:sz w:val="21"/>
                      <w:szCs w:val="21"/>
                    </w:rPr>
                    <w:t>每月监测1次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lang w:val="en-US" w:eastAsia="zh-CN"/>
                    </w:rPr>
                  </w:pPr>
                  <w:r>
                    <w:rPr>
                      <w:rFonts w:hint="eastAsia"/>
                      <w:sz w:val="21"/>
                      <w:szCs w:val="21"/>
                    </w:rPr>
                    <w:t>马鞍社区居民点</w:t>
                  </w:r>
                  <w:r>
                    <w:rPr>
                      <w:rFonts w:hint="eastAsia"/>
                      <w:sz w:val="21"/>
                      <w:szCs w:val="21"/>
                      <w:lang w:val="en-US" w:eastAsia="zh-CN"/>
                    </w:rPr>
                    <w:t>4</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LAeq</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z w:val="21"/>
                      <w:szCs w:val="21"/>
                    </w:rPr>
                  </w:pPr>
                  <w:r>
                    <w:rPr>
                      <w:rFonts w:hint="eastAsia"/>
                      <w:sz w:val="21"/>
                      <w:szCs w:val="21"/>
                    </w:rPr>
                    <w:t>每月监测1次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1134"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p>
              </w:tc>
              <w:tc>
                <w:tcPr>
                  <w:tcW w:w="21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高福社区居民点</w:t>
                  </w:r>
                </w:p>
              </w:tc>
              <w:tc>
                <w:tcPr>
                  <w:tcW w:w="235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sz w:val="21"/>
                      <w:szCs w:val="21"/>
                    </w:rPr>
                    <w:t>LAeq</w:t>
                  </w:r>
                </w:p>
              </w:tc>
              <w:tc>
                <w:tcPr>
                  <w:tcW w:w="226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rPr>
                  </w:pPr>
                  <w:r>
                    <w:rPr>
                      <w:rFonts w:hint="eastAsia"/>
                      <w:sz w:val="21"/>
                      <w:szCs w:val="21"/>
                    </w:rPr>
                    <w:t>每月监测1次</w:t>
                  </w:r>
                </w:p>
              </w:tc>
            </w:tr>
          </w:tbl>
          <w:p>
            <w:pPr>
              <w:ind w:firstLine="482" w:firstLineChars="200"/>
              <w:rPr>
                <w:sz w:val="24"/>
              </w:rPr>
            </w:pPr>
            <w:r>
              <w:rPr>
                <w:rFonts w:hint="eastAsia"/>
                <w:b/>
                <w:sz w:val="24"/>
              </w:rPr>
              <w:t>1</w:t>
            </w:r>
            <w:r>
              <w:rPr>
                <w:b/>
                <w:sz w:val="24"/>
              </w:rPr>
              <w:t>0、产业政策相符性、区域发展规划、选址相符性分析</w:t>
            </w:r>
          </w:p>
          <w:p>
            <w:pPr>
              <w:bidi w:val="0"/>
              <w:ind w:firstLine="480" w:firstLineChars="200"/>
              <w:rPr>
                <w:rFonts w:hint="eastAsia"/>
              </w:rPr>
            </w:pPr>
            <w:r>
              <w:rPr>
                <w:rFonts w:hint="eastAsia"/>
              </w:rPr>
              <w:t>拟建项目为城市次干路的建设，不属于《产业结构调整指导目录（201</w:t>
            </w:r>
            <w:r>
              <w:rPr>
                <w:rFonts w:hint="eastAsia"/>
                <w:lang w:val="en-US" w:eastAsia="zh-CN"/>
              </w:rPr>
              <w:t>9</w:t>
            </w:r>
            <w:r>
              <w:rPr>
                <w:rFonts w:hint="eastAsia"/>
              </w:rPr>
              <w:t>年本）》中的淘汰类和限制类，属于“鼓励类”第二十二大类中第三项 “城市公共交通建设”，符合相关产业政策的要求。同时，不违反《限制用地项目目录（2012 年本）》和《禁止用地项目目录（2012 年本）》。</w:t>
            </w:r>
          </w:p>
          <w:p>
            <w:pPr>
              <w:ind w:firstLine="480" w:firstLineChars="200"/>
              <w:rPr>
                <w:sz w:val="24"/>
              </w:rPr>
            </w:pPr>
            <w:r>
              <w:rPr>
                <w:rFonts w:hint="eastAsia"/>
                <w:sz w:val="24"/>
              </w:rPr>
              <w:t>本项目属于市政道路配套工程，根据《株洲云龙示范区</w:t>
            </w:r>
            <w:r>
              <w:rPr>
                <w:rFonts w:hint="eastAsia"/>
                <w:sz w:val="24"/>
                <w:lang w:eastAsia="zh-CN"/>
              </w:rPr>
              <w:t>马鞍</w:t>
            </w:r>
            <w:r>
              <w:rPr>
                <w:rFonts w:hint="eastAsia"/>
                <w:sz w:val="24"/>
              </w:rPr>
              <w:t>片区控制性详细规划》，本项目建设符合区域用地规划。本项目的建设加强了</w:t>
            </w:r>
            <w:r>
              <w:rPr>
                <w:rFonts w:hint="eastAsia"/>
                <w:u w:val="none"/>
                <w:lang w:eastAsia="zh-CN"/>
              </w:rPr>
              <w:t>云龙示范区</w:t>
            </w:r>
            <w:r>
              <w:rPr>
                <w:rFonts w:hint="eastAsia"/>
                <w:sz w:val="24"/>
              </w:rPr>
              <w:t>内的交通联系，其建设有利于完善</w:t>
            </w:r>
            <w:r>
              <w:rPr>
                <w:rFonts w:hint="eastAsia"/>
                <w:u w:val="none"/>
                <w:lang w:eastAsia="zh-CN"/>
              </w:rPr>
              <w:t>云龙示范区</w:t>
            </w:r>
            <w:r>
              <w:rPr>
                <w:rFonts w:hint="eastAsia"/>
                <w:sz w:val="24"/>
              </w:rPr>
              <w:t>的交通路网，并对沿线及周边地区的经济、社会发展产生积极影响。</w:t>
            </w:r>
            <w:r>
              <w:rPr>
                <w:sz w:val="24"/>
              </w:rPr>
              <w:t>本项目建设符合当地区域发展规划。</w:t>
            </w:r>
          </w:p>
          <w:p>
            <w:pPr>
              <w:ind w:firstLine="480" w:firstLineChars="200"/>
              <w:rPr>
                <w:sz w:val="24"/>
              </w:rPr>
            </w:pPr>
            <w:r>
              <w:rPr>
                <w:sz w:val="24"/>
              </w:rPr>
              <w:t>本项目用地不涉及基本农田保护区和水源保护区等禁止开发的区域，评价范围内无野生动植物保护物种或成片原生植被，不涉及自然保护区或风景名胜区；用地符合要求。本项目所需原材料均可就近购取，施工条件、基础设施方便。本项目建设</w:t>
            </w:r>
            <w:r>
              <w:rPr>
                <w:rFonts w:hint="eastAsia"/>
                <w:sz w:val="24"/>
              </w:rPr>
              <w:t>选址合理。</w:t>
            </w:r>
          </w:p>
          <w:p>
            <w:pPr>
              <w:ind w:firstLine="480" w:firstLineChars="200"/>
              <w:rPr>
                <w:sz w:val="24"/>
              </w:rPr>
            </w:pPr>
            <w:r>
              <w:rPr>
                <w:sz w:val="24"/>
              </w:rPr>
              <w:t>经环境影响分析，在落实环评提出措施的前提下，项目建设不会对外环境产生明显不利影响，因此项目在选址规划方面是合理可行的。</w:t>
            </w:r>
          </w:p>
          <w:p>
            <w:pPr>
              <w:ind w:firstLine="482" w:firstLineChars="200"/>
              <w:rPr>
                <w:b/>
                <w:sz w:val="24"/>
                <w:u w:val="single"/>
              </w:rPr>
            </w:pPr>
            <w:r>
              <w:rPr>
                <w:rFonts w:hint="eastAsia"/>
                <w:b/>
                <w:sz w:val="24"/>
                <w:u w:val="single"/>
              </w:rPr>
              <w:t>1</w:t>
            </w:r>
            <w:r>
              <w:rPr>
                <w:b/>
                <w:sz w:val="24"/>
                <w:u w:val="single"/>
              </w:rPr>
              <w:t>1、环保投资估算</w:t>
            </w:r>
          </w:p>
          <w:p>
            <w:pPr>
              <w:bidi w:val="0"/>
              <w:ind w:firstLine="480" w:firstLineChars="200"/>
              <w:rPr>
                <w:u w:val="single"/>
              </w:rPr>
            </w:pPr>
            <w:r>
              <w:rPr>
                <w:u w:val="single"/>
              </w:rPr>
              <w:t>本项目环保投资主要为施工期污染控制措施，具体见表</w:t>
            </w:r>
            <w:r>
              <w:rPr>
                <w:rFonts w:hint="eastAsia"/>
                <w:u w:val="single"/>
                <w:lang w:val="en-US" w:eastAsia="zh-CN"/>
              </w:rPr>
              <w:t>50</w:t>
            </w:r>
            <w:r>
              <w:rPr>
                <w:u w:val="single"/>
              </w:rPr>
              <w:t>。本项目</w:t>
            </w:r>
            <w:r>
              <w:rPr>
                <w:rFonts w:hint="eastAsia"/>
                <w:u w:val="single"/>
              </w:rPr>
              <w:t>总投资23989.3</w:t>
            </w:r>
            <w:r>
              <w:rPr>
                <w:rFonts w:hint="eastAsia"/>
                <w:u w:val="single"/>
                <w:lang w:val="en-US" w:eastAsia="zh-CN"/>
              </w:rPr>
              <w:t>8</w:t>
            </w:r>
            <w:r>
              <w:rPr>
                <w:rFonts w:hint="eastAsia"/>
                <w:u w:val="single"/>
              </w:rPr>
              <w:t>万元，</w:t>
            </w:r>
            <w:r>
              <w:rPr>
                <w:u w:val="single"/>
              </w:rPr>
              <w:t>环保投资</w:t>
            </w:r>
            <w:r>
              <w:rPr>
                <w:rFonts w:hint="eastAsia"/>
                <w:u w:val="single"/>
                <w:lang w:val="en-US" w:eastAsia="zh-CN"/>
              </w:rPr>
              <w:t>3831</w:t>
            </w:r>
            <w:r>
              <w:rPr>
                <w:u w:val="single"/>
              </w:rPr>
              <w:t>万元，占总投资的</w:t>
            </w:r>
            <w:r>
              <w:rPr>
                <w:rFonts w:hint="eastAsia"/>
                <w:u w:val="single"/>
                <w:lang w:val="en-US" w:eastAsia="zh-CN"/>
              </w:rPr>
              <w:t>15.97</w:t>
            </w:r>
            <w:r>
              <w:rPr>
                <w:u w:val="single"/>
              </w:rPr>
              <w:t>%。</w:t>
            </w:r>
          </w:p>
          <w:p>
            <w:pPr>
              <w:bidi w:val="0"/>
              <w:jc w:val="center"/>
              <w:rPr>
                <w:b/>
                <w:bCs/>
                <w:u w:val="single"/>
              </w:rPr>
            </w:pPr>
            <w:r>
              <w:rPr>
                <w:b/>
                <w:bCs/>
                <w:u w:val="single"/>
              </w:rPr>
              <w:t>表</w:t>
            </w:r>
            <w:r>
              <w:rPr>
                <w:rFonts w:hint="eastAsia"/>
                <w:b/>
                <w:bCs/>
                <w:u w:val="single"/>
                <w:lang w:val="en-US" w:eastAsia="zh-CN"/>
              </w:rPr>
              <w:t>50</w:t>
            </w:r>
            <w:r>
              <w:rPr>
                <w:b/>
                <w:bCs/>
                <w:u w:val="single"/>
              </w:rPr>
              <w:t xml:space="preserve"> 项目环保投资一览表</w:t>
            </w:r>
          </w:p>
          <w:tbl>
            <w:tblPr>
              <w:tblStyle w:val="34"/>
              <w:tblW w:w="8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367"/>
              <w:gridCol w:w="3515"/>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时期</w:t>
                  </w: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污染控制类型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控制措施</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施工期</w:t>
                  </w:r>
                </w:p>
              </w:tc>
              <w:tc>
                <w:tcPr>
                  <w:tcW w:w="236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废气防治工程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围栏、洒水</w:t>
                  </w:r>
                  <w:r>
                    <w:rPr>
                      <w:rFonts w:hint="eastAsia"/>
                      <w:sz w:val="21"/>
                      <w:szCs w:val="21"/>
                      <w:u w:val="single"/>
                    </w:rPr>
                    <w:t>、雾泡机、</w:t>
                  </w:r>
                  <w:r>
                    <w:rPr>
                      <w:rFonts w:hint="eastAsia"/>
                      <w:sz w:val="21"/>
                      <w:szCs w:val="21"/>
                      <w:u w:val="single"/>
                      <w:lang w:eastAsia="zh-CN"/>
                    </w:rPr>
                    <w:t>围挡喷雾装置、</w:t>
                  </w:r>
                  <w:r>
                    <w:rPr>
                      <w:rFonts w:hint="eastAsia"/>
                      <w:sz w:val="21"/>
                      <w:szCs w:val="21"/>
                      <w:u w:val="single"/>
                    </w:rPr>
                    <w:t>颗粒物在线监控装置</w:t>
                  </w:r>
                  <w:r>
                    <w:rPr>
                      <w:sz w:val="21"/>
                      <w:szCs w:val="21"/>
                      <w:u w:val="single"/>
                    </w:rPr>
                    <w:t>等</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洗车台及冲洗设备</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废水防治工程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隔油池、</w:t>
                  </w:r>
                  <w:r>
                    <w:rPr>
                      <w:sz w:val="21"/>
                      <w:szCs w:val="21"/>
                      <w:u w:val="single"/>
                    </w:rPr>
                    <w:t>沉淀池</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噪声防治工程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围挡</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固体废物处置工程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土石方运输</w:t>
                  </w:r>
                  <w:r>
                    <w:rPr>
                      <w:rFonts w:hint="eastAsia"/>
                      <w:sz w:val="21"/>
                      <w:szCs w:val="21"/>
                      <w:u w:val="single"/>
                    </w:rPr>
                    <w:t>、建筑垃圾</w:t>
                  </w:r>
                  <w:r>
                    <w:rPr>
                      <w:sz w:val="21"/>
                      <w:szCs w:val="21"/>
                      <w:u w:val="single"/>
                    </w:rPr>
                    <w:t>清运</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水土流失防治工程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临时排水沟、沉砂池</w:t>
                  </w:r>
                  <w:r>
                    <w:rPr>
                      <w:rFonts w:hint="eastAsia"/>
                      <w:sz w:val="21"/>
                      <w:szCs w:val="21"/>
                      <w:u w:val="single"/>
                    </w:rPr>
                    <w:t>等水保措施</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营运期</w:t>
                  </w: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大气防治工程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道路清洗、保湿</w:t>
                  </w:r>
                  <w:r>
                    <w:rPr>
                      <w:rFonts w:hint="eastAsia"/>
                      <w:sz w:val="21"/>
                      <w:szCs w:val="21"/>
                      <w:u w:val="single"/>
                    </w:rPr>
                    <w:t>降尘</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水污染防治工程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eastAsia="宋体"/>
                      <w:sz w:val="21"/>
                      <w:szCs w:val="21"/>
                      <w:u w:val="single"/>
                      <w:lang w:eastAsia="zh-CN"/>
                    </w:rPr>
                  </w:pPr>
                  <w:r>
                    <w:rPr>
                      <w:sz w:val="21"/>
                      <w:szCs w:val="21"/>
                      <w:u w:val="single"/>
                    </w:rPr>
                    <w:t>雨污水管网</w:t>
                  </w:r>
                  <w:r>
                    <w:rPr>
                      <w:rFonts w:hint="eastAsia"/>
                      <w:sz w:val="21"/>
                      <w:szCs w:val="21"/>
                      <w:u w:val="single"/>
                      <w:lang w:eastAsia="zh-CN"/>
                    </w:rPr>
                    <w:t>、</w:t>
                  </w:r>
                  <w:r>
                    <w:rPr>
                      <w:rFonts w:eastAsia="宋体"/>
                      <w:sz w:val="21"/>
                      <w:szCs w:val="21"/>
                      <w:u w:val="single"/>
                    </w:rPr>
                    <w:t>雨水井</w:t>
                  </w:r>
                  <w:r>
                    <w:rPr>
                      <w:rFonts w:hint="eastAsia"/>
                      <w:sz w:val="21"/>
                      <w:szCs w:val="21"/>
                      <w:u w:val="single"/>
                      <w:lang w:eastAsia="zh-CN"/>
                    </w:rPr>
                    <w:t>、雨污水检查井</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2090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临时工程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土地复垦、恢复</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噪声污染治理工程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路面养护、维护</w:t>
                  </w:r>
                  <w:r>
                    <w:rPr>
                      <w:rFonts w:hint="eastAsia"/>
                      <w:sz w:val="21"/>
                      <w:szCs w:val="21"/>
                      <w:u w:val="single"/>
                    </w:rPr>
                    <w:t>、</w:t>
                  </w:r>
                  <w:r>
                    <w:rPr>
                      <w:sz w:val="21"/>
                      <w:szCs w:val="21"/>
                      <w:u w:val="single"/>
                    </w:rPr>
                    <w:t>禁鸣标志牌等</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生态治理工程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绿化工程</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236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固体废物处置工程</w:t>
                  </w:r>
                </w:p>
              </w:tc>
              <w:tc>
                <w:tcPr>
                  <w:tcW w:w="351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垃圾桶</w:t>
                  </w:r>
                </w:p>
              </w:tc>
              <w:tc>
                <w:tcPr>
                  <w:tcW w:w="1945"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合计</w:t>
                  </w:r>
                </w:p>
              </w:tc>
              <w:tc>
                <w:tcPr>
                  <w:tcW w:w="7827" w:type="dxa"/>
                  <w:gridSpan w:val="3"/>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z w:val="21"/>
                      <w:szCs w:val="21"/>
                      <w:u w:val="single"/>
                      <w:lang w:val="en-US" w:eastAsia="zh-CN"/>
                    </w:rPr>
                  </w:pPr>
                  <w:r>
                    <w:rPr>
                      <w:rFonts w:hint="eastAsia"/>
                      <w:sz w:val="21"/>
                      <w:szCs w:val="21"/>
                      <w:u w:val="single"/>
                      <w:lang w:val="en-US" w:eastAsia="zh-CN"/>
                    </w:rPr>
                    <w:t>3831</w:t>
                  </w:r>
                </w:p>
              </w:tc>
            </w:tr>
          </w:tbl>
          <w:p>
            <w:pPr>
              <w:ind w:firstLine="482" w:firstLineChars="200"/>
              <w:rPr>
                <w:b/>
                <w:sz w:val="24"/>
                <w:szCs w:val="28"/>
              </w:rPr>
            </w:pPr>
            <w:r>
              <w:rPr>
                <w:rFonts w:hint="eastAsia"/>
                <w:b/>
                <w:sz w:val="24"/>
                <w:szCs w:val="28"/>
              </w:rPr>
              <w:t>12</w:t>
            </w:r>
            <w:r>
              <w:rPr>
                <w:b/>
                <w:sz w:val="24"/>
                <w:szCs w:val="28"/>
              </w:rPr>
              <w:t>、竣工环境保护验收</w:t>
            </w:r>
          </w:p>
          <w:p>
            <w:pPr>
              <w:ind w:firstLine="480" w:firstLineChars="200"/>
              <w:rPr>
                <w:sz w:val="24"/>
                <w:szCs w:val="20"/>
              </w:rPr>
            </w:pPr>
            <w:r>
              <w:rPr>
                <w:sz w:val="24"/>
                <w:szCs w:val="20"/>
              </w:rPr>
              <w:t>为指导建设单位加强项目的环境管理，使项目的环境保护工作落到实处，项目竣工环境保护验收的主要内容和管理目标见表</w:t>
            </w:r>
            <w:r>
              <w:rPr>
                <w:rFonts w:hint="eastAsia"/>
                <w:sz w:val="24"/>
                <w:szCs w:val="20"/>
                <w:lang w:val="en-US" w:eastAsia="zh-CN"/>
              </w:rPr>
              <w:t>51</w:t>
            </w:r>
            <w:r>
              <w:rPr>
                <w:sz w:val="24"/>
                <w:szCs w:val="20"/>
              </w:rPr>
              <w:t>。</w:t>
            </w:r>
          </w:p>
          <w:p>
            <w:pPr>
              <w:bidi w:val="0"/>
              <w:jc w:val="center"/>
              <w:rPr>
                <w:b/>
                <w:bCs/>
                <w:u w:val="single"/>
              </w:rPr>
            </w:pPr>
            <w:r>
              <w:rPr>
                <w:b/>
                <w:bCs/>
                <w:u w:val="single"/>
              </w:rPr>
              <w:t>表</w:t>
            </w:r>
            <w:r>
              <w:rPr>
                <w:rFonts w:hint="eastAsia"/>
                <w:b/>
                <w:bCs/>
                <w:u w:val="single"/>
                <w:lang w:val="en-US" w:eastAsia="zh-CN"/>
              </w:rPr>
              <w:t>51</w:t>
            </w:r>
            <w:r>
              <w:rPr>
                <w:b/>
                <w:bCs/>
                <w:u w:val="single"/>
              </w:rPr>
              <w:t xml:space="preserve">  项目竣工环境保护验收一览表</w:t>
            </w:r>
          </w:p>
          <w:tbl>
            <w:tblPr>
              <w:tblStyle w:val="34"/>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304"/>
              <w:gridCol w:w="3720"/>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0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工程阶段</w:t>
                  </w: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项目名称</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控制措施</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验收</w:t>
                  </w:r>
                  <w:r>
                    <w:rPr>
                      <w:sz w:val="21"/>
                      <w:szCs w:val="21"/>
                      <w:u w:val="single"/>
                    </w:rPr>
                    <w:t>内容及验收依据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107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施</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工</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期</w:t>
                  </w: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施工废气</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洗车</w:t>
                  </w:r>
                  <w:r>
                    <w:rPr>
                      <w:rFonts w:hint="eastAsia"/>
                      <w:sz w:val="21"/>
                      <w:szCs w:val="21"/>
                      <w:u w:val="single"/>
                    </w:rPr>
                    <w:t>台</w:t>
                  </w:r>
                  <w:r>
                    <w:rPr>
                      <w:sz w:val="21"/>
                      <w:szCs w:val="21"/>
                      <w:u w:val="single"/>
                    </w:rPr>
                    <w:t>及冲洗洒水设备</w:t>
                  </w:r>
                  <w:r>
                    <w:rPr>
                      <w:rFonts w:hint="eastAsia"/>
                      <w:sz w:val="21"/>
                      <w:szCs w:val="21"/>
                      <w:u w:val="single"/>
                    </w:rPr>
                    <w:t>；</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施工围挡；物料堆放场设置挡风墙；车辆采用篷覆式遮盖，设置围挡</w:t>
                  </w:r>
                  <w:r>
                    <w:rPr>
                      <w:rFonts w:hint="eastAsia"/>
                      <w:sz w:val="21"/>
                      <w:szCs w:val="21"/>
                      <w:u w:val="single"/>
                      <w:lang w:eastAsia="zh-CN"/>
                    </w:rPr>
                    <w:t>、围挡喷雾装置</w:t>
                  </w:r>
                  <w:r>
                    <w:rPr>
                      <w:rFonts w:hint="eastAsia"/>
                      <w:sz w:val="21"/>
                      <w:szCs w:val="21"/>
                      <w:u w:val="single"/>
                    </w:rPr>
                    <w:t>；主要运输路段和设置雾炮机，进行扬尘控制。同时要求施工期在建设工地安装颗粒物在线监测装置</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配套建设情况，车辆不带泥上路，并</w:t>
                  </w:r>
                  <w:r>
                    <w:rPr>
                      <w:rFonts w:hint="eastAsia"/>
                      <w:sz w:val="21"/>
                      <w:szCs w:val="21"/>
                      <w:u w:val="single"/>
                    </w:rPr>
                    <w:t>达到</w:t>
                  </w:r>
                  <w:r>
                    <w:rPr>
                      <w:sz w:val="21"/>
                      <w:szCs w:val="21"/>
                      <w:u w:val="single"/>
                    </w:rPr>
                    <w:t>GB16297-1996中的无组织排放监控浓度限值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施工废水</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施工废水经</w:t>
                  </w:r>
                  <w:r>
                    <w:rPr>
                      <w:rFonts w:hint="eastAsia"/>
                      <w:sz w:val="21"/>
                      <w:szCs w:val="21"/>
                      <w:u w:val="single"/>
                    </w:rPr>
                    <w:t>隔油</w:t>
                  </w:r>
                  <w:r>
                    <w:rPr>
                      <w:sz w:val="21"/>
                      <w:szCs w:val="21"/>
                      <w:u w:val="single"/>
                    </w:rPr>
                    <w:t>沉淀池处理，</w:t>
                  </w:r>
                  <w:r>
                    <w:rPr>
                      <w:rFonts w:hint="eastAsia"/>
                      <w:sz w:val="21"/>
                      <w:szCs w:val="21"/>
                      <w:u w:val="single"/>
                    </w:rPr>
                    <w:t>回用于场地内洒水抑尘</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污水执行（GB8978-</w:t>
                  </w:r>
                  <w:r>
                    <w:rPr>
                      <w:rFonts w:hint="eastAsia"/>
                      <w:sz w:val="21"/>
                      <w:szCs w:val="21"/>
                      <w:u w:val="single"/>
                    </w:rPr>
                    <w:t>19</w:t>
                  </w:r>
                  <w:r>
                    <w:rPr>
                      <w:sz w:val="21"/>
                      <w:szCs w:val="21"/>
                      <w:u w:val="single"/>
                    </w:rPr>
                    <w:t>96）</w:t>
                  </w:r>
                  <w:r>
                    <w:rPr>
                      <w:rFonts w:hint="eastAsia"/>
                      <w:sz w:val="21"/>
                      <w:szCs w:val="21"/>
                      <w:u w:val="single"/>
                    </w:rPr>
                    <w:t>一</w:t>
                  </w:r>
                  <w:r>
                    <w:rPr>
                      <w:sz w:val="21"/>
                      <w:szCs w:val="21"/>
                      <w:u w:val="single"/>
                    </w:rPr>
                    <w:t>级标准，并调查施工期对水环境的保护措施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107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施工噪声</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物料堆场周围设置临时围挡；机械设备噪声较大的设备尽量远离居民点；加强施工机械管理</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按照GB12523</w:t>
                  </w:r>
                  <w:r>
                    <w:rPr>
                      <w:rFonts w:hint="eastAsia"/>
                      <w:sz w:val="21"/>
                      <w:szCs w:val="21"/>
                      <w:u w:val="single"/>
                    </w:rPr>
                    <w:t>-</w:t>
                  </w:r>
                  <w:r>
                    <w:rPr>
                      <w:sz w:val="21"/>
                      <w:szCs w:val="21"/>
                      <w:u w:val="single"/>
                    </w:rPr>
                    <w:t>2011进行控制，防治噪声扰民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水土保持及生态保护</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裸土压实、边坡覆盖绿化、排水沟</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配套排水措施建设、边坡覆盖植被保护情况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6" w:hRule="atLeast"/>
                <w:jc w:val="center"/>
              </w:trPr>
              <w:tc>
                <w:tcPr>
                  <w:tcW w:w="107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施工固废</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表土暂存，作为后期绿化回填</w:t>
                  </w:r>
                  <w:r>
                    <w:rPr>
                      <w:rFonts w:hint="eastAsia"/>
                      <w:sz w:val="21"/>
                      <w:szCs w:val="21"/>
                      <w:u w:val="single"/>
                    </w:rPr>
                    <w:t>；建筑垃圾应与具有相关资质的渣土处置公司签订渣土处置协议，统一清运</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是否合理处置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10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其他</w:t>
                  </w:r>
                </w:p>
              </w:tc>
              <w:tc>
                <w:tcPr>
                  <w:tcW w:w="664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环保机构设置和人员配备安排到位，施工期环境监理、监测工作已按环评要求及时完成，施工过程发现文物需立即向相关主管部门报告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运</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营</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期</w:t>
                  </w: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交通噪声</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加强道路两侧绿化建设，</w:t>
                  </w:r>
                  <w:r>
                    <w:rPr>
                      <w:sz w:val="21"/>
                      <w:szCs w:val="21"/>
                      <w:u w:val="single"/>
                    </w:rPr>
                    <w:t>并设置</w:t>
                  </w:r>
                  <w:r>
                    <w:rPr>
                      <w:rFonts w:hint="eastAsia"/>
                      <w:sz w:val="21"/>
                      <w:szCs w:val="21"/>
                      <w:u w:val="single"/>
                    </w:rPr>
                    <w:t>限速</w:t>
                  </w:r>
                  <w:r>
                    <w:rPr>
                      <w:sz w:val="21"/>
                      <w:szCs w:val="21"/>
                      <w:u w:val="single"/>
                    </w:rPr>
                    <w:t>标志</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rFonts w:hint="eastAsia"/>
                      <w:sz w:val="21"/>
                      <w:szCs w:val="21"/>
                      <w:u w:val="single"/>
                    </w:rPr>
                    <w:t>满足所在功能区噪声标准要求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临时占地</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土地复垦、恢复</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临时场地是否撤除，植被是否恢复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固体废物</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设置垃圾桶若干</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达到环保要求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13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道路扬尘及尾气</w:t>
                  </w:r>
                </w:p>
              </w:tc>
              <w:tc>
                <w:tcPr>
                  <w:tcW w:w="3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道路清洁、保湿</w:t>
                  </w:r>
                </w:p>
              </w:tc>
              <w:tc>
                <w:tcPr>
                  <w:tcW w:w="2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达到环保要求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p>
              </w:tc>
              <w:tc>
                <w:tcPr>
                  <w:tcW w:w="130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生态治理</w:t>
                  </w:r>
                </w:p>
              </w:tc>
              <w:tc>
                <w:tcPr>
                  <w:tcW w:w="372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绿化</w:t>
                  </w:r>
                </w:p>
              </w:tc>
              <w:tc>
                <w:tcPr>
                  <w:tcW w:w="292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1"/>
                      <w:szCs w:val="21"/>
                      <w:u w:val="single"/>
                    </w:rPr>
                  </w:pPr>
                  <w:r>
                    <w:rPr>
                      <w:sz w:val="21"/>
                      <w:szCs w:val="21"/>
                      <w:u w:val="single"/>
                    </w:rPr>
                    <w:t>达到环保要求</w:t>
                  </w:r>
                </w:p>
              </w:tc>
            </w:tr>
          </w:tbl>
          <w:p>
            <w:pPr>
              <w:jc w:val="both"/>
              <w:rPr>
                <w:rFonts w:cs="宋体"/>
                <w:highlight w:val="yellow"/>
              </w:rPr>
            </w:pPr>
          </w:p>
        </w:tc>
      </w:tr>
    </w:tbl>
    <w:p>
      <w:pPr>
        <w:jc w:val="left"/>
        <w:outlineLvl w:val="0"/>
        <w:rPr>
          <w:rFonts w:cs="宋体"/>
          <w:b/>
          <w:bCs/>
          <w:sz w:val="28"/>
        </w:rPr>
      </w:pPr>
      <w:r>
        <w:rPr>
          <w:rFonts w:hint="eastAsia" w:cs="宋体"/>
          <w:b/>
          <w:bCs/>
          <w:sz w:val="28"/>
        </w:rPr>
        <w:t>建设项目拟采取的防治措施及预期治理效果</w:t>
      </w:r>
    </w:p>
    <w:tbl>
      <w:tblPr>
        <w:tblStyle w:val="34"/>
        <w:tblW w:w="91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791"/>
        <w:gridCol w:w="918"/>
        <w:gridCol w:w="1184"/>
        <w:gridCol w:w="164"/>
        <w:gridCol w:w="1686"/>
        <w:gridCol w:w="2733"/>
        <w:gridCol w:w="16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774" w:hRule="atLeast"/>
          <w:jc w:val="center"/>
        </w:trPr>
        <w:tc>
          <w:tcPr>
            <w:tcW w:w="791" w:type="dxa"/>
            <w:tcBorders>
              <w:tl2br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宋体"/>
                <w:b/>
                <w:bCs/>
                <w:kern w:val="24"/>
                <w:sz w:val="24"/>
              </w:rPr>
            </w:pPr>
            <w:r>
              <w:rPr>
                <w:rFonts w:hint="eastAsia" w:cs="宋体"/>
                <w:b/>
                <w:bCs/>
                <w:sz w:val="24"/>
              </w:rPr>
              <w:t>内容</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宋体"/>
                <w:b/>
                <w:bCs/>
                <w:kern w:val="24"/>
                <w:sz w:val="24"/>
              </w:rPr>
            </w:pPr>
            <w:r>
              <w:rPr>
                <w:rFonts w:hint="eastAsia" w:cs="宋体"/>
                <w:b/>
                <w:bCs/>
                <w:sz w:val="24"/>
              </w:rPr>
              <w:t>类型</w:t>
            </w:r>
          </w:p>
        </w:tc>
        <w:tc>
          <w:tcPr>
            <w:tcW w:w="2102"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宋体"/>
                <w:b/>
                <w:bCs/>
                <w:kern w:val="24"/>
                <w:sz w:val="24"/>
              </w:rPr>
            </w:pPr>
            <w:r>
              <w:rPr>
                <w:rFonts w:hint="eastAsia" w:cs="宋体"/>
                <w:b/>
                <w:bCs/>
                <w:sz w:val="24"/>
              </w:rPr>
              <w:t>排放源（编号）</w:t>
            </w: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宋体"/>
                <w:b/>
                <w:bCs/>
                <w:sz w:val="24"/>
              </w:rPr>
            </w:pPr>
            <w:r>
              <w:rPr>
                <w:rFonts w:hint="eastAsia" w:cs="宋体"/>
                <w:b/>
                <w:bCs/>
                <w:sz w:val="24"/>
              </w:rPr>
              <w:t>污染物</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宋体"/>
                <w:b/>
                <w:bCs/>
                <w:kern w:val="24"/>
                <w:sz w:val="24"/>
              </w:rPr>
            </w:pPr>
            <w:r>
              <w:rPr>
                <w:rFonts w:hint="eastAsia" w:cs="宋体"/>
                <w:b/>
                <w:bCs/>
                <w:sz w:val="24"/>
              </w:rPr>
              <w:t>名称</w:t>
            </w:r>
          </w:p>
        </w:tc>
        <w:tc>
          <w:tcPr>
            <w:tcW w:w="27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宋体"/>
                <w:b/>
                <w:bCs/>
                <w:kern w:val="24"/>
                <w:sz w:val="24"/>
              </w:rPr>
            </w:pPr>
            <w:r>
              <w:rPr>
                <w:rFonts w:hint="eastAsia" w:cs="宋体"/>
                <w:b/>
                <w:bCs/>
                <w:sz w:val="24"/>
              </w:rPr>
              <w:t>防治措施</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cs="宋体"/>
                <w:b/>
                <w:bCs/>
                <w:kern w:val="24"/>
                <w:sz w:val="24"/>
              </w:rPr>
            </w:pPr>
            <w:r>
              <w:rPr>
                <w:rFonts w:hint="eastAsia" w:cs="宋体"/>
                <w:b/>
                <w:bCs/>
                <w:sz w:val="24"/>
              </w:rPr>
              <w:t>预期治理效果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9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大</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气</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污</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染</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kern w:val="24"/>
                <w:sz w:val="24"/>
              </w:rPr>
            </w:pPr>
            <w:r>
              <w:rPr>
                <w:b/>
                <w:bCs/>
                <w:sz w:val="24"/>
              </w:rPr>
              <w:t>物</w:t>
            </w:r>
          </w:p>
        </w:tc>
        <w:tc>
          <w:tcPr>
            <w:tcW w:w="918"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施工期</w:t>
            </w:r>
          </w:p>
        </w:tc>
        <w:tc>
          <w:tcPr>
            <w:tcW w:w="118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施工扬尘</w:t>
            </w: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扬尘</w:t>
            </w:r>
          </w:p>
        </w:tc>
        <w:tc>
          <w:tcPr>
            <w:tcW w:w="2733"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加强施工场地洒水；粉状物料防风遮盖</w:t>
            </w:r>
          </w:p>
        </w:tc>
        <w:tc>
          <w:tcPr>
            <w:tcW w:w="1652"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p>
        </w:tc>
        <w:tc>
          <w:tcPr>
            <w:tcW w:w="918"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18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沥青烟气</w:t>
            </w: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THC、CO、NO</w:t>
            </w:r>
            <w:r>
              <w:rPr>
                <w:sz w:val="24"/>
                <w:vertAlign w:val="subscript"/>
              </w:rPr>
              <w:t>X</w:t>
            </w:r>
          </w:p>
        </w:tc>
        <w:tc>
          <w:tcPr>
            <w:tcW w:w="2733"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施工人员口罩防护</w:t>
            </w:r>
          </w:p>
        </w:tc>
        <w:tc>
          <w:tcPr>
            <w:tcW w:w="1652"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影响较小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340"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p>
        </w:tc>
        <w:tc>
          <w:tcPr>
            <w:tcW w:w="918"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18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机械尾气</w:t>
            </w: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4"/>
                <w:lang w:eastAsia="zh-CN"/>
              </w:rPr>
            </w:pPr>
            <w:r>
              <w:rPr>
                <w:sz w:val="24"/>
              </w:rPr>
              <w:t>HC、CO、NO</w:t>
            </w:r>
            <w:r>
              <w:rPr>
                <w:rFonts w:hint="eastAsia"/>
                <w:sz w:val="24"/>
                <w:vertAlign w:val="subscript"/>
                <w:lang w:val="en-US" w:eastAsia="zh-CN"/>
              </w:rPr>
              <w:t>X</w:t>
            </w:r>
          </w:p>
        </w:tc>
        <w:tc>
          <w:tcPr>
            <w:tcW w:w="2733"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加强施工机械管理</w:t>
            </w:r>
          </w:p>
        </w:tc>
        <w:tc>
          <w:tcPr>
            <w:tcW w:w="1652" w:type="dxa"/>
            <w:tcBorders>
              <w:bottom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72"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p>
        </w:tc>
        <w:tc>
          <w:tcPr>
            <w:tcW w:w="918"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运营期</w:t>
            </w:r>
          </w:p>
        </w:tc>
        <w:tc>
          <w:tcPr>
            <w:tcW w:w="1184"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道路扬尘</w:t>
            </w: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扬尘</w:t>
            </w:r>
          </w:p>
        </w:tc>
        <w:tc>
          <w:tcPr>
            <w:tcW w:w="2733"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加强交通维护管理和道路绿化</w:t>
            </w:r>
          </w:p>
        </w:tc>
        <w:tc>
          <w:tcPr>
            <w:tcW w:w="165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140"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p>
        </w:tc>
        <w:tc>
          <w:tcPr>
            <w:tcW w:w="918"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18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汽车尾气</w:t>
            </w: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rFonts w:hint="eastAsia"/>
                <w:sz w:val="24"/>
              </w:rPr>
              <w:t>CO</w:t>
            </w:r>
          </w:p>
        </w:tc>
        <w:tc>
          <w:tcPr>
            <w:tcW w:w="273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65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140"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p>
        </w:tc>
        <w:tc>
          <w:tcPr>
            <w:tcW w:w="918"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p>
        </w:tc>
        <w:tc>
          <w:tcPr>
            <w:tcW w:w="118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pP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THC</w:t>
            </w:r>
          </w:p>
        </w:tc>
        <w:tc>
          <w:tcPr>
            <w:tcW w:w="273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65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140"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918"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18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4"/>
                <w:lang w:eastAsia="zh-CN"/>
              </w:rPr>
            </w:pPr>
            <w:r>
              <w:rPr>
                <w:sz w:val="24"/>
              </w:rPr>
              <w:t>NO</w:t>
            </w:r>
            <w:r>
              <w:rPr>
                <w:rFonts w:hint="eastAsia"/>
                <w:sz w:val="24"/>
                <w:vertAlign w:val="subscript"/>
                <w:lang w:val="en-US" w:eastAsia="zh-CN"/>
              </w:rPr>
              <w:t>X</w:t>
            </w:r>
          </w:p>
        </w:tc>
        <w:tc>
          <w:tcPr>
            <w:tcW w:w="273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65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540" w:hRule="atLeast"/>
          <w:jc w:val="center"/>
        </w:trPr>
        <w:tc>
          <w:tcPr>
            <w:tcW w:w="79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污</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染</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物</w:t>
            </w:r>
          </w:p>
        </w:tc>
        <w:tc>
          <w:tcPr>
            <w:tcW w:w="918"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施工期</w:t>
            </w:r>
          </w:p>
        </w:tc>
        <w:tc>
          <w:tcPr>
            <w:tcW w:w="118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施工废水</w:t>
            </w: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COD</w:t>
            </w:r>
          </w:p>
        </w:tc>
        <w:tc>
          <w:tcPr>
            <w:tcW w:w="2733"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施工废水经</w:t>
            </w:r>
            <w:r>
              <w:rPr>
                <w:rFonts w:hint="eastAsia"/>
                <w:sz w:val="24"/>
                <w:lang w:eastAsia="zh-CN"/>
              </w:rPr>
              <w:t>隔油</w:t>
            </w:r>
            <w:r>
              <w:rPr>
                <w:sz w:val="24"/>
              </w:rPr>
              <w:t>沉淀处理后，用于施工场地洒水抑尘</w:t>
            </w:r>
          </w:p>
        </w:tc>
        <w:tc>
          <w:tcPr>
            <w:tcW w:w="165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sz w:val="24"/>
                <w:szCs w:val="24"/>
              </w:rPr>
              <w:t>综合利用，不外排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11"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918"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18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SS</w:t>
            </w:r>
          </w:p>
        </w:tc>
        <w:tc>
          <w:tcPr>
            <w:tcW w:w="273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65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547"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918" w:type="dxa"/>
            <w:vMerge w:val="continue"/>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184" w:type="dxa"/>
            <w:vMerge w:val="continue"/>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85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石油类</w:t>
            </w:r>
          </w:p>
        </w:tc>
        <w:tc>
          <w:tcPr>
            <w:tcW w:w="273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165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25" w:hRule="atLeast"/>
          <w:jc w:val="center"/>
        </w:trPr>
        <w:tc>
          <w:tcPr>
            <w:tcW w:w="79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废</w:t>
            </w:r>
          </w:p>
        </w:tc>
        <w:tc>
          <w:tcPr>
            <w:tcW w:w="918"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施工期</w:t>
            </w:r>
          </w:p>
        </w:tc>
        <w:tc>
          <w:tcPr>
            <w:tcW w:w="3034"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rFonts w:hint="eastAsia"/>
                <w:sz w:val="24"/>
              </w:rPr>
              <w:t>表土</w:t>
            </w:r>
          </w:p>
        </w:tc>
        <w:tc>
          <w:tcPr>
            <w:tcW w:w="27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rFonts w:hint="eastAsia"/>
                <w:sz w:val="24"/>
              </w:rPr>
              <w:t>作为后期绿化回填</w:t>
            </w:r>
          </w:p>
        </w:tc>
        <w:tc>
          <w:tcPr>
            <w:tcW w:w="165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合理处置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590"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p>
        </w:tc>
        <w:tc>
          <w:tcPr>
            <w:tcW w:w="918"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c>
          <w:tcPr>
            <w:tcW w:w="3034"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rFonts w:hint="eastAsia"/>
                <w:sz w:val="24"/>
              </w:rPr>
              <w:t>建筑垃圾</w:t>
            </w:r>
          </w:p>
        </w:tc>
        <w:tc>
          <w:tcPr>
            <w:tcW w:w="27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rFonts w:hint="eastAsia"/>
                <w:sz w:val="24"/>
              </w:rPr>
              <w:t>应与具有相关资质的渣土处置公司签订渣土处置协议，统一清运。</w:t>
            </w:r>
          </w:p>
        </w:tc>
        <w:tc>
          <w:tcPr>
            <w:tcW w:w="165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391"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p>
        </w:tc>
        <w:tc>
          <w:tcPr>
            <w:tcW w:w="918" w:type="dxa"/>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运营期</w:t>
            </w:r>
          </w:p>
        </w:tc>
        <w:tc>
          <w:tcPr>
            <w:tcW w:w="3034"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生活垃圾</w:t>
            </w:r>
          </w:p>
        </w:tc>
        <w:tc>
          <w:tcPr>
            <w:tcW w:w="27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交由环卫部门处理</w:t>
            </w:r>
          </w:p>
        </w:tc>
        <w:tc>
          <w:tcPr>
            <w:tcW w:w="165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13"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highlight w:val="yellow"/>
              </w:rPr>
            </w:pPr>
          </w:p>
        </w:tc>
        <w:tc>
          <w:tcPr>
            <w:tcW w:w="918" w:type="dxa"/>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highlight w:val="yellow"/>
              </w:rPr>
            </w:pPr>
          </w:p>
        </w:tc>
        <w:tc>
          <w:tcPr>
            <w:tcW w:w="3034"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筑路物料</w:t>
            </w:r>
          </w:p>
        </w:tc>
        <w:tc>
          <w:tcPr>
            <w:tcW w:w="27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垃圾填埋场处置</w:t>
            </w:r>
          </w:p>
        </w:tc>
        <w:tc>
          <w:tcPr>
            <w:tcW w:w="165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69" w:hRule="atLeast"/>
          <w:jc w:val="center"/>
        </w:trPr>
        <w:tc>
          <w:tcPr>
            <w:tcW w:w="791"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噪</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声</w:t>
            </w:r>
          </w:p>
        </w:tc>
        <w:tc>
          <w:tcPr>
            <w:tcW w:w="918"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施工期</w:t>
            </w:r>
          </w:p>
        </w:tc>
        <w:tc>
          <w:tcPr>
            <w:tcW w:w="1348"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施工机械</w:t>
            </w:r>
          </w:p>
        </w:tc>
        <w:tc>
          <w:tcPr>
            <w:tcW w:w="16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Leq</w:t>
            </w:r>
          </w:p>
        </w:tc>
        <w:tc>
          <w:tcPr>
            <w:tcW w:w="27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选用低噪声设备，合理安排施工时间，夜间禁止高噪声作业</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469" w:hRule="atLeast"/>
          <w:jc w:val="center"/>
        </w:trPr>
        <w:tc>
          <w:tcPr>
            <w:tcW w:w="791"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p>
        </w:tc>
        <w:tc>
          <w:tcPr>
            <w:tcW w:w="918"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运营期</w:t>
            </w:r>
          </w:p>
        </w:tc>
        <w:tc>
          <w:tcPr>
            <w:tcW w:w="1348"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行驶车辆</w:t>
            </w:r>
          </w:p>
        </w:tc>
        <w:tc>
          <w:tcPr>
            <w:tcW w:w="16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Leq</w:t>
            </w:r>
          </w:p>
        </w:tc>
        <w:tc>
          <w:tcPr>
            <w:tcW w:w="27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加强路面维护及道路绿化</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397" w:hRule="atLeast"/>
          <w:jc w:val="center"/>
        </w:trPr>
        <w:tc>
          <w:tcPr>
            <w:tcW w:w="7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其</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sz w:val="24"/>
              </w:rPr>
            </w:pPr>
            <w:r>
              <w:rPr>
                <w:b/>
                <w:bCs/>
                <w:sz w:val="24"/>
              </w:rPr>
              <w:t>他</w:t>
            </w:r>
          </w:p>
        </w:tc>
        <w:tc>
          <w:tcPr>
            <w:tcW w:w="8337"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rPr>
            </w:pPr>
            <w:r>
              <w:rPr>
                <w:sz w:val="24"/>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jc w:val="center"/>
        </w:trPr>
        <w:tc>
          <w:tcPr>
            <w:tcW w:w="9128" w:type="dxa"/>
            <w:gridSpan w:val="7"/>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b/>
                <w:bCs/>
                <w:kern w:val="24"/>
                <w:sz w:val="24"/>
              </w:rPr>
            </w:pPr>
            <w:r>
              <w:rPr>
                <w:b/>
                <w:bCs/>
                <w:sz w:val="24"/>
              </w:rPr>
              <w:t>主要生态影响：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pPr>
            <w:r>
              <w:t>采取围挡施工，在建设区周边开挖排水沟，避免水土流失。土方施工应采取边挖、边运、边填的方式，避免大量松散土存在而造成严重的土壤侵蚀流失。在施工完成后尽快对建设区进行环境绿化工程等建设，使场地土面及时得到绿化覆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pPr>
          </w:p>
        </w:tc>
      </w:tr>
    </w:tbl>
    <w:p>
      <w:pPr>
        <w:jc w:val="left"/>
        <w:rPr>
          <w:rFonts w:cs="宋体"/>
          <w:b/>
          <w:bCs/>
          <w:sz w:val="28"/>
        </w:rPr>
      </w:pPr>
      <w:r>
        <w:rPr>
          <w:rFonts w:hint="eastAsia" w:cs="宋体"/>
          <w:b/>
          <w:bCs/>
          <w:sz w:val="28"/>
        </w:rPr>
        <w:t>结论与建议</w:t>
      </w:r>
    </w:p>
    <w:tbl>
      <w:tblPr>
        <w:tblStyle w:val="34"/>
        <w:tblW w:w="9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112" w:type="dxa"/>
          </w:tcPr>
          <w:p>
            <w:pPr>
              <w:ind w:firstLine="482" w:firstLineChars="200"/>
              <w:rPr>
                <w:b/>
                <w:bCs/>
                <w:sz w:val="24"/>
              </w:rPr>
            </w:pPr>
            <w:r>
              <w:rPr>
                <w:b/>
                <w:bCs/>
                <w:sz w:val="24"/>
              </w:rPr>
              <w:t>1、结论</w:t>
            </w:r>
          </w:p>
          <w:p>
            <w:pPr>
              <w:ind w:firstLine="482" w:firstLineChars="200"/>
              <w:jc w:val="left"/>
              <w:rPr>
                <w:b/>
                <w:bCs/>
                <w:sz w:val="24"/>
              </w:rPr>
            </w:pPr>
            <w:r>
              <w:rPr>
                <w:b/>
                <w:bCs/>
                <w:sz w:val="24"/>
              </w:rPr>
              <w:t>1.1建设项目概况</w:t>
            </w:r>
          </w:p>
          <w:p>
            <w:pPr>
              <w:ind w:firstLine="480" w:firstLineChars="200"/>
              <w:rPr>
                <w:rFonts w:hint="eastAsia"/>
                <w:sz w:val="24"/>
              </w:rPr>
            </w:pPr>
            <w:r>
              <w:rPr>
                <w:rFonts w:hint="eastAsia"/>
                <w:sz w:val="24"/>
              </w:rPr>
              <w:t>本项目道路共包括马鞍路（百合路-桃园路）、桃园路（马鞍路-纬四路）、纬四路（百合路-桃园路））、百合路（马鞍路-云龙大道）及百合路（云峰大道-马鞍路），其中：</w:t>
            </w:r>
          </w:p>
          <w:p>
            <w:pPr>
              <w:ind w:firstLine="480" w:firstLineChars="200"/>
              <w:rPr>
                <w:rFonts w:hint="eastAsia"/>
                <w:sz w:val="24"/>
              </w:rPr>
            </w:pPr>
            <w:r>
              <w:rPr>
                <w:rFonts w:hint="eastAsia"/>
                <w:sz w:val="24"/>
              </w:rPr>
              <w:t>（1）马鞍路总用地面积23.60亩，起于学百合路，止于桃园路，道路设计长度0.35km，道路规划路幅24m，设计双向四车道，设计车速为40km/h。</w:t>
            </w:r>
          </w:p>
          <w:p>
            <w:pPr>
              <w:ind w:firstLine="480" w:firstLineChars="200"/>
              <w:rPr>
                <w:rFonts w:hint="eastAsia"/>
                <w:sz w:val="24"/>
              </w:rPr>
            </w:pPr>
            <w:r>
              <w:rPr>
                <w:rFonts w:hint="eastAsia"/>
                <w:sz w:val="24"/>
              </w:rPr>
              <w:t>（2）桃园路总用地面积54.10亩，起于马鞍路，止于纬四路，道路设计长度0.57km，规划路幅宽度40m，设计双向六车道，设计车速为50km/h。</w:t>
            </w:r>
          </w:p>
          <w:p>
            <w:pPr>
              <w:ind w:firstLine="480" w:firstLineChars="200"/>
              <w:rPr>
                <w:rFonts w:hint="eastAsia"/>
                <w:sz w:val="24"/>
              </w:rPr>
            </w:pPr>
            <w:r>
              <w:rPr>
                <w:rFonts w:hint="eastAsia"/>
                <w:sz w:val="24"/>
              </w:rPr>
              <w:t>（3）纬四路总用地面积18.80亩，起于百合路，止于桃园路，道路设计长度0.38km，规划路幅宽度13m，设计双向两车道，设计车速为30km/h。</w:t>
            </w:r>
          </w:p>
          <w:p>
            <w:pPr>
              <w:ind w:firstLine="480" w:firstLineChars="200"/>
              <w:rPr>
                <w:rFonts w:hint="eastAsia"/>
                <w:sz w:val="24"/>
              </w:rPr>
            </w:pPr>
            <w:r>
              <w:rPr>
                <w:rFonts w:hint="eastAsia"/>
                <w:sz w:val="24"/>
              </w:rPr>
              <w:t>（4）百合路分两期建设，其中一期工程百合路（马鞍路-云龙大道）总用地面积19.90亩，起于马鞍路，止于纬四路，道路设计长度0.47km，规划路幅宽度24m，设计双向四车道，设计车速为40km/h；二期工程百合路（云峰大道-马鞍路）总用地面30.30亩，起于云峰大道，止于马鞍路，道路设计长度0.77km，规划路幅宽度24m，设计双向四车道，设计车速为40km/h。</w:t>
            </w:r>
          </w:p>
          <w:p>
            <w:pPr>
              <w:ind w:firstLine="480" w:firstLineChars="200"/>
              <w:jc w:val="left"/>
              <w:rPr>
                <w:sz w:val="24"/>
              </w:rPr>
            </w:pPr>
            <w:r>
              <w:rPr>
                <w:rFonts w:hint="eastAsia"/>
                <w:sz w:val="24"/>
              </w:rPr>
              <w:t>建设内容包括道路工程、排水工程、管线综合工程、景观工程、照明工程及交通附属工程等。</w:t>
            </w:r>
            <w:r>
              <w:rPr>
                <w:rFonts w:hint="eastAsia"/>
                <w:color w:val="000000" w:themeColor="text1"/>
                <w:sz w:val="24"/>
                <w14:textFill>
                  <w14:solidFill>
                    <w14:schemeClr w14:val="tx1"/>
                  </w14:solidFill>
                </w14:textFill>
              </w:rPr>
              <w:t>根据建设单位的安排，建设工期为</w:t>
            </w:r>
            <w:r>
              <w:rPr>
                <w:rFonts w:hint="eastAsia"/>
                <w:color w:val="000000" w:themeColor="text1"/>
                <w:sz w:val="24"/>
                <w:lang w:val="en-US" w:eastAsia="zh-CN"/>
                <w14:textFill>
                  <w14:solidFill>
                    <w14:schemeClr w14:val="tx1"/>
                  </w14:solidFill>
                </w14:textFill>
              </w:rPr>
              <w:t>28个月</w:t>
            </w:r>
            <w:r>
              <w:rPr>
                <w:rFonts w:hint="eastAsia"/>
                <w:color w:val="000000" w:themeColor="text1"/>
                <w:sz w:val="24"/>
                <w14:textFill>
                  <w14:solidFill>
                    <w14:schemeClr w14:val="tx1"/>
                  </w14:solidFill>
                </w14:textFill>
              </w:rPr>
              <w:t>，项目拟从</w:t>
            </w:r>
            <w:r>
              <w:rPr>
                <w:color w:val="000000" w:themeColor="text1"/>
                <w:sz w:val="24"/>
                <w14:textFill>
                  <w14:solidFill>
                    <w14:schemeClr w14:val="tx1"/>
                  </w14:solidFill>
                </w14:textFill>
              </w:rPr>
              <w:t>2020</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10</w:t>
            </w:r>
            <w:r>
              <w:rPr>
                <w:rFonts w:hint="eastAsia"/>
                <w:color w:val="000000" w:themeColor="text1"/>
                <w:sz w:val="24"/>
                <w14:textFill>
                  <w14:solidFill>
                    <w14:schemeClr w14:val="tx1"/>
                  </w14:solidFill>
                </w14:textFill>
              </w:rPr>
              <w:t>月初开始，到</w:t>
            </w:r>
            <w:r>
              <w:rPr>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月竣工。</w:t>
            </w:r>
          </w:p>
          <w:p>
            <w:pPr>
              <w:ind w:firstLine="482" w:firstLineChars="200"/>
              <w:jc w:val="left"/>
              <w:rPr>
                <w:b/>
                <w:sz w:val="24"/>
              </w:rPr>
            </w:pPr>
            <w:r>
              <w:rPr>
                <w:b/>
                <w:sz w:val="24"/>
              </w:rPr>
              <w:t>1.2</w:t>
            </w:r>
            <w:r>
              <w:rPr>
                <w:b/>
                <w:sz w:val="24"/>
                <w:highlight w:val="none"/>
              </w:rPr>
              <w:t>区域环境现状</w:t>
            </w:r>
          </w:p>
          <w:p>
            <w:pPr>
              <w:numPr>
                <w:ilvl w:val="0"/>
                <w:numId w:val="0"/>
              </w:numPr>
              <w:ind w:firstLine="480" w:firstLineChars="200"/>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大气环境现状：</w:t>
            </w:r>
            <w:r>
              <w:rPr>
                <w:rFonts w:hint="eastAsia"/>
                <w:sz w:val="24"/>
              </w:rPr>
              <w:t>区域监测点位——株冶医院测点污染物SO</w:t>
            </w:r>
            <w:r>
              <w:rPr>
                <w:rFonts w:hint="eastAsia"/>
                <w:sz w:val="24"/>
                <w:vertAlign w:val="subscript"/>
              </w:rPr>
              <w:t>2</w:t>
            </w:r>
            <w:r>
              <w:rPr>
                <w:rFonts w:hint="eastAsia"/>
                <w:sz w:val="24"/>
              </w:rPr>
              <w:t>、NO</w:t>
            </w:r>
            <w:r>
              <w:rPr>
                <w:rFonts w:hint="eastAsia"/>
                <w:sz w:val="24"/>
                <w:vertAlign w:val="subscript"/>
              </w:rPr>
              <w:t>2</w:t>
            </w:r>
            <w:r>
              <w:rPr>
                <w:rFonts w:hint="eastAsia"/>
                <w:sz w:val="24"/>
              </w:rPr>
              <w:t>、PM</w:t>
            </w:r>
            <w:r>
              <w:rPr>
                <w:rFonts w:hint="eastAsia"/>
                <w:sz w:val="24"/>
                <w:vertAlign w:val="subscript"/>
              </w:rPr>
              <w:t>10</w:t>
            </w:r>
            <w:r>
              <w:rPr>
                <w:rFonts w:hint="eastAsia"/>
                <w:sz w:val="24"/>
              </w:rPr>
              <w:t>、PM</w:t>
            </w:r>
            <w:r>
              <w:rPr>
                <w:rFonts w:hint="eastAsia"/>
                <w:sz w:val="24"/>
                <w:vertAlign w:val="subscript"/>
              </w:rPr>
              <w:t>2.5</w:t>
            </w:r>
            <w:r>
              <w:rPr>
                <w:rFonts w:hint="eastAsia"/>
                <w:sz w:val="24"/>
              </w:rPr>
              <w:t>、CO、O</w:t>
            </w:r>
            <w:r>
              <w:rPr>
                <w:rFonts w:hint="eastAsia"/>
                <w:sz w:val="24"/>
                <w:vertAlign w:val="subscript"/>
              </w:rPr>
              <w:t>3</w:t>
            </w:r>
            <w:r>
              <w:rPr>
                <w:rFonts w:hint="eastAsia"/>
                <w:sz w:val="24"/>
              </w:rPr>
              <w:t>年均浓度分别为9ug/m</w:t>
            </w:r>
            <w:r>
              <w:rPr>
                <w:rFonts w:hint="eastAsia"/>
                <w:sz w:val="24"/>
                <w:vertAlign w:val="superscript"/>
              </w:rPr>
              <w:t>3</w:t>
            </w:r>
            <w:r>
              <w:rPr>
                <w:rFonts w:hint="eastAsia"/>
                <w:sz w:val="24"/>
              </w:rPr>
              <w:t>、30ug/m</w:t>
            </w:r>
            <w:r>
              <w:rPr>
                <w:rFonts w:hint="eastAsia"/>
                <w:sz w:val="24"/>
                <w:vertAlign w:val="superscript"/>
              </w:rPr>
              <w:t>3</w:t>
            </w:r>
            <w:r>
              <w:rPr>
                <w:rFonts w:hint="eastAsia"/>
                <w:sz w:val="24"/>
              </w:rPr>
              <w:t>、61ug/m</w:t>
            </w:r>
            <w:r>
              <w:rPr>
                <w:rFonts w:hint="eastAsia"/>
                <w:sz w:val="24"/>
                <w:vertAlign w:val="superscript"/>
              </w:rPr>
              <w:t>3</w:t>
            </w:r>
            <w:r>
              <w:rPr>
                <w:rFonts w:hint="eastAsia"/>
                <w:sz w:val="24"/>
              </w:rPr>
              <w:t>、48ug/m</w:t>
            </w:r>
            <w:r>
              <w:rPr>
                <w:rFonts w:hint="eastAsia"/>
                <w:sz w:val="24"/>
                <w:vertAlign w:val="superscript"/>
              </w:rPr>
              <w:t>3</w:t>
            </w:r>
            <w:r>
              <w:rPr>
                <w:rFonts w:hint="eastAsia"/>
                <w:sz w:val="24"/>
              </w:rPr>
              <w:t>、1.2mg/m</w:t>
            </w:r>
            <w:r>
              <w:rPr>
                <w:rFonts w:hint="eastAsia"/>
                <w:sz w:val="24"/>
                <w:vertAlign w:val="superscript"/>
              </w:rPr>
              <w:t>3</w:t>
            </w:r>
            <w:r>
              <w:rPr>
                <w:rFonts w:hint="eastAsia"/>
                <w:sz w:val="24"/>
              </w:rPr>
              <w:t>和148ug/m</w:t>
            </w:r>
            <w:r>
              <w:rPr>
                <w:rFonts w:hint="eastAsia"/>
                <w:sz w:val="24"/>
                <w:vertAlign w:val="superscript"/>
              </w:rPr>
              <w:t>3</w:t>
            </w:r>
            <w:r>
              <w:rPr>
                <w:rFonts w:hint="eastAsia"/>
                <w:sz w:val="24"/>
              </w:rPr>
              <w:t>。以污染物年均浓度值评价，SO</w:t>
            </w:r>
            <w:r>
              <w:rPr>
                <w:rFonts w:hint="eastAsia"/>
                <w:sz w:val="24"/>
                <w:vertAlign w:val="subscript"/>
              </w:rPr>
              <w:t>2</w:t>
            </w:r>
            <w:r>
              <w:rPr>
                <w:rFonts w:hint="eastAsia"/>
                <w:sz w:val="24"/>
              </w:rPr>
              <w:t>、NO</w:t>
            </w:r>
            <w:r>
              <w:rPr>
                <w:rFonts w:hint="eastAsia"/>
                <w:sz w:val="24"/>
                <w:vertAlign w:val="subscript"/>
              </w:rPr>
              <w:t>2</w:t>
            </w:r>
            <w:r>
              <w:rPr>
                <w:rFonts w:hint="eastAsia"/>
                <w:sz w:val="24"/>
                <w:lang w:eastAsia="zh-CN"/>
              </w:rPr>
              <w:t>和</w:t>
            </w:r>
            <w:r>
              <w:rPr>
                <w:rFonts w:hint="eastAsia"/>
                <w:sz w:val="24"/>
              </w:rPr>
              <w:t>PM</w:t>
            </w:r>
            <w:r>
              <w:rPr>
                <w:rFonts w:hint="eastAsia"/>
                <w:sz w:val="24"/>
                <w:vertAlign w:val="subscript"/>
              </w:rPr>
              <w:t>10</w:t>
            </w:r>
            <w:r>
              <w:rPr>
                <w:rFonts w:hint="eastAsia"/>
                <w:sz w:val="24"/>
              </w:rPr>
              <w:t>年均浓度均达到GB3095-2012《环境空气质量标准》中的二级标准；PM</w:t>
            </w:r>
            <w:r>
              <w:rPr>
                <w:rFonts w:hint="eastAsia"/>
                <w:sz w:val="24"/>
                <w:vertAlign w:val="subscript"/>
              </w:rPr>
              <w:t>2.5</w:t>
            </w:r>
            <w:r>
              <w:rPr>
                <w:rFonts w:hint="eastAsia"/>
                <w:sz w:val="24"/>
              </w:rPr>
              <w:t>年均浓度均未能达到GB3095-2012《环境空气质量标准》中的二级标准，O</w:t>
            </w:r>
            <w:r>
              <w:rPr>
                <w:rFonts w:hint="eastAsia"/>
                <w:sz w:val="24"/>
                <w:vertAlign w:val="subscript"/>
              </w:rPr>
              <w:t>3</w:t>
            </w:r>
            <w:r>
              <w:rPr>
                <w:rFonts w:hint="eastAsia"/>
                <w:sz w:val="24"/>
              </w:rPr>
              <w:t>和CO年均浓度没有评价标准。可见，项目所在区域为不达标区。</w:t>
            </w:r>
          </w:p>
          <w:p>
            <w:pPr>
              <w:numPr>
                <w:ilvl w:val="0"/>
                <w:numId w:val="0"/>
              </w:numPr>
              <w:ind w:firstLine="480" w:firstLineChars="200"/>
              <w:rPr>
                <w:sz w:val="24"/>
              </w:rPr>
            </w:pPr>
            <w:r>
              <w:rPr>
                <w:sz w:val="24"/>
              </w:rPr>
              <w:t>（2）水环境现状：201</w:t>
            </w:r>
            <w:r>
              <w:rPr>
                <w:rFonts w:hint="eastAsia"/>
                <w:sz w:val="24"/>
                <w:lang w:val="en-US" w:eastAsia="zh-CN"/>
              </w:rPr>
              <w:t>9</w:t>
            </w:r>
            <w:r>
              <w:rPr>
                <w:sz w:val="24"/>
              </w:rPr>
              <w:t>年</w:t>
            </w:r>
            <w:r>
              <w:rPr>
                <w:rFonts w:hint="eastAsia"/>
                <w:sz w:val="24"/>
                <w:lang w:eastAsia="zh-CN"/>
              </w:rPr>
              <w:t>白石港及其支流栗江</w:t>
            </w:r>
            <w:r>
              <w:rPr>
                <w:sz w:val="24"/>
              </w:rPr>
              <w:t>水质能完全</w:t>
            </w:r>
            <w:r>
              <w:rPr>
                <w:rFonts w:hint="eastAsia"/>
                <w:sz w:val="24"/>
              </w:rPr>
              <w:t>满足IV</w:t>
            </w:r>
            <w:r>
              <w:rPr>
                <w:rFonts w:hint="eastAsia"/>
                <w:color w:val="000000" w:themeColor="text1"/>
                <w:sz w:val="24"/>
                <w14:textFill>
                  <w14:solidFill>
                    <w14:schemeClr w14:val="tx1"/>
                  </w14:solidFill>
                </w14:textFill>
              </w:rPr>
              <w:t>类标准</w:t>
            </w:r>
            <w:r>
              <w:rPr>
                <w:rFonts w:hint="eastAsia"/>
                <w:sz w:val="24"/>
              </w:rPr>
              <w:t>。</w:t>
            </w:r>
            <w:r>
              <w:rPr>
                <w:rFonts w:hint="eastAsia"/>
                <w:sz w:val="24"/>
                <w:lang w:eastAsia="zh-CN"/>
              </w:rPr>
              <w:t>云田社区支渠和</w:t>
            </w:r>
            <w:r>
              <w:rPr>
                <w:rFonts w:hint="eastAsia"/>
                <w:color w:val="000000" w:themeColor="text1"/>
                <w:sz w:val="24"/>
                <w14:textFill>
                  <w14:solidFill>
                    <w14:schemeClr w14:val="tx1"/>
                  </w14:solidFill>
                </w14:textFill>
              </w:rPr>
              <w:t>池塘水质执行</w:t>
            </w:r>
            <w:r>
              <w:rPr>
                <w:rFonts w:hint="eastAsia"/>
                <w:sz w:val="24"/>
              </w:rPr>
              <w:t>《地表水环境质量标准》（GB3838-2002）III类标准</w:t>
            </w:r>
          </w:p>
          <w:p>
            <w:pPr>
              <w:ind w:firstLine="480"/>
              <w:rPr>
                <w:color w:val="000000"/>
                <w:sz w:val="24"/>
              </w:rPr>
            </w:pPr>
            <w:r>
              <w:rPr>
                <w:sz w:val="24"/>
              </w:rPr>
              <w:t>（3）声环境质量现状：各监测点昼夜间噪声均可满足《声环境质量标准》GB309</w:t>
            </w:r>
            <w:r>
              <w:rPr>
                <w:rFonts w:hint="eastAsia"/>
                <w:sz w:val="24"/>
              </w:rPr>
              <w:t>6</w:t>
            </w:r>
            <w:r>
              <w:rPr>
                <w:sz w:val="24"/>
              </w:rPr>
              <w:t>-2008中</w:t>
            </w:r>
            <w:r>
              <w:rPr>
                <w:rFonts w:hint="eastAsia"/>
                <w:sz w:val="24"/>
              </w:rPr>
              <w:t>2</w:t>
            </w:r>
            <w:r>
              <w:rPr>
                <w:sz w:val="24"/>
              </w:rPr>
              <w:t>类标准要求。</w:t>
            </w:r>
          </w:p>
          <w:p>
            <w:pPr>
              <w:ind w:firstLine="482" w:firstLineChars="200"/>
              <w:jc w:val="left"/>
              <w:rPr>
                <w:b/>
                <w:sz w:val="24"/>
              </w:rPr>
            </w:pPr>
            <w:r>
              <w:rPr>
                <w:b/>
                <w:sz w:val="24"/>
              </w:rPr>
              <w:t>1.3环境影响分析</w:t>
            </w:r>
          </w:p>
          <w:p>
            <w:pPr>
              <w:ind w:firstLine="482" w:firstLineChars="200"/>
              <w:jc w:val="left"/>
              <w:rPr>
                <w:b/>
                <w:sz w:val="24"/>
              </w:rPr>
            </w:pPr>
            <w:r>
              <w:rPr>
                <w:b/>
                <w:sz w:val="24"/>
              </w:rPr>
              <w:t>1.3.1 施工期环境影响简要分析</w:t>
            </w:r>
          </w:p>
          <w:p>
            <w:pPr>
              <w:ind w:firstLine="480" w:firstLineChars="200"/>
              <w:jc w:val="left"/>
              <w:rPr>
                <w:sz w:val="24"/>
              </w:rPr>
            </w:pPr>
            <w:r>
              <w:rPr>
                <w:rFonts w:hint="eastAsia"/>
                <w:sz w:val="24"/>
              </w:rPr>
              <w:t>（1）施工期水环境影响分析</w:t>
            </w:r>
          </w:p>
          <w:p>
            <w:pPr>
              <w:ind w:firstLine="480" w:firstLineChars="200"/>
              <w:jc w:val="left"/>
              <w:rPr>
                <w:sz w:val="24"/>
              </w:rPr>
            </w:pPr>
            <w:r>
              <w:rPr>
                <w:rFonts w:hint="eastAsia"/>
                <w:sz w:val="24"/>
              </w:rPr>
              <w:t>工程施工作业产生的废水影响包括施工机械洗涤用水；施工现场清洗、养护、冲洗废水；堆放的建筑材料被雨水冲刷对周围水体的污染等，这部分废水主要污染物为COD、SS和石油类。施工生产废水经隔油沉淀处理后用于生产或者路面养护。建材堆场应尽量设置在道路永久征地范围内</w:t>
            </w:r>
            <w:r>
              <w:rPr>
                <w:rFonts w:hint="eastAsia"/>
                <w:sz w:val="24"/>
                <w:lang w:eastAsia="zh-CN"/>
              </w:rPr>
              <w:t>，</w:t>
            </w:r>
            <w:r>
              <w:rPr>
                <w:rFonts w:hint="eastAsia"/>
                <w:sz w:val="24"/>
              </w:rPr>
              <w:t>并采取一定的防止径流冲刷和风吹起尘的措施。施工过程中禁止将废油料、施工垃圾等弃于水体。采取上述措施后可最大限度减少施工废水对水环境的污染影响。</w:t>
            </w:r>
          </w:p>
          <w:p>
            <w:pPr>
              <w:ind w:firstLine="480" w:firstLineChars="200"/>
              <w:jc w:val="left"/>
              <w:rPr>
                <w:sz w:val="24"/>
              </w:rPr>
            </w:pPr>
            <w:r>
              <w:rPr>
                <w:rFonts w:hint="eastAsia"/>
                <w:sz w:val="24"/>
              </w:rPr>
              <w:t>（2）施工期环境空气影响分析</w:t>
            </w:r>
          </w:p>
          <w:p>
            <w:pPr>
              <w:ind w:firstLine="480" w:firstLineChars="200"/>
              <w:jc w:val="left"/>
              <w:rPr>
                <w:sz w:val="24"/>
              </w:rPr>
            </w:pPr>
            <w:r>
              <w:rPr>
                <w:rFonts w:hint="eastAsia"/>
                <w:sz w:val="24"/>
              </w:rPr>
              <w:t>本项目施工期对空气环境的污染主要来自车辆行驶扬尘、堆场扬尘、施工工地扬尘、沥青路面施工产生的沥青烟气</w:t>
            </w:r>
            <w:r>
              <w:rPr>
                <w:rFonts w:hint="eastAsia"/>
                <w:sz w:val="24"/>
                <w:lang w:eastAsia="zh-CN"/>
              </w:rPr>
              <w:t>、</w:t>
            </w:r>
            <w:r>
              <w:rPr>
                <w:rFonts w:hint="eastAsia"/>
                <w:sz w:val="24"/>
              </w:rPr>
              <w:t>施工机械尾气</w:t>
            </w:r>
            <w:r>
              <w:rPr>
                <w:rFonts w:hint="eastAsia"/>
                <w:sz w:val="24"/>
                <w:lang w:eastAsia="zh-CN"/>
              </w:rPr>
              <w:t>及拆迁扬尘</w:t>
            </w:r>
            <w:r>
              <w:rPr>
                <w:rFonts w:hint="eastAsia"/>
                <w:sz w:val="24"/>
              </w:rPr>
              <w:t>。通过采取限制车辆行驶速度</w:t>
            </w:r>
            <w:r>
              <w:rPr>
                <w:rFonts w:hint="eastAsia"/>
                <w:sz w:val="24"/>
                <w:lang w:eastAsia="zh-CN"/>
              </w:rPr>
              <w:t>，</w:t>
            </w:r>
            <w:r>
              <w:rPr>
                <w:rFonts w:hint="eastAsia"/>
                <w:sz w:val="24"/>
              </w:rPr>
              <w:t>保持路面的清洁</w:t>
            </w:r>
            <w:r>
              <w:rPr>
                <w:rFonts w:hint="eastAsia"/>
                <w:sz w:val="24"/>
                <w:lang w:eastAsia="zh-CN"/>
              </w:rPr>
              <w:t>，</w:t>
            </w:r>
            <w:r>
              <w:rPr>
                <w:rFonts w:hint="eastAsia"/>
                <w:sz w:val="24"/>
              </w:rPr>
              <w:t>定期对施工场地进行洒水降尘</w:t>
            </w:r>
            <w:r>
              <w:rPr>
                <w:rFonts w:hint="eastAsia"/>
                <w:sz w:val="24"/>
                <w:lang w:eastAsia="zh-CN"/>
              </w:rPr>
              <w:t>，</w:t>
            </w:r>
            <w:r>
              <w:rPr>
                <w:rFonts w:hint="eastAsia"/>
                <w:sz w:val="24"/>
              </w:rPr>
              <w:t>物料堆场四周设置围挡等措施，</w:t>
            </w:r>
            <w:r>
              <w:rPr>
                <w:rFonts w:hint="eastAsia"/>
                <w:sz w:val="24"/>
                <w:lang w:eastAsia="zh-CN"/>
              </w:rPr>
              <w:t>湿法作业，</w:t>
            </w:r>
            <w:r>
              <w:rPr>
                <w:rFonts w:hint="eastAsia"/>
                <w:sz w:val="24"/>
              </w:rPr>
              <w:t>做到八个百分百</w:t>
            </w:r>
            <w:r>
              <w:rPr>
                <w:rFonts w:hint="eastAsia"/>
                <w:sz w:val="24"/>
                <w:lang w:eastAsia="zh-CN"/>
              </w:rPr>
              <w:t>后，</w:t>
            </w:r>
            <w:r>
              <w:rPr>
                <w:rFonts w:hint="eastAsia"/>
                <w:sz w:val="24"/>
              </w:rPr>
              <w:t>施工扬尘可得到有效控制；本项目施工机械尾气对周围环境空气质量影响较小。</w:t>
            </w:r>
          </w:p>
          <w:p>
            <w:pPr>
              <w:ind w:firstLine="480" w:firstLineChars="200"/>
              <w:jc w:val="left"/>
              <w:rPr>
                <w:sz w:val="24"/>
              </w:rPr>
            </w:pPr>
            <w:r>
              <w:rPr>
                <w:rFonts w:hint="eastAsia"/>
                <w:sz w:val="24"/>
              </w:rPr>
              <w:t>（3）施工期声环境影响分析</w:t>
            </w:r>
          </w:p>
          <w:p>
            <w:pPr>
              <w:ind w:firstLine="480" w:firstLineChars="200"/>
              <w:jc w:val="left"/>
              <w:rPr>
                <w:sz w:val="24"/>
              </w:rPr>
            </w:pPr>
            <w:r>
              <w:rPr>
                <w:rFonts w:hint="eastAsia"/>
                <w:sz w:val="24"/>
              </w:rPr>
              <w:t>在道路施工期，各种作业机械和运输车辆产生施工噪声，对环境产生一定影响。通过采取合理安排施工时间，制定施工计划；合理布局施工现场；选用低噪声设备和工艺；尽可能避免大量高噪声设备同时施工，施工时间尽量安排在昼间，夜间（22：00～6：00）禁止施工；对运输车辆定期维修、养护，减少或杜绝鸣笛，合理安排运输路线等措施，可将施工机械噪声对周围声环境的影响可得到有效控制，且影响是短期的，随着施工的结束而消失。</w:t>
            </w:r>
          </w:p>
          <w:p>
            <w:pPr>
              <w:ind w:firstLine="480" w:firstLineChars="200"/>
              <w:jc w:val="left"/>
              <w:rPr>
                <w:sz w:val="24"/>
              </w:rPr>
            </w:pPr>
            <w:r>
              <w:rPr>
                <w:rFonts w:hint="eastAsia"/>
                <w:sz w:val="24"/>
              </w:rPr>
              <w:t>（4）施工期固体废物环境分析</w:t>
            </w:r>
            <w:r>
              <w:rPr>
                <w:rFonts w:hint="eastAsia"/>
                <w:sz w:val="24"/>
              </w:rPr>
              <w:tab/>
            </w:r>
          </w:p>
          <w:p>
            <w:pPr>
              <w:ind w:firstLine="480" w:firstLineChars="200"/>
              <w:jc w:val="left"/>
              <w:rPr>
                <w:sz w:val="24"/>
              </w:rPr>
            </w:pPr>
            <w:r>
              <w:rPr>
                <w:rFonts w:hint="eastAsia"/>
                <w:sz w:val="24"/>
              </w:rPr>
              <w:t>施工期产生的路基清表，表土暂时堆存于施工场地的表土堆场，作为后期道路绿化的表土回填；建筑垃圾应与具有相关资质的渣土处置公司签订渣土处置协议，统一清运；生活垃圾定点收集，集中管理，定期由环卫部门统一清运。通过采取措施，固体废物对外环境影响较小。</w:t>
            </w:r>
          </w:p>
          <w:p>
            <w:pPr>
              <w:ind w:firstLine="480" w:firstLineChars="200"/>
              <w:jc w:val="left"/>
              <w:rPr>
                <w:sz w:val="24"/>
              </w:rPr>
            </w:pPr>
            <w:r>
              <w:rPr>
                <w:rFonts w:hint="eastAsia"/>
                <w:sz w:val="24"/>
              </w:rPr>
              <w:t>（5）施工期生态环境影响分析</w:t>
            </w:r>
          </w:p>
          <w:p>
            <w:pPr>
              <w:ind w:firstLine="480" w:firstLineChars="200"/>
              <w:jc w:val="left"/>
              <w:rPr>
                <w:sz w:val="24"/>
              </w:rPr>
            </w:pPr>
            <w:r>
              <w:rPr>
                <w:rFonts w:hint="eastAsia"/>
                <w:sz w:val="24"/>
              </w:rPr>
              <w:t>拟建道路现状类型主要为</w:t>
            </w:r>
            <w:r>
              <w:rPr>
                <w:rFonts w:hint="default"/>
              </w:rPr>
              <w:t>农田、水塘、丘陵、菜地、荒地</w:t>
            </w:r>
            <w:r>
              <w:rPr>
                <w:rFonts w:hint="eastAsia"/>
                <w:lang w:eastAsia="zh-CN"/>
              </w:rPr>
              <w:t>、</w:t>
            </w:r>
            <w:r>
              <w:rPr>
                <w:rFonts w:hint="default"/>
              </w:rPr>
              <w:t>林地</w:t>
            </w:r>
            <w:r>
              <w:rPr>
                <w:rFonts w:hint="eastAsia"/>
                <w:lang w:eastAsia="zh-CN"/>
              </w:rPr>
              <w:t>、</w:t>
            </w:r>
            <w:r>
              <w:rPr>
                <w:rFonts w:hint="default"/>
              </w:rPr>
              <w:t>建设用地</w:t>
            </w:r>
            <w:r>
              <w:rPr>
                <w:rFonts w:hint="eastAsia"/>
                <w:lang w:eastAsia="zh-CN"/>
              </w:rPr>
              <w:t>等，</w:t>
            </w:r>
            <w:r>
              <w:rPr>
                <w:rFonts w:hint="eastAsia"/>
                <w:sz w:val="24"/>
              </w:rPr>
              <w:t>区内未发现珍稀动植物资源等，本项目清表及填方等工程的实施对沿线土地利用格局及区域生态环境影响较小。通过实施环保措施及水土保持措施，建设配套绿化工程及排水设施，可在一定程度上弥补施工占地所造成的生态损失，强化水土保持功能，从而使沿线生态环境在一定程度上得到恢复和改善。</w:t>
            </w:r>
          </w:p>
          <w:p>
            <w:pPr>
              <w:ind w:firstLine="480" w:firstLineChars="200"/>
              <w:jc w:val="left"/>
              <w:rPr>
                <w:rFonts w:hint="eastAsia"/>
                <w:sz w:val="24"/>
              </w:rPr>
            </w:pPr>
            <w:r>
              <w:rPr>
                <w:rFonts w:hint="eastAsia"/>
                <w:sz w:val="24"/>
              </w:rPr>
              <w:t>（6）施工期社会环境影响分析</w:t>
            </w:r>
          </w:p>
          <w:p>
            <w:pPr>
              <w:autoSpaceDE w:val="0"/>
              <w:autoSpaceDN w:val="0"/>
              <w:ind w:firstLine="480" w:firstLineChars="200"/>
            </w:pPr>
            <w:r>
              <w:rPr>
                <w:rFonts w:hint="eastAsia"/>
                <w:sz w:val="24"/>
                <w:u w:val="none"/>
              </w:rPr>
              <w:t>施工产生的社会环境影响主要为：对沿线基础设施的影响、征地影响及区域景观影响。道路在建设过程中必将对居民出行带来一定的不便，项目建设还将涉及到部分管线改造，会引起短时的停电，停水，停气等，对居民生活和工作将造成一定的影响。本项目征收土地</w:t>
            </w:r>
            <w:r>
              <w:rPr>
                <w:rFonts w:hint="eastAsia"/>
                <w:sz w:val="24"/>
                <w:u w:val="none"/>
                <w:lang w:val="en-US" w:eastAsia="zh-CN"/>
              </w:rPr>
              <w:t>146.7亩</w:t>
            </w:r>
            <w:r>
              <w:rPr>
                <w:rFonts w:hint="eastAsia"/>
                <w:sz w:val="24"/>
                <w:u w:val="none"/>
              </w:rPr>
              <w:t>，征地范围内主要为</w:t>
            </w:r>
            <w:r>
              <w:rPr>
                <w:rFonts w:hint="eastAsia"/>
              </w:rPr>
              <w:t>农田、水塘、丘陵、菜地、荒地、林地与建设用地</w:t>
            </w:r>
            <w:r>
              <w:rPr>
                <w:rFonts w:hint="eastAsia"/>
                <w:lang w:eastAsia="zh-CN"/>
              </w:rPr>
              <w:t>等</w:t>
            </w:r>
            <w:r>
              <w:rPr>
                <w:rFonts w:hint="eastAsia"/>
                <w:sz w:val="24"/>
                <w:u w:val="none"/>
              </w:rPr>
              <w:t>。施工期会对区域的景观产生一定影响，随施工结束而结束。</w:t>
            </w:r>
          </w:p>
          <w:p>
            <w:pPr>
              <w:ind w:firstLine="482" w:firstLineChars="200"/>
              <w:jc w:val="left"/>
              <w:rPr>
                <w:b/>
                <w:sz w:val="24"/>
              </w:rPr>
            </w:pPr>
            <w:r>
              <w:rPr>
                <w:b/>
                <w:sz w:val="24"/>
              </w:rPr>
              <w:t>1.3.2营运期环境影响简要分析</w:t>
            </w:r>
          </w:p>
          <w:p>
            <w:pPr>
              <w:numPr>
                <w:ilvl w:val="0"/>
                <w:numId w:val="17"/>
              </w:numPr>
              <w:tabs>
                <w:tab w:val="left" w:pos="5891"/>
              </w:tabs>
              <w:ind w:firstLine="480" w:firstLineChars="200"/>
              <w:jc w:val="left"/>
              <w:rPr>
                <w:rFonts w:hint="eastAsia"/>
                <w:sz w:val="24"/>
              </w:rPr>
            </w:pPr>
            <w:r>
              <w:rPr>
                <w:rFonts w:hint="eastAsia"/>
                <w:sz w:val="24"/>
              </w:rPr>
              <w:t>营运期</w:t>
            </w:r>
            <w:r>
              <w:rPr>
                <w:sz w:val="24"/>
              </w:rPr>
              <w:t>水环境影响</w:t>
            </w:r>
            <w:r>
              <w:rPr>
                <w:rFonts w:hint="eastAsia"/>
                <w:sz w:val="24"/>
              </w:rPr>
              <w:t>分析</w:t>
            </w:r>
          </w:p>
          <w:p>
            <w:pPr>
              <w:spacing w:line="240" w:lineRule="auto"/>
              <w:rPr>
                <w:rFonts w:hint="eastAsia"/>
                <w:sz w:val="24"/>
              </w:rPr>
            </w:pPr>
            <w:r>
              <w:rPr>
                <w:rFonts w:hAnsi="Times New Roman" w:cs="Times New Roman"/>
                <w:color w:val="000000" w:themeColor="text1"/>
                <w14:textFill>
                  <w14:solidFill>
                    <w14:schemeClr w14:val="tx1"/>
                  </w14:solidFill>
                </w14:textFill>
              </w:rPr>
              <w:t>项目营运期对附近水体产生的污染途径主要为降雨冲刷路面</w:t>
            </w:r>
            <w:r>
              <w:rPr>
                <w:rFonts w:hint="eastAsia" w:hAnsi="Times New Roman" w:cs="Times New Roman"/>
                <w:color w:val="000000" w:themeColor="text1"/>
                <w14:textFill>
                  <w14:solidFill>
                    <w14:schemeClr w14:val="tx1"/>
                  </w14:solidFill>
                </w14:textFill>
              </w:rPr>
              <w:t>产生</w:t>
            </w:r>
            <w:r>
              <w:rPr>
                <w:rFonts w:hAnsi="Times New Roman" w:cs="Times New Roman"/>
                <w:color w:val="000000" w:themeColor="text1"/>
                <w14:textFill>
                  <w14:solidFill>
                    <w14:schemeClr w14:val="tx1"/>
                  </w14:solidFill>
                </w14:textFill>
              </w:rPr>
              <w:t>路面雨水径流。</w:t>
            </w:r>
          </w:p>
          <w:p>
            <w:pPr>
              <w:tabs>
                <w:tab w:val="left" w:pos="5891"/>
              </w:tabs>
              <w:ind w:firstLine="480" w:firstLineChars="200"/>
              <w:jc w:val="left"/>
              <w:rPr>
                <w:sz w:val="24"/>
              </w:rPr>
            </w:pPr>
            <w:r>
              <w:rPr>
                <w:sz w:val="24"/>
              </w:rPr>
              <w:t>本项目建成完工投入使用后，各种类型车辆排放尾气中所携带的污染物在路面沉积、汽车轮胎磨损的微粒、车架上粘带的泥土、车辆制动时洒落的污染物及车辆运行工况不佳时泄露的油料等，都会随降雨产生的路面径流进入道路的排水系统并最终进入地表水体，其主要的污染物有石油类、有机物和悬浮物等，这些污染物可能对</w:t>
            </w:r>
            <w:r>
              <w:rPr>
                <w:rFonts w:hint="eastAsia"/>
                <w:sz w:val="24"/>
                <w:lang w:eastAsia="zh-CN"/>
              </w:rPr>
              <w:t>附近</w:t>
            </w:r>
            <w:r>
              <w:rPr>
                <w:sz w:val="24"/>
              </w:rPr>
              <w:t>水体产生一定的污染。</w:t>
            </w:r>
          </w:p>
          <w:p>
            <w:pPr>
              <w:tabs>
                <w:tab w:val="left" w:pos="5891"/>
              </w:tabs>
              <w:ind w:firstLine="480" w:firstLineChars="200"/>
              <w:jc w:val="left"/>
              <w:rPr>
                <w:sz w:val="24"/>
              </w:rPr>
            </w:pPr>
            <w:r>
              <w:rPr>
                <w:sz w:val="24"/>
              </w:rPr>
              <w:t>根据国家环保部华南环科所对南方地区路面径流污染情况的试验，结果表明，降雨初期，径流中BOD浓度即可达到《污水综合排放标准》中的一级标准，从降雨初期到形成径流的30分钟内，雨水中的悬浮物和油类物质的浓度比较高，半小时之后，其浓度随着降雨历时的延长下降较快，路面径流中，油类物质浓度可达到《污水综合排放标准》中的一级标准，降雨历时40~60分钟之后，路面基本被冲洗干净，路面径流中SS浓度相对稳定在较低水平，达到《污水综合排放标准》中的一级标准。在实际过程中，路面径流SS和油类物质浓度超标只是一个瞬间值，路面径流在通过路面横坡自然散排、漫流至水沟或边沟中，或通过边坡基槽集中排入排水沟的过程伴随着降雨稀释、泥沙对污染物的吸附、泥沙沉降等各种作用，路面径流中的污染物通过道路雨水管达到水体时浓度已大大降低。</w:t>
            </w:r>
          </w:p>
          <w:p>
            <w:pPr>
              <w:tabs>
                <w:tab w:val="left" w:pos="5891"/>
              </w:tabs>
              <w:ind w:firstLine="480" w:firstLineChars="200"/>
              <w:jc w:val="left"/>
              <w:rPr>
                <w:sz w:val="24"/>
              </w:rPr>
            </w:pPr>
            <w:r>
              <w:rPr>
                <w:sz w:val="24"/>
              </w:rPr>
              <w:t>由于地表径流的流量相对河流流量而言，流量很小，径流携带的污染物在进入河流过程中被大量稀释，稀释程度可达几倍～十几倍，各污染物的初始断面浓度增量均较小，且路面径流中污染物较为简单，对水体的影响较小。本项目建设对区域水环境的污染基本不会增加。</w:t>
            </w:r>
          </w:p>
          <w:p>
            <w:pPr>
              <w:tabs>
                <w:tab w:val="left" w:pos="5891"/>
              </w:tabs>
              <w:ind w:firstLine="480" w:firstLineChars="200"/>
              <w:jc w:val="left"/>
              <w:rPr>
                <w:sz w:val="24"/>
              </w:rPr>
            </w:pPr>
            <w:r>
              <w:rPr>
                <w:sz w:val="24"/>
              </w:rPr>
              <w:t>（2）</w:t>
            </w:r>
            <w:r>
              <w:rPr>
                <w:rFonts w:hint="eastAsia"/>
                <w:sz w:val="24"/>
              </w:rPr>
              <w:t>营运期</w:t>
            </w:r>
            <w:r>
              <w:rPr>
                <w:sz w:val="24"/>
              </w:rPr>
              <w:t>大气环境影响</w:t>
            </w:r>
            <w:r>
              <w:rPr>
                <w:rFonts w:hint="eastAsia"/>
                <w:sz w:val="24"/>
              </w:rPr>
              <w:t>分析</w:t>
            </w:r>
          </w:p>
          <w:p>
            <w:pPr>
              <w:tabs>
                <w:tab w:val="left" w:pos="5891"/>
              </w:tabs>
              <w:ind w:firstLine="480" w:firstLineChars="200"/>
              <w:jc w:val="left"/>
              <w:rPr>
                <w:sz w:val="24"/>
              </w:rPr>
            </w:pPr>
            <w:r>
              <w:rPr>
                <w:sz w:val="24"/>
              </w:rPr>
              <w:t>本项目建成后，汽车尾气和道路扬尘是环境空气污染物的主要来源。汽车尾气经扩散稀释后，对沿线</w:t>
            </w:r>
            <w:r>
              <w:rPr>
                <w:rFonts w:hint="eastAsia"/>
                <w:sz w:val="24"/>
              </w:rPr>
              <w:t>环境空气</w:t>
            </w:r>
            <w:r>
              <w:rPr>
                <w:sz w:val="24"/>
              </w:rPr>
              <w:t>影响不大，区域环境空气质量仍可达到《环境空气质量标准》（</w:t>
            </w:r>
            <w:r>
              <w:rPr>
                <w:rFonts w:hint="eastAsia"/>
                <w:sz w:val="24"/>
              </w:rPr>
              <w:t>GB</w:t>
            </w:r>
            <w:r>
              <w:rPr>
                <w:sz w:val="24"/>
              </w:rPr>
              <w:t>3095-2012）中的二级标准。</w:t>
            </w:r>
          </w:p>
          <w:p>
            <w:pPr>
              <w:tabs>
                <w:tab w:val="left" w:pos="5891"/>
              </w:tabs>
              <w:ind w:firstLine="480" w:firstLineChars="200"/>
              <w:jc w:val="left"/>
              <w:rPr>
                <w:sz w:val="24"/>
                <w:highlight w:val="none"/>
              </w:rPr>
            </w:pPr>
            <w:r>
              <w:rPr>
                <w:sz w:val="24"/>
                <w:highlight w:val="none"/>
              </w:rPr>
              <w:t>（3）</w:t>
            </w:r>
            <w:r>
              <w:rPr>
                <w:rFonts w:hint="eastAsia"/>
                <w:sz w:val="24"/>
                <w:highlight w:val="none"/>
              </w:rPr>
              <w:t>营运期</w:t>
            </w:r>
            <w:r>
              <w:rPr>
                <w:sz w:val="24"/>
                <w:highlight w:val="none"/>
              </w:rPr>
              <w:t>噪声环境影响</w:t>
            </w:r>
            <w:r>
              <w:rPr>
                <w:rFonts w:hint="eastAsia"/>
                <w:sz w:val="24"/>
                <w:highlight w:val="none"/>
              </w:rPr>
              <w:t>分析</w:t>
            </w:r>
          </w:p>
          <w:p>
            <w:pPr>
              <w:tabs>
                <w:tab w:val="left" w:pos="5891"/>
              </w:tabs>
              <w:ind w:firstLine="480" w:firstLineChars="200"/>
              <w:jc w:val="left"/>
              <w:rPr>
                <w:sz w:val="24"/>
              </w:rPr>
            </w:pPr>
            <w:r>
              <w:rPr>
                <w:rFonts w:hint="eastAsia"/>
                <w:sz w:val="24"/>
              </w:rPr>
              <w:t>根据</w:t>
            </w:r>
            <w:r>
              <w:rPr>
                <w:sz w:val="24"/>
              </w:rPr>
              <w:t>不同时期距</w:t>
            </w:r>
            <w:r>
              <w:rPr>
                <w:rFonts w:hint="eastAsia"/>
                <w:sz w:val="24"/>
              </w:rPr>
              <w:t>路中心线</w:t>
            </w:r>
            <w:r>
              <w:rPr>
                <w:sz w:val="24"/>
              </w:rPr>
              <w:t>不同距离处的噪声预测结果</w:t>
            </w:r>
            <w:r>
              <w:rPr>
                <w:rFonts w:hint="eastAsia"/>
                <w:sz w:val="24"/>
              </w:rPr>
              <w:t>可知：</w:t>
            </w:r>
          </w:p>
          <w:p>
            <w:pPr>
              <w:bidi w:val="0"/>
              <w:ind w:firstLine="480" w:firstLineChars="200"/>
              <w:rPr>
                <w:rFonts w:hint="eastAsia"/>
                <w:color w:val="auto"/>
                <w:sz w:val="24"/>
              </w:rPr>
            </w:pPr>
            <w:r>
              <w:rPr>
                <w:rFonts w:hint="eastAsia"/>
                <w:color w:val="auto"/>
                <w:sz w:val="24"/>
              </w:rPr>
              <w:t>按《声环境质量标准》（GB3096-2008）中4a类标准限值评价，在近、中、远期，昼间交通噪声均在红线以内即可小于70dB；夜间马鞍路、纬四路交通噪声均在红线以内即可小于55dB；桃园路近、中、远期夜间噪声分别可在红线10m、24m、29m以外即可小于55dB；百合路近、中、远期夜间噪声分别可在红线3m、6m、8m以外即可小于55dB。</w:t>
            </w:r>
          </w:p>
          <w:p>
            <w:pPr>
              <w:bidi w:val="0"/>
              <w:ind w:firstLine="480" w:firstLineChars="200"/>
              <w:rPr>
                <w:rFonts w:hint="eastAsia"/>
                <w:color w:val="auto"/>
                <w:sz w:val="24"/>
              </w:rPr>
            </w:pPr>
            <w:r>
              <w:rPr>
                <w:rFonts w:hint="eastAsia"/>
                <w:color w:val="auto"/>
                <w:sz w:val="24"/>
              </w:rPr>
              <w:t>按《声环境质量标准》（GB3096-2008）中2类标准限值评价，马鞍路近、中、远期昼间交通噪声分别可在红线10m、13m、16m以外即可小于60dB，夜间噪声分别可在红35m、44m、51m以外即可小于50dB；桃园路近、中、远期昼间交通噪声分别可在红线23m、44m、53m以外即可小于60dB，夜间噪声分别可在红75m、117m、134m以外即可小于50dB；纬四路近、中、远期昼间交通噪声均在红线内即可小于60dB，近、中期夜间噪声均在红线内即可小于50dB，远期夜间噪声在红线以外1m即可小于50dB；百合路近、中、远期昼间交通噪声分别可在红线11m、14m、16m以外即可小于60dB，夜间噪声分别可在红37m、45m、51m以外即可小于50dB。</w:t>
            </w:r>
          </w:p>
          <w:p>
            <w:pPr>
              <w:bidi w:val="0"/>
              <w:ind w:firstLine="480" w:firstLineChars="200"/>
              <w:rPr>
                <w:rFonts w:hint="eastAsia"/>
                <w:color w:val="000000"/>
                <w:sz w:val="24"/>
                <w:lang w:eastAsia="zh-CN"/>
              </w:rPr>
            </w:pPr>
            <w:r>
              <w:rPr>
                <w:rFonts w:hint="eastAsia"/>
              </w:rPr>
              <w:t>同时根据《株洲市城区声环境功能区划分》，区域声环境质量执行2类标准，其中距道路红线35</w:t>
            </w:r>
            <w:r>
              <w:t>m</w:t>
            </w:r>
            <w:r>
              <w:rPr>
                <w:rFonts w:hint="eastAsia"/>
              </w:rPr>
              <w:t>内执行4</w:t>
            </w:r>
            <w:r>
              <w:t>a</w:t>
            </w:r>
            <w:r>
              <w:rPr>
                <w:rFonts w:hint="eastAsia"/>
              </w:rPr>
              <w:t>类标准。根据拟建项目</w:t>
            </w:r>
            <w:r>
              <w:t>两侧交通噪声达标距离</w:t>
            </w:r>
            <w:r>
              <w:rPr>
                <w:rFonts w:hint="eastAsia"/>
              </w:rPr>
              <w:t>预测可知，</w:t>
            </w:r>
            <w:r>
              <w:rPr>
                <w:rFonts w:hint="eastAsia"/>
                <w:color w:val="000000"/>
                <w:sz w:val="24"/>
                <w:lang w:eastAsia="zh-CN"/>
              </w:rPr>
              <w:t>马鞍路</w:t>
            </w:r>
            <w:r>
              <w:rPr>
                <w:rFonts w:hint="eastAsia"/>
              </w:rPr>
              <w:t>2类标准远期夜间达标距离为红线外</w:t>
            </w:r>
            <w:r>
              <w:rPr>
                <w:rFonts w:hint="eastAsia"/>
                <w:color w:val="000000"/>
                <w:sz w:val="24"/>
                <w:lang w:val="en-US" w:eastAsia="zh-CN"/>
              </w:rPr>
              <w:t>51m，</w:t>
            </w:r>
            <w:r>
              <w:rPr>
                <w:rFonts w:hint="eastAsia"/>
                <w:color w:val="auto"/>
                <w:sz w:val="24"/>
              </w:rPr>
              <w:t>4a类标准远期夜间红线</w:t>
            </w:r>
            <w:r>
              <w:rPr>
                <w:rFonts w:hint="eastAsia"/>
                <w:color w:val="auto"/>
                <w:sz w:val="24"/>
                <w:lang w:eastAsia="zh-CN"/>
              </w:rPr>
              <w:t>内即可</w:t>
            </w:r>
            <w:r>
              <w:rPr>
                <w:rFonts w:hint="eastAsia"/>
                <w:color w:val="auto"/>
                <w:sz w:val="24"/>
              </w:rPr>
              <w:t>达标</w:t>
            </w:r>
            <w:r>
              <w:rPr>
                <w:rFonts w:hint="eastAsia"/>
                <w:color w:val="000000"/>
                <w:sz w:val="24"/>
                <w:lang w:val="en-US" w:eastAsia="zh-CN"/>
              </w:rPr>
              <w:t>；</w:t>
            </w:r>
            <w:r>
              <w:rPr>
                <w:rFonts w:hint="eastAsia"/>
                <w:color w:val="000000"/>
                <w:sz w:val="24"/>
                <w:lang w:eastAsia="zh-CN"/>
              </w:rPr>
              <w:t>桃园路</w:t>
            </w:r>
            <w:r>
              <w:rPr>
                <w:rFonts w:hint="eastAsia"/>
              </w:rPr>
              <w:t>2类标准远期夜间达标距离为红线外</w:t>
            </w:r>
            <w:r>
              <w:rPr>
                <w:rFonts w:hint="eastAsia"/>
                <w:color w:val="000000"/>
                <w:sz w:val="24"/>
                <w:lang w:val="en-US" w:eastAsia="zh-CN"/>
              </w:rPr>
              <w:t>134m，</w:t>
            </w:r>
            <w:r>
              <w:rPr>
                <w:rFonts w:hint="eastAsia"/>
                <w:color w:val="auto"/>
                <w:sz w:val="24"/>
              </w:rPr>
              <w:t>4a类标准远期夜间达标距离为红线外</w:t>
            </w:r>
            <w:r>
              <w:rPr>
                <w:rFonts w:hint="eastAsia"/>
                <w:color w:val="auto"/>
                <w:sz w:val="24"/>
                <w:lang w:val="en-US" w:eastAsia="zh-CN"/>
              </w:rPr>
              <w:t>29m</w:t>
            </w:r>
            <w:r>
              <w:rPr>
                <w:rFonts w:hint="eastAsia"/>
                <w:color w:val="000000"/>
                <w:sz w:val="24"/>
                <w:lang w:val="en-US" w:eastAsia="zh-CN"/>
              </w:rPr>
              <w:t>；</w:t>
            </w:r>
            <w:r>
              <w:rPr>
                <w:rFonts w:hint="eastAsia"/>
                <w:color w:val="000000"/>
                <w:sz w:val="24"/>
                <w:lang w:eastAsia="zh-CN"/>
              </w:rPr>
              <w:t>纬四路</w:t>
            </w:r>
            <w:r>
              <w:rPr>
                <w:rFonts w:hint="eastAsia"/>
              </w:rPr>
              <w:t>2类标准远期夜间达标距离为红线外</w:t>
            </w:r>
            <w:r>
              <w:rPr>
                <w:rFonts w:hint="eastAsia"/>
                <w:lang w:val="en-US" w:eastAsia="zh-CN"/>
              </w:rPr>
              <w:t>1m，</w:t>
            </w:r>
            <w:r>
              <w:rPr>
                <w:rFonts w:hint="eastAsia"/>
                <w:color w:val="auto"/>
                <w:sz w:val="24"/>
              </w:rPr>
              <w:t>4a类标准远期夜间红线</w:t>
            </w:r>
            <w:r>
              <w:rPr>
                <w:rFonts w:hint="eastAsia"/>
                <w:color w:val="auto"/>
                <w:sz w:val="24"/>
                <w:lang w:eastAsia="zh-CN"/>
              </w:rPr>
              <w:t>内即可</w:t>
            </w:r>
            <w:r>
              <w:rPr>
                <w:rFonts w:hint="eastAsia"/>
                <w:color w:val="auto"/>
                <w:sz w:val="24"/>
              </w:rPr>
              <w:t>达标</w:t>
            </w:r>
            <w:r>
              <w:rPr>
                <w:rFonts w:hint="eastAsia"/>
                <w:color w:val="000000"/>
                <w:sz w:val="24"/>
                <w:lang w:val="en-US" w:eastAsia="zh-CN"/>
              </w:rPr>
              <w:t>；百合路</w:t>
            </w:r>
            <w:r>
              <w:rPr>
                <w:rFonts w:hint="eastAsia"/>
              </w:rPr>
              <w:t>2类标准远期夜间达标距离为红线外</w:t>
            </w:r>
            <w:r>
              <w:rPr>
                <w:rFonts w:hint="eastAsia"/>
                <w:color w:val="000000"/>
                <w:sz w:val="24"/>
                <w:lang w:val="en-US" w:eastAsia="zh-CN"/>
              </w:rPr>
              <w:t>51m，</w:t>
            </w:r>
            <w:r>
              <w:rPr>
                <w:rFonts w:hint="eastAsia"/>
                <w:color w:val="auto"/>
                <w:sz w:val="24"/>
              </w:rPr>
              <w:t>4a类标准远期夜间达标距离为红线外</w:t>
            </w:r>
            <w:r>
              <w:rPr>
                <w:rFonts w:hint="eastAsia"/>
                <w:color w:val="auto"/>
                <w:sz w:val="24"/>
                <w:lang w:val="en-US" w:eastAsia="zh-CN"/>
              </w:rPr>
              <w:t>8m</w:t>
            </w:r>
            <w:r>
              <w:rPr>
                <w:rFonts w:hint="eastAsia"/>
                <w:color w:val="000000"/>
                <w:sz w:val="24"/>
                <w:lang w:eastAsia="zh-CN"/>
              </w:rPr>
              <w:t>。</w:t>
            </w:r>
          </w:p>
          <w:p>
            <w:pPr>
              <w:ind w:firstLine="480" w:firstLineChars="200"/>
            </w:pPr>
            <w:r>
              <w:t>根据</w:t>
            </w:r>
            <w:r>
              <w:rPr>
                <w:rFonts w:hint="eastAsia"/>
              </w:rPr>
              <w:t>可研及业主提供的征地、规划等资料，本项目所在地规划为道路用地，道路两侧主要为</w:t>
            </w:r>
            <w:r>
              <w:rPr>
                <w:rFonts w:hint="eastAsia"/>
                <w:lang w:eastAsia="zh-CN"/>
              </w:rPr>
              <w:t>二类工业用地、物流仓储</w:t>
            </w:r>
            <w:r>
              <w:rPr>
                <w:rFonts w:hint="eastAsia"/>
              </w:rPr>
              <w:t>用地、</w:t>
            </w:r>
            <w:r>
              <w:rPr>
                <w:rFonts w:hint="eastAsia"/>
                <w:lang w:eastAsia="zh-CN"/>
              </w:rPr>
              <w:t>二类居住</w:t>
            </w:r>
            <w:r>
              <w:rPr>
                <w:rFonts w:hint="eastAsia"/>
              </w:rPr>
              <w:t>用地</w:t>
            </w:r>
            <w:r>
              <w:rPr>
                <w:rFonts w:hint="eastAsia"/>
                <w:lang w:eastAsia="zh-CN"/>
              </w:rPr>
              <w:t>和规划中小学用地</w:t>
            </w:r>
            <w:r>
              <w:rPr>
                <w:rFonts w:hint="eastAsia"/>
              </w:rPr>
              <w:t>等，综合服务功能突出。</w:t>
            </w:r>
            <w:r>
              <w:rPr>
                <w:rFonts w:hint="eastAsia"/>
                <w:color w:val="000000"/>
                <w:sz w:val="24"/>
                <w:lang w:eastAsia="zh-CN"/>
              </w:rPr>
              <w:t>故</w:t>
            </w:r>
            <w:r>
              <w:rPr>
                <w:rFonts w:hint="eastAsia"/>
                <w:color w:val="000000"/>
                <w:sz w:val="24"/>
              </w:rPr>
              <w:t>本项目</w:t>
            </w:r>
            <w:r>
              <w:rPr>
                <w:rFonts w:hint="eastAsia"/>
                <w:color w:val="000000"/>
                <w:sz w:val="24"/>
                <w:lang w:eastAsia="zh-CN"/>
              </w:rPr>
              <w:t>中</w:t>
            </w:r>
            <w:r>
              <w:rPr>
                <w:rFonts w:hint="eastAsia"/>
                <w:color w:val="000000"/>
                <w:sz w:val="24"/>
              </w:rPr>
              <w:t>在未来运营期间，其交通噪声值对沿线两侧区域具有一定影响，</w:t>
            </w:r>
            <w:r>
              <w:rPr>
                <w:rFonts w:hint="eastAsia"/>
                <w:color w:val="000000"/>
                <w:sz w:val="24"/>
                <w:lang w:eastAsia="zh-CN"/>
              </w:rPr>
              <w:t>除纬四路能达标外，其余</w:t>
            </w:r>
            <w:r>
              <w:rPr>
                <w:rFonts w:hint="eastAsia"/>
                <w:color w:val="000000"/>
                <w:sz w:val="24"/>
                <w:lang w:val="en-US" w:eastAsia="zh-CN"/>
              </w:rPr>
              <w:t>3</w:t>
            </w:r>
            <w:r>
              <w:rPr>
                <w:rFonts w:hint="eastAsia"/>
                <w:color w:val="000000"/>
                <w:sz w:val="24"/>
                <w:lang w:eastAsia="zh-CN"/>
              </w:rPr>
              <w:t>条路均仅能在</w:t>
            </w:r>
            <w:r>
              <w:rPr>
                <w:rFonts w:hint="eastAsia"/>
                <w:color w:val="000000"/>
                <w:sz w:val="24"/>
              </w:rPr>
              <w:t>昼间4a类区均能达标，其他预测时段达标距离均在道路边界外。根据以上情况，本次评价建议在道路噪声达标距离范围内，首排不应规划建设学校、医院及居民住宅等噪声敏感建筑，必要时需在规划和建设过程中充分考虑交通噪声的影响。若在控制距离内新建声敏感建筑物时，建设单位与设计单位则需按《民用建筑隔声设计规范》（GB50118-2010）的要求，采取建筑物隔声围护、隔声门窗，同时进行合理布局，以使室内声环境满足相应建筑物的使用功能要求。</w:t>
            </w:r>
          </w:p>
          <w:p>
            <w:pPr>
              <w:tabs>
                <w:tab w:val="left" w:pos="5891"/>
              </w:tabs>
              <w:ind w:firstLine="480" w:firstLineChars="200"/>
              <w:jc w:val="left"/>
              <w:rPr>
                <w:sz w:val="24"/>
              </w:rPr>
            </w:pPr>
            <w:r>
              <w:rPr>
                <w:rFonts w:hint="eastAsia"/>
                <w:sz w:val="24"/>
              </w:rPr>
              <w:t>（4）营运期固体废物环境影响分析</w:t>
            </w:r>
          </w:p>
          <w:p>
            <w:pPr>
              <w:tabs>
                <w:tab w:val="left" w:pos="5891"/>
              </w:tabs>
              <w:ind w:firstLine="480" w:firstLineChars="200"/>
              <w:jc w:val="left"/>
              <w:rPr>
                <w:sz w:val="24"/>
              </w:rPr>
            </w:pPr>
            <w:r>
              <w:rPr>
                <w:rFonts w:hint="eastAsia"/>
                <w:sz w:val="24"/>
              </w:rPr>
              <w:t>营运期建议对经过道路的司乘人员进行环保教育，树立宣传标语，项目沿线设置若干垃圾桶。采取上述措施后，项目营运期产生的固废对环境的影响较小。</w:t>
            </w:r>
          </w:p>
          <w:p>
            <w:pPr>
              <w:tabs>
                <w:tab w:val="left" w:pos="5891"/>
              </w:tabs>
              <w:ind w:firstLine="480" w:firstLineChars="200"/>
              <w:jc w:val="left"/>
              <w:rPr>
                <w:sz w:val="24"/>
              </w:rPr>
            </w:pPr>
            <w:r>
              <w:rPr>
                <w:rFonts w:hint="eastAsia"/>
                <w:sz w:val="24"/>
              </w:rPr>
              <w:t>（5）营运期生态环境影响分析</w:t>
            </w:r>
          </w:p>
          <w:p>
            <w:pPr>
              <w:tabs>
                <w:tab w:val="left" w:pos="5891"/>
              </w:tabs>
              <w:ind w:firstLine="480" w:firstLineChars="200"/>
              <w:jc w:val="left"/>
              <w:rPr>
                <w:rFonts w:hint="eastAsia"/>
                <w:sz w:val="24"/>
              </w:rPr>
            </w:pPr>
            <w:r>
              <w:rPr>
                <w:rFonts w:hint="eastAsia"/>
                <w:sz w:val="24"/>
              </w:rPr>
              <w:t>本项目为城市</w:t>
            </w:r>
            <w:r>
              <w:rPr>
                <w:rFonts w:hint="eastAsia"/>
                <w:sz w:val="24"/>
                <w:lang w:eastAsia="zh-CN"/>
              </w:rPr>
              <w:t>道路</w:t>
            </w:r>
            <w:r>
              <w:rPr>
                <w:rFonts w:hint="eastAsia"/>
                <w:sz w:val="24"/>
              </w:rPr>
              <w:t>，由于拟建项目沿线区域为待开发用地，因此项目建设不会造成沿线植被类型分布状况和森林植物群落结构的改变。项目建成后两侧建设绿化大可增加区域绿地率，有利于改善区域生态环境。</w:t>
            </w:r>
          </w:p>
          <w:p>
            <w:pPr>
              <w:numPr>
                <w:ilvl w:val="0"/>
                <w:numId w:val="8"/>
              </w:numPr>
              <w:ind w:left="0" w:leftChars="0" w:firstLine="480" w:firstLineChars="200"/>
              <w:rPr>
                <w:rFonts w:hint="eastAsia"/>
                <w:sz w:val="24"/>
              </w:rPr>
            </w:pPr>
            <w:r>
              <w:rPr>
                <w:rFonts w:hint="eastAsia"/>
                <w:sz w:val="24"/>
              </w:rPr>
              <w:t>营运期社会环境影响分析</w:t>
            </w:r>
          </w:p>
          <w:p>
            <w:pPr>
              <w:numPr>
                <w:ilvl w:val="0"/>
                <w:numId w:val="0"/>
              </w:numPr>
              <w:ind w:firstLine="480" w:firstLineChars="200"/>
              <w:rPr>
                <w:sz w:val="24"/>
              </w:rPr>
            </w:pPr>
            <w:r>
              <w:rPr>
                <w:rFonts w:hint="eastAsia"/>
                <w:u w:val="none"/>
              </w:rPr>
              <w:t>本项目的建设加强了</w:t>
            </w:r>
            <w:r>
              <w:rPr>
                <w:rFonts w:hint="eastAsia"/>
                <w:u w:val="none"/>
                <w:lang w:eastAsia="zh-CN"/>
              </w:rPr>
              <w:t>云龙示范区</w:t>
            </w:r>
            <w:r>
              <w:rPr>
                <w:rFonts w:hint="eastAsia"/>
                <w:u w:val="none"/>
              </w:rPr>
              <w:t>内的交通联系，其建设有利于完善</w:t>
            </w:r>
            <w:r>
              <w:rPr>
                <w:rFonts w:hint="eastAsia"/>
                <w:u w:val="none"/>
                <w:lang w:eastAsia="zh-CN"/>
              </w:rPr>
              <w:t>云龙示范区</w:t>
            </w:r>
            <w:r>
              <w:rPr>
                <w:rFonts w:hint="eastAsia"/>
                <w:u w:val="none"/>
              </w:rPr>
              <w:t>的交通路网，并对沿线及周边地区的经济、社会发展产生积极影响。</w:t>
            </w:r>
          </w:p>
          <w:p>
            <w:pPr>
              <w:ind w:firstLine="482" w:firstLineChars="200"/>
              <w:rPr>
                <w:b/>
                <w:sz w:val="24"/>
              </w:rPr>
            </w:pPr>
            <w:r>
              <w:rPr>
                <w:b/>
                <w:sz w:val="24"/>
              </w:rPr>
              <w:t>1.4综合结论</w:t>
            </w:r>
          </w:p>
          <w:p>
            <w:pPr>
              <w:ind w:firstLine="480" w:firstLineChars="200"/>
              <w:jc w:val="left"/>
              <w:rPr>
                <w:sz w:val="24"/>
              </w:rPr>
            </w:pPr>
            <w:r>
              <w:rPr>
                <w:sz w:val="24"/>
              </w:rPr>
              <w:t>本项目建设符合</w:t>
            </w:r>
            <w:r>
              <w:rPr>
                <w:rFonts w:hint="eastAsia"/>
                <w:color w:val="000000" w:themeColor="text1"/>
                <w:sz w:val="24"/>
                <w14:textFill>
                  <w14:solidFill>
                    <w14:schemeClr w14:val="tx1"/>
                  </w14:solidFill>
                </w14:textFill>
              </w:rPr>
              <w:t>云龙示范区</w:t>
            </w:r>
            <w:r>
              <w:rPr>
                <w:rFonts w:hint="eastAsia"/>
                <w:sz w:val="24"/>
              </w:rPr>
              <w:t>规划</w:t>
            </w:r>
            <w:r>
              <w:rPr>
                <w:sz w:val="24"/>
              </w:rPr>
              <w:t>，</w:t>
            </w:r>
            <w:r>
              <w:rPr>
                <w:bCs/>
                <w:sz w:val="24"/>
              </w:rPr>
              <w:t>项目建成后</w:t>
            </w:r>
            <w:r>
              <w:rPr>
                <w:sz w:val="24"/>
              </w:rPr>
              <w:t>，对于完善区域路网、改善区域基础设施建设等都有着非常重要和积极的作用，具有良好的社会效益。尽管工程建设对道路两侧区域环境有一定影响，只要采取本报告提出的措施后，可以消除或减轻影响，因此从环境保护方面分析，本工程建设是可行的。</w:t>
            </w:r>
          </w:p>
          <w:p>
            <w:pPr>
              <w:ind w:firstLine="482" w:firstLineChars="200"/>
              <w:jc w:val="left"/>
              <w:rPr>
                <w:b/>
                <w:sz w:val="24"/>
              </w:rPr>
            </w:pPr>
            <w:r>
              <w:rPr>
                <w:rFonts w:hint="eastAsia"/>
                <w:b/>
                <w:sz w:val="24"/>
                <w:lang w:val="en-US" w:eastAsia="zh-CN"/>
              </w:rPr>
              <w:t>2</w:t>
            </w:r>
            <w:r>
              <w:rPr>
                <w:b/>
                <w:sz w:val="24"/>
              </w:rPr>
              <w:t>、建议和要求</w:t>
            </w:r>
          </w:p>
          <w:p>
            <w:pPr>
              <w:ind w:firstLine="482" w:firstLineChars="200"/>
              <w:jc w:val="left"/>
              <w:rPr>
                <w:b/>
                <w:sz w:val="24"/>
              </w:rPr>
            </w:pPr>
            <w:r>
              <w:rPr>
                <w:rFonts w:hint="eastAsia"/>
                <w:b/>
                <w:sz w:val="24"/>
                <w:lang w:val="en-US" w:eastAsia="zh-CN"/>
              </w:rPr>
              <w:t>2.</w:t>
            </w:r>
            <w:r>
              <w:rPr>
                <w:b/>
                <w:sz w:val="24"/>
              </w:rPr>
              <w:t>1、施工期的环境保护措施与建议</w:t>
            </w:r>
          </w:p>
          <w:p>
            <w:pPr>
              <w:ind w:firstLine="480" w:firstLineChars="200"/>
              <w:jc w:val="left"/>
              <w:rPr>
                <w:sz w:val="24"/>
              </w:rPr>
            </w:pPr>
            <w:r>
              <w:rPr>
                <w:sz w:val="24"/>
              </w:rPr>
              <w:t>（1）在基建施工过程中应注意文明施工，应按照国家环保部颁布的《防治城市扬尘污染技术规范》提出的要求，防治建设过程中的扬尘对环境空气的影响。</w:t>
            </w:r>
          </w:p>
          <w:p>
            <w:pPr>
              <w:ind w:firstLine="480" w:firstLineChars="200"/>
              <w:jc w:val="left"/>
              <w:rPr>
                <w:sz w:val="24"/>
              </w:rPr>
            </w:pPr>
            <w:r>
              <w:rPr>
                <w:sz w:val="24"/>
              </w:rPr>
              <w:t>（2）在项目施工过程中，尽量缩小土壤裸露面积。在建设区周边开挖排水沟，以防止土壤冲刷流失。土方施工应采取边挖、边运、边填的方式，避免大量松散土存在而造成严重的土壤侵蚀流失。</w:t>
            </w:r>
          </w:p>
          <w:p>
            <w:pPr>
              <w:ind w:firstLine="480" w:firstLineChars="200"/>
              <w:jc w:val="left"/>
              <w:rPr>
                <w:sz w:val="24"/>
              </w:rPr>
            </w:pPr>
            <w:r>
              <w:rPr>
                <w:sz w:val="24"/>
              </w:rPr>
              <w:t>（3）雨、污管道及综合管线须同步建设。在施工完成后，应尽快对建设区进行环境绿化工程等建设，使场地土面及时得到绿化覆盖，避免水土流失，美化环境。</w:t>
            </w:r>
          </w:p>
          <w:p>
            <w:pPr>
              <w:ind w:firstLine="480" w:firstLineChars="200"/>
              <w:jc w:val="left"/>
              <w:rPr>
                <w:sz w:val="24"/>
              </w:rPr>
            </w:pPr>
            <w:r>
              <w:rPr>
                <w:sz w:val="24"/>
              </w:rPr>
              <w:t>（4）在基建施工过程中应注意文明施工，严格执行《株洲市城市扬尘污染防治管理办法》防止建设过程中的扬尘对环境空气的影响。</w:t>
            </w:r>
          </w:p>
          <w:p>
            <w:pPr>
              <w:ind w:firstLine="480" w:firstLineChars="200"/>
              <w:jc w:val="left"/>
              <w:rPr>
                <w:sz w:val="24"/>
              </w:rPr>
            </w:pPr>
            <w:r>
              <w:rPr>
                <w:sz w:val="24"/>
              </w:rPr>
              <w:t>（5）合理选择施工机械、施工方法、施工场界，尽量选用低噪声设备，施工期噪声应按《建筑施工场界环境噪声排放标准》（GB12523-2011）进行控制，应根据周边环境保护目标的敏感程度，合理安排施工时间。</w:t>
            </w:r>
          </w:p>
          <w:p>
            <w:pPr>
              <w:ind w:firstLine="480" w:firstLineChars="200"/>
              <w:jc w:val="left"/>
              <w:rPr>
                <w:sz w:val="24"/>
              </w:rPr>
            </w:pPr>
            <w:r>
              <w:rPr>
                <w:sz w:val="24"/>
              </w:rPr>
              <w:t>（6）项目施工应全部采用商品混凝土，不在施工场地内设置混凝土搅拌站</w:t>
            </w:r>
            <w:r>
              <w:rPr>
                <w:rFonts w:hint="eastAsia"/>
                <w:sz w:val="24"/>
              </w:rPr>
              <w:t>。</w:t>
            </w:r>
          </w:p>
          <w:p>
            <w:pPr>
              <w:ind w:firstLine="480" w:firstLineChars="200"/>
              <w:jc w:val="left"/>
              <w:rPr>
                <w:sz w:val="24"/>
              </w:rPr>
            </w:pPr>
            <w:r>
              <w:rPr>
                <w:sz w:val="24"/>
              </w:rPr>
              <w:t>（7）确定施工计划时，应考虑道路两侧企业及居民的正常生产、生活，不阻碍当地交通，注意不破坏路面下的各种管道、线路。</w:t>
            </w:r>
          </w:p>
          <w:p>
            <w:pPr>
              <w:ind w:firstLine="480" w:firstLineChars="200"/>
              <w:jc w:val="left"/>
              <w:rPr>
                <w:sz w:val="24"/>
              </w:rPr>
            </w:pPr>
            <w:r>
              <w:rPr>
                <w:sz w:val="24"/>
              </w:rPr>
              <w:t>（8）加强施工安全管理，对施工区采用安全围挡，设置明显的警示标志，夜间要有醒目的红色警示灯。</w:t>
            </w:r>
          </w:p>
          <w:p>
            <w:pPr>
              <w:ind w:firstLine="480" w:firstLineChars="200"/>
              <w:jc w:val="left"/>
              <w:rPr>
                <w:sz w:val="24"/>
              </w:rPr>
            </w:pPr>
            <w:r>
              <w:rPr>
                <w:sz w:val="24"/>
              </w:rPr>
              <w:t>（9）应采取措施，缩短临时占地使用时间，施工完毕，立即恢复植被或复垦。</w:t>
            </w:r>
          </w:p>
          <w:p>
            <w:pPr>
              <w:ind w:firstLine="480" w:firstLineChars="200"/>
              <w:jc w:val="left"/>
              <w:rPr>
                <w:sz w:val="24"/>
              </w:rPr>
            </w:pPr>
            <w:r>
              <w:rPr>
                <w:rFonts w:hint="eastAsia"/>
                <w:sz w:val="24"/>
                <w:lang w:eastAsia="zh-CN"/>
              </w:rPr>
              <w:t>（</w:t>
            </w:r>
            <w:r>
              <w:rPr>
                <w:rFonts w:hint="eastAsia"/>
                <w:sz w:val="24"/>
                <w:lang w:val="en-US" w:eastAsia="zh-CN"/>
              </w:rPr>
              <w:t>10</w:t>
            </w:r>
            <w:r>
              <w:rPr>
                <w:rFonts w:hint="eastAsia"/>
                <w:sz w:val="24"/>
                <w:lang w:eastAsia="zh-CN"/>
              </w:rPr>
              <w:t>）</w:t>
            </w:r>
            <w:r>
              <w:rPr>
                <w:sz w:val="24"/>
              </w:rPr>
              <w:t>应在施工期间，搞好项目的生态保护和建设。在项目建设的同时应及时搞好道路的植树、绿化及地面硬化，工程建成后，应无裸露地面，使区域水土保持功能得到加强。</w:t>
            </w:r>
          </w:p>
          <w:p>
            <w:pPr>
              <w:ind w:firstLine="482" w:firstLineChars="200"/>
              <w:jc w:val="left"/>
              <w:rPr>
                <w:b/>
                <w:sz w:val="24"/>
              </w:rPr>
            </w:pPr>
            <w:r>
              <w:rPr>
                <w:rFonts w:hint="eastAsia"/>
                <w:b/>
                <w:sz w:val="24"/>
                <w:lang w:val="en-US" w:eastAsia="zh-CN"/>
              </w:rPr>
              <w:t>2.</w:t>
            </w:r>
            <w:r>
              <w:rPr>
                <w:b/>
                <w:sz w:val="24"/>
              </w:rPr>
              <w:t>2、营运期环境保护措施与建议</w:t>
            </w:r>
          </w:p>
          <w:p>
            <w:pPr>
              <w:ind w:firstLine="480" w:firstLineChars="200"/>
              <w:jc w:val="left"/>
              <w:rPr>
                <w:sz w:val="24"/>
              </w:rPr>
            </w:pPr>
            <w:r>
              <w:rPr>
                <w:sz w:val="24"/>
              </w:rPr>
              <w:t>（1）加强对道路的养护工作，配置专用洒水车，定时冲洗，减少道路扬尘的污染，保护人们的身心健康。</w:t>
            </w:r>
          </w:p>
          <w:p>
            <w:pPr>
              <w:ind w:firstLine="480" w:firstLineChars="200"/>
              <w:jc w:val="left"/>
              <w:rPr>
                <w:sz w:val="24"/>
              </w:rPr>
            </w:pPr>
            <w:r>
              <w:rPr>
                <w:sz w:val="24"/>
              </w:rPr>
              <w:t>（2）减少汽车尾气中污染物排放量是解决汽车尾气污染的根本途径，可以通过改进汽车性能、安装汽车尾气净化装置、使用无铅汽油等方法来减少污染物的绝对排放量。</w:t>
            </w:r>
          </w:p>
          <w:p>
            <w:pPr>
              <w:ind w:firstLine="480" w:firstLineChars="200"/>
              <w:jc w:val="left"/>
              <w:rPr>
                <w:sz w:val="24"/>
              </w:rPr>
            </w:pPr>
            <w:r>
              <w:rPr>
                <w:sz w:val="24"/>
              </w:rPr>
              <w:t>（3）设禁鸣喇叭和限时通过标识，禁止尾气、噪声超标的机动车辆通行。</w:t>
            </w:r>
          </w:p>
          <w:p>
            <w:pPr>
              <w:ind w:firstLine="480" w:firstLineChars="200"/>
              <w:jc w:val="left"/>
              <w:rPr>
                <w:sz w:val="24"/>
              </w:rPr>
            </w:pPr>
            <w:r>
              <w:rPr>
                <w:sz w:val="24"/>
              </w:rPr>
              <w:t>（4）对沿路洒落的垃圾等固体废物及时妥善处理，并制定风险事故应急方案和具体处理措施以免危害沿线环境。</w:t>
            </w:r>
          </w:p>
          <w:p>
            <w:pPr>
              <w:ind w:firstLine="480" w:firstLineChars="200"/>
              <w:jc w:val="left"/>
              <w:rPr>
                <w:sz w:val="24"/>
              </w:rPr>
            </w:pPr>
            <w:r>
              <w:rPr>
                <w:sz w:val="24"/>
              </w:rPr>
              <w:t>（5）工程建成后，业主应与</w:t>
            </w:r>
            <w:r>
              <w:rPr>
                <w:rFonts w:hint="eastAsia"/>
                <w:sz w:val="24"/>
              </w:rPr>
              <w:t>道路</w:t>
            </w:r>
            <w:r>
              <w:rPr>
                <w:sz w:val="24"/>
              </w:rPr>
              <w:t>交通安全管理部门协商，确定各自的管理职责和权限，在交通、公安、消防、环保和环境卫生等部门的指导下，成立应急事故领导小组，制定应急措施与应急处理程序，做好灭火、防毒、防污染等急救行动的物质准备和思想准备，对有关人员进行培训，并定期进行急救实战演习，以便一旦发生事故，及时组织调动人员、车辆、设备、药物对事故进行紧急处理，控制事故影响在最小范围内。</w:t>
            </w:r>
          </w:p>
          <w:p>
            <w:pPr>
              <w:ind w:firstLine="480" w:firstLineChars="200"/>
              <w:jc w:val="left"/>
              <w:rPr>
                <w:sz w:val="24"/>
              </w:rPr>
            </w:pPr>
            <w:r>
              <w:rPr>
                <w:sz w:val="24"/>
              </w:rPr>
              <w:t>（6）工程建设应设置</w:t>
            </w:r>
            <w:r>
              <w:rPr>
                <w:rFonts w:hint="eastAsia"/>
                <w:sz w:val="24"/>
              </w:rPr>
              <w:t>“</w:t>
            </w:r>
            <w:r>
              <w:rPr>
                <w:sz w:val="24"/>
              </w:rPr>
              <w:t>环境保护监督栏</w:t>
            </w:r>
            <w:r>
              <w:rPr>
                <w:rFonts w:hint="eastAsia"/>
                <w:sz w:val="24"/>
              </w:rPr>
              <w:t>”</w:t>
            </w:r>
            <w:r>
              <w:rPr>
                <w:sz w:val="24"/>
              </w:rPr>
              <w:t>，严格执行环境保护“三同时”的制度，各种环保措施必须同时设计、同时施工、同时投入运行。工程完工后需经环境部门验收合格后方可投入正式使用。</w:t>
            </w:r>
          </w:p>
          <w:p>
            <w:pPr>
              <w:ind w:firstLine="480" w:firstLineChars="200"/>
              <w:jc w:val="left"/>
              <w:rPr>
                <w:sz w:val="24"/>
                <w:highlight w:val="yellow"/>
              </w:rPr>
            </w:pPr>
          </w:p>
          <w:p>
            <w:pPr>
              <w:ind w:firstLine="480" w:firstLineChars="200"/>
              <w:jc w:val="left"/>
              <w:rPr>
                <w:sz w:val="24"/>
                <w:highlight w:val="yellow"/>
              </w:rPr>
            </w:pPr>
          </w:p>
          <w:p>
            <w:pPr>
              <w:ind w:firstLine="480" w:firstLineChars="200"/>
              <w:jc w:val="left"/>
              <w:rPr>
                <w:sz w:val="24"/>
                <w:highlight w:val="yellow"/>
              </w:rPr>
            </w:pPr>
          </w:p>
          <w:p>
            <w:pPr>
              <w:ind w:firstLine="480" w:firstLineChars="200"/>
              <w:jc w:val="left"/>
              <w:rPr>
                <w:sz w:val="24"/>
                <w:highlight w:val="yellow"/>
              </w:rPr>
            </w:pPr>
          </w:p>
          <w:p>
            <w:pPr>
              <w:ind w:firstLine="480" w:firstLineChars="200"/>
              <w:jc w:val="left"/>
              <w:rPr>
                <w:sz w:val="24"/>
                <w:highlight w:val="yellow"/>
              </w:rPr>
            </w:pPr>
          </w:p>
          <w:p>
            <w:pPr>
              <w:ind w:firstLine="480" w:firstLineChars="200"/>
              <w:jc w:val="left"/>
              <w:rPr>
                <w:sz w:val="24"/>
                <w:highlight w:val="yellow"/>
              </w:rPr>
            </w:pPr>
          </w:p>
          <w:p>
            <w:pPr>
              <w:spacing w:before="218" w:beforeLines="50" w:after="218" w:afterLines="50"/>
              <w:jc w:val="both"/>
              <w:rPr>
                <w:rFonts w:hint="eastAsia" w:cs="宋体"/>
                <w:b/>
                <w:bCs/>
                <w:szCs w:val="32"/>
              </w:rPr>
            </w:pPr>
          </w:p>
          <w:p>
            <w:pPr>
              <w:spacing w:before="218" w:beforeLines="50" w:after="218" w:afterLines="50"/>
              <w:jc w:val="center"/>
              <w:rPr>
                <w:rFonts w:cs="宋体"/>
                <w:b/>
                <w:bCs/>
                <w:szCs w:val="32"/>
              </w:rPr>
            </w:pPr>
            <w:r>
              <w:rPr>
                <w:rFonts w:hint="eastAsia" w:cs="宋体"/>
                <w:b/>
                <w:bCs/>
                <w:szCs w:val="32"/>
              </w:rPr>
              <w:t>注    释</w:t>
            </w:r>
          </w:p>
          <w:p>
            <w:pPr>
              <w:numPr>
                <w:ilvl w:val="0"/>
                <w:numId w:val="18"/>
              </w:numPr>
              <w:ind w:firstLine="482"/>
              <w:rPr>
                <w:sz w:val="28"/>
                <w:szCs w:val="28"/>
              </w:rPr>
            </w:pPr>
            <w:r>
              <w:rPr>
                <w:sz w:val="28"/>
                <w:szCs w:val="28"/>
              </w:rPr>
              <w:t>本报告表应附以下附件、附图：</w:t>
            </w:r>
          </w:p>
          <w:p>
            <w:pPr>
              <w:numPr>
                <w:ilvl w:val="0"/>
                <w:numId w:val="0"/>
              </w:numPr>
              <w:ind w:firstLine="560" w:firstLineChars="200"/>
              <w:rPr>
                <w:sz w:val="28"/>
                <w:szCs w:val="28"/>
              </w:rPr>
            </w:pPr>
            <w:r>
              <w:rPr>
                <w:sz w:val="28"/>
                <w:szCs w:val="28"/>
              </w:rPr>
              <w:t>附件1：</w:t>
            </w:r>
            <w:r>
              <w:rPr>
                <w:rFonts w:hint="eastAsia"/>
                <w:sz w:val="28"/>
                <w:szCs w:val="28"/>
                <w:lang w:eastAsia="zh-CN"/>
              </w:rPr>
              <w:t>株洲市云龙示范区</w:t>
            </w:r>
            <w:r>
              <w:rPr>
                <w:sz w:val="28"/>
                <w:szCs w:val="28"/>
              </w:rPr>
              <w:t>发展和改革局</w:t>
            </w:r>
            <w:r>
              <w:rPr>
                <w:rFonts w:hint="eastAsia"/>
                <w:sz w:val="28"/>
                <w:szCs w:val="28"/>
                <w:lang w:eastAsia="zh-CN"/>
              </w:rPr>
              <w:t>《关于</w:t>
            </w:r>
            <w:r>
              <w:rPr>
                <w:rFonts w:hint="eastAsia"/>
                <w:sz w:val="28"/>
                <w:szCs w:val="28"/>
              </w:rPr>
              <w:t>株洲（省级）经开区生物科技园示范园配套道路</w:t>
            </w:r>
            <w:r>
              <w:rPr>
                <w:rFonts w:hint="eastAsia"/>
                <w:sz w:val="28"/>
                <w:szCs w:val="28"/>
                <w:lang w:eastAsia="zh-CN"/>
              </w:rPr>
              <w:t>新建工程可行性研究报告（代项目建议书）的批复》</w:t>
            </w:r>
            <w:r>
              <w:rPr>
                <w:sz w:val="28"/>
                <w:szCs w:val="28"/>
              </w:rPr>
              <w:t>（株</w:t>
            </w:r>
            <w:r>
              <w:rPr>
                <w:rFonts w:hint="eastAsia"/>
                <w:sz w:val="28"/>
                <w:szCs w:val="28"/>
                <w:lang w:eastAsia="zh-CN"/>
              </w:rPr>
              <w:t>云龙</w:t>
            </w:r>
            <w:r>
              <w:rPr>
                <w:sz w:val="28"/>
                <w:szCs w:val="28"/>
              </w:rPr>
              <w:t>发改审【20</w:t>
            </w:r>
            <w:r>
              <w:rPr>
                <w:rFonts w:hint="eastAsia"/>
                <w:sz w:val="28"/>
                <w:szCs w:val="28"/>
                <w:lang w:val="en-US" w:eastAsia="zh-CN"/>
              </w:rPr>
              <w:t>20</w:t>
            </w:r>
            <w:r>
              <w:rPr>
                <w:sz w:val="28"/>
                <w:szCs w:val="28"/>
              </w:rPr>
              <w:t xml:space="preserve">】 </w:t>
            </w:r>
            <w:r>
              <w:rPr>
                <w:rFonts w:hint="eastAsia"/>
                <w:sz w:val="28"/>
                <w:szCs w:val="28"/>
                <w:lang w:val="en-US" w:eastAsia="zh-CN"/>
              </w:rPr>
              <w:t>131</w:t>
            </w:r>
            <w:r>
              <w:rPr>
                <w:sz w:val="28"/>
                <w:szCs w:val="28"/>
              </w:rPr>
              <w:t xml:space="preserve"> 号）</w:t>
            </w:r>
          </w:p>
          <w:p>
            <w:pPr>
              <w:ind w:left="557" w:leftChars="232" w:firstLine="0" w:firstLineChars="0"/>
              <w:rPr>
                <w:rFonts w:hint="default"/>
                <w:sz w:val="28"/>
                <w:szCs w:val="28"/>
                <w:lang w:val="en-US" w:eastAsia="zh-CN"/>
              </w:rPr>
            </w:pPr>
            <w:r>
              <w:rPr>
                <w:rFonts w:hint="eastAsia"/>
                <w:sz w:val="28"/>
                <w:szCs w:val="28"/>
              </w:rPr>
              <w:t>附件2：其他与环评有关的行政管理文件</w:t>
            </w:r>
            <w:r>
              <w:rPr>
                <w:rFonts w:hint="eastAsia"/>
                <w:sz w:val="28"/>
                <w:szCs w:val="28"/>
              </w:rPr>
              <w:br w:type="textWrapping"/>
            </w:r>
            <w:r>
              <w:rPr>
                <w:rFonts w:hint="eastAsia"/>
                <w:sz w:val="28"/>
                <w:szCs w:val="28"/>
                <w:lang w:eastAsia="zh-CN"/>
              </w:rPr>
              <w:t>附图</w:t>
            </w:r>
            <w:r>
              <w:rPr>
                <w:rFonts w:hint="eastAsia"/>
                <w:sz w:val="28"/>
                <w:szCs w:val="28"/>
                <w:lang w:val="en-US" w:eastAsia="zh-CN"/>
              </w:rPr>
              <w:t>1：地理位置图</w:t>
            </w:r>
          </w:p>
          <w:p>
            <w:pPr>
              <w:pStyle w:val="2"/>
              <w:ind w:left="0" w:leftChars="0" w:firstLine="560" w:firstLineChars="200"/>
              <w:rPr>
                <w:rFonts w:hint="default"/>
                <w:lang w:val="en-US" w:eastAsia="zh-CN"/>
              </w:rPr>
            </w:pPr>
            <w:r>
              <w:rPr>
                <w:rFonts w:hint="eastAsia"/>
                <w:sz w:val="28"/>
                <w:szCs w:val="28"/>
                <w:lang w:val="en-US" w:eastAsia="zh-CN"/>
              </w:rPr>
              <w:t>附图2：平面图</w:t>
            </w:r>
          </w:p>
          <w:p>
            <w:pPr>
              <w:rPr>
                <w:sz w:val="28"/>
                <w:szCs w:val="28"/>
              </w:rPr>
            </w:pPr>
          </w:p>
          <w:p>
            <w:pPr>
              <w:rPr>
                <w:sz w:val="28"/>
                <w:szCs w:val="28"/>
              </w:rPr>
            </w:pPr>
          </w:p>
          <w:p>
            <w:pPr>
              <w:rPr>
                <w:sz w:val="28"/>
                <w:szCs w:val="28"/>
              </w:rPr>
            </w:pPr>
          </w:p>
          <w:p>
            <w:pPr>
              <w:ind w:left="624"/>
              <w:rPr>
                <w:sz w:val="28"/>
                <w:szCs w:val="28"/>
              </w:rPr>
            </w:pPr>
            <w:r>
              <w:rPr>
                <w:sz w:val="28"/>
                <w:szCs w:val="28"/>
              </w:rPr>
              <w:t xml:space="preserve">二、如果本报告表不能说明项目产生的污染及对环境造成的影    </w:t>
            </w:r>
          </w:p>
          <w:p>
            <w:pPr>
              <w:ind w:left="624" w:firstLine="168"/>
              <w:rPr>
                <w:sz w:val="28"/>
                <w:szCs w:val="28"/>
              </w:rPr>
            </w:pPr>
            <w:r>
              <w:rPr>
                <w:sz w:val="28"/>
                <w:szCs w:val="28"/>
              </w:rPr>
              <w:t xml:space="preserve">   响，应进行专项评价。根据建设项目的特点和当地环境特</w:t>
            </w:r>
          </w:p>
          <w:p>
            <w:pPr>
              <w:ind w:left="624" w:firstLine="168"/>
              <w:rPr>
                <w:sz w:val="28"/>
                <w:szCs w:val="28"/>
              </w:rPr>
            </w:pPr>
            <w:r>
              <w:rPr>
                <w:sz w:val="28"/>
                <w:szCs w:val="28"/>
              </w:rPr>
              <w:t xml:space="preserve">   征，应选下列1~2项进行专项评价。</w:t>
            </w:r>
          </w:p>
          <w:p>
            <w:pPr>
              <w:ind w:firstLine="482"/>
              <w:rPr>
                <w:sz w:val="28"/>
                <w:szCs w:val="28"/>
              </w:rPr>
            </w:pPr>
            <w:r>
              <w:rPr>
                <w:sz w:val="28"/>
                <w:szCs w:val="28"/>
              </w:rPr>
              <w:t>1. 大气环境影响专项评价</w:t>
            </w:r>
          </w:p>
          <w:p>
            <w:pPr>
              <w:ind w:firstLine="482"/>
              <w:rPr>
                <w:sz w:val="28"/>
                <w:szCs w:val="28"/>
              </w:rPr>
            </w:pPr>
            <w:r>
              <w:rPr>
                <w:sz w:val="28"/>
                <w:szCs w:val="28"/>
              </w:rPr>
              <w:t>2. 水环境影响专项评价（包括地表水和地面水）</w:t>
            </w:r>
          </w:p>
          <w:p>
            <w:pPr>
              <w:ind w:firstLine="482"/>
              <w:rPr>
                <w:sz w:val="28"/>
                <w:szCs w:val="28"/>
              </w:rPr>
            </w:pPr>
            <w:r>
              <w:rPr>
                <w:sz w:val="28"/>
                <w:szCs w:val="28"/>
              </w:rPr>
              <w:t>3. 生态影响专项评价</w:t>
            </w:r>
          </w:p>
          <w:p>
            <w:pPr>
              <w:ind w:firstLine="482"/>
              <w:rPr>
                <w:sz w:val="28"/>
                <w:szCs w:val="28"/>
              </w:rPr>
            </w:pPr>
            <w:r>
              <w:rPr>
                <w:sz w:val="28"/>
                <w:szCs w:val="28"/>
              </w:rPr>
              <w:t>4. 声影响专项评价</w:t>
            </w:r>
          </w:p>
          <w:p>
            <w:pPr>
              <w:ind w:firstLine="482"/>
              <w:rPr>
                <w:sz w:val="28"/>
                <w:szCs w:val="28"/>
              </w:rPr>
            </w:pPr>
            <w:r>
              <w:rPr>
                <w:sz w:val="28"/>
                <w:szCs w:val="28"/>
              </w:rPr>
              <w:t>5. 土壤影响专项评价</w:t>
            </w:r>
          </w:p>
          <w:p>
            <w:pPr>
              <w:ind w:firstLine="482"/>
              <w:rPr>
                <w:sz w:val="28"/>
                <w:szCs w:val="28"/>
              </w:rPr>
            </w:pPr>
            <w:r>
              <w:rPr>
                <w:sz w:val="28"/>
                <w:szCs w:val="28"/>
              </w:rPr>
              <w:t>6. 固体废弃物影响专项评价</w:t>
            </w:r>
          </w:p>
          <w:p>
            <w:pPr>
              <w:pStyle w:val="28"/>
              <w:spacing w:line="240" w:lineRule="auto"/>
              <w:ind w:firstLine="560"/>
              <w:rPr>
                <w:sz w:val="28"/>
                <w:szCs w:val="28"/>
              </w:rPr>
            </w:pPr>
            <w:r>
              <w:rPr>
                <w:sz w:val="28"/>
                <w:szCs w:val="28"/>
              </w:rPr>
              <w:t>以上专项评价未包括的可另列专项，专项评价按照《环境影响评价技术导则》中的要求进行。</w:t>
            </w:r>
          </w:p>
          <w:p>
            <w:pPr>
              <w:pStyle w:val="28"/>
              <w:spacing w:line="240" w:lineRule="auto"/>
              <w:ind w:firstLine="560"/>
              <w:rPr>
                <w:sz w:val="28"/>
                <w:szCs w:val="28"/>
              </w:rPr>
            </w:pPr>
          </w:p>
          <w:p>
            <w:pPr>
              <w:pStyle w:val="28"/>
              <w:spacing w:line="240" w:lineRule="auto"/>
              <w:ind w:firstLine="560"/>
              <w:rPr>
                <w:sz w:val="28"/>
                <w:szCs w:val="28"/>
              </w:rPr>
            </w:pPr>
          </w:p>
          <w:p>
            <w:pPr>
              <w:pStyle w:val="28"/>
              <w:spacing w:line="240" w:lineRule="auto"/>
              <w:ind w:firstLine="560"/>
              <w:rPr>
                <w:sz w:val="28"/>
                <w:szCs w:val="28"/>
              </w:rPr>
            </w:pPr>
          </w:p>
          <w:p>
            <w:pPr>
              <w:pStyle w:val="28"/>
              <w:spacing w:line="240" w:lineRule="auto"/>
              <w:ind w:firstLine="560"/>
              <w:rPr>
                <w:sz w:val="28"/>
                <w:szCs w:val="28"/>
              </w:rPr>
            </w:pPr>
          </w:p>
          <w:p>
            <w:pPr>
              <w:pStyle w:val="28"/>
              <w:spacing w:line="240" w:lineRule="auto"/>
              <w:ind w:firstLine="560"/>
              <w:rPr>
                <w:sz w:val="28"/>
                <w:szCs w:val="28"/>
                <w:highlight w:val="yellow"/>
              </w:rPr>
            </w:pPr>
          </w:p>
        </w:tc>
      </w:tr>
    </w:tbl>
    <w:p>
      <w:pPr>
        <w:pStyle w:val="23"/>
        <w:spacing w:line="240" w:lineRule="auto"/>
        <w:rPr>
          <w:rFonts w:cs="宋体"/>
          <w:szCs w:val="24"/>
          <w:highlight w:val="yellow"/>
        </w:rPr>
      </w:pPr>
    </w:p>
    <w:p>
      <w:pPr>
        <w:rPr>
          <w:rFonts w:cs="宋体"/>
          <w:szCs w:val="24"/>
          <w:highlight w:val="yellow"/>
        </w:rPr>
      </w:pPr>
    </w:p>
    <w:p>
      <w:pPr>
        <w:pStyle w:val="2"/>
        <w:rPr>
          <w:rFonts w:cs="宋体"/>
          <w:szCs w:val="24"/>
          <w:highlight w:val="yellow"/>
        </w:rPr>
      </w:pPr>
    </w:p>
    <w:p>
      <w:pPr>
        <w:rPr>
          <w:rFonts w:cs="宋体"/>
          <w:szCs w:val="24"/>
          <w:highlight w:val="yellow"/>
        </w:rPr>
      </w:pPr>
    </w:p>
    <w:tbl>
      <w:tblPr>
        <w:tblStyle w:val="34"/>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2" w:hRule="atLeast"/>
          <w:jc w:val="center"/>
        </w:trPr>
        <w:tc>
          <w:tcPr>
            <w:tcW w:w="9001" w:type="dxa"/>
          </w:tcPr>
          <w:p>
            <w:pPr>
              <w:pStyle w:val="23"/>
              <w:spacing w:line="240" w:lineRule="auto"/>
            </w:pPr>
            <w:r>
              <w:rPr>
                <w:rFonts w:hint="eastAsia"/>
              </w:rPr>
              <w:t xml:space="preserve">预审意见：   </w:t>
            </w:r>
          </w:p>
          <w:p>
            <w:pPr>
              <w:pStyle w:val="23"/>
              <w:spacing w:line="240" w:lineRule="auto"/>
            </w:pPr>
          </w:p>
          <w:p>
            <w:pPr>
              <w:pStyle w:val="23"/>
              <w:spacing w:line="240" w:lineRule="auto"/>
            </w:pPr>
            <w:r>
              <w:rPr>
                <w:rFonts w:hint="eastAsia"/>
              </w:rPr>
              <w:t xml:space="preserve">                 </w:t>
            </w:r>
          </w:p>
          <w:p>
            <w:pPr>
              <w:pStyle w:val="23"/>
              <w:spacing w:line="240" w:lineRule="auto"/>
            </w:pPr>
          </w:p>
          <w:p>
            <w:pPr>
              <w:pStyle w:val="23"/>
              <w:spacing w:line="240" w:lineRule="auto"/>
            </w:pPr>
          </w:p>
          <w:p/>
          <w:p/>
          <w:p/>
          <w:p/>
          <w:p/>
          <w:p/>
          <w:p>
            <w:pPr>
              <w:pStyle w:val="23"/>
              <w:spacing w:line="240" w:lineRule="auto"/>
            </w:pPr>
            <w:r>
              <w:rPr>
                <w:rFonts w:hint="eastAsia"/>
              </w:rPr>
              <w:t xml:space="preserve">                                                  公  章：</w:t>
            </w:r>
          </w:p>
          <w:p>
            <w:pPr>
              <w:pStyle w:val="23"/>
              <w:spacing w:line="240" w:lineRule="auto"/>
              <w:rPr>
                <w:rFonts w:hint="eastAsia"/>
              </w:rPr>
            </w:pPr>
            <w:r>
              <w:rPr>
                <w:rFonts w:hint="eastAsia"/>
              </w:rPr>
              <w:t>经办人：                                        年   月   日</w:t>
            </w:r>
          </w:p>
          <w:p>
            <w:pPr>
              <w:rPr>
                <w:rFonts w:hint="eastAsia" w:cs="宋体"/>
                <w:sz w:val="24"/>
                <w:szCs w:val="24"/>
              </w:rPr>
            </w:pPr>
          </w:p>
          <w:p>
            <w:pPr>
              <w:rPr>
                <w:rFonts w:hint="eastAsia"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6" w:hRule="atLeast"/>
          <w:jc w:val="center"/>
        </w:trPr>
        <w:tc>
          <w:tcPr>
            <w:tcW w:w="9001" w:type="dxa"/>
            <w:tcBorders>
              <w:bottom w:val="single" w:color="auto" w:sz="4" w:space="0"/>
            </w:tcBorders>
          </w:tcPr>
          <w:p>
            <w:pPr>
              <w:pStyle w:val="23"/>
              <w:spacing w:line="240" w:lineRule="auto"/>
            </w:pPr>
            <w:r>
              <w:rPr>
                <w:rFonts w:hint="eastAsia"/>
              </w:rPr>
              <w:t xml:space="preserve">下一级环境保护行政主管部门审查意见：                                </w:t>
            </w:r>
          </w:p>
          <w:p>
            <w:pPr>
              <w:pStyle w:val="23"/>
              <w:spacing w:line="240" w:lineRule="auto"/>
            </w:pPr>
            <w:r>
              <w:rPr>
                <w:rFonts w:hint="eastAsia"/>
              </w:rPr>
              <w:t xml:space="preserve">  </w:t>
            </w:r>
          </w:p>
          <w:p>
            <w:pPr>
              <w:pStyle w:val="23"/>
              <w:spacing w:line="240" w:lineRule="auto"/>
            </w:pPr>
          </w:p>
          <w:p>
            <w:pPr>
              <w:pStyle w:val="23"/>
              <w:spacing w:line="240" w:lineRule="auto"/>
            </w:pPr>
          </w:p>
          <w:p>
            <w:pPr>
              <w:pStyle w:val="23"/>
              <w:spacing w:line="240" w:lineRule="auto"/>
            </w:pPr>
            <w:r>
              <w:rPr>
                <w:rFonts w:hint="eastAsia"/>
              </w:rPr>
              <w:t xml:space="preserve"> </w:t>
            </w:r>
          </w:p>
          <w:p>
            <w:pPr>
              <w:pStyle w:val="23"/>
              <w:spacing w:line="240" w:lineRule="auto"/>
            </w:pPr>
          </w:p>
          <w:p/>
          <w:p>
            <w:pPr>
              <w:pStyle w:val="23"/>
              <w:spacing w:line="240" w:lineRule="auto"/>
            </w:pPr>
            <w:r>
              <w:rPr>
                <w:rFonts w:hint="eastAsia"/>
              </w:rPr>
              <w:t xml:space="preserve">      </w:t>
            </w:r>
          </w:p>
          <w:p>
            <w:pPr>
              <w:pStyle w:val="23"/>
              <w:spacing w:line="240" w:lineRule="auto"/>
            </w:pPr>
            <w:r>
              <w:rPr>
                <w:rFonts w:hint="eastAsia"/>
              </w:rPr>
              <w:t xml:space="preserve">                                  </w:t>
            </w:r>
          </w:p>
          <w:p>
            <w:pPr>
              <w:pStyle w:val="23"/>
              <w:spacing w:line="240" w:lineRule="auto"/>
            </w:pPr>
          </w:p>
          <w:p>
            <w:pPr>
              <w:pStyle w:val="23"/>
              <w:spacing w:line="240" w:lineRule="auto"/>
            </w:pPr>
            <w:r>
              <w:rPr>
                <w:rFonts w:hint="eastAsia"/>
              </w:rPr>
              <w:t xml:space="preserve">                                             公  章：</w:t>
            </w:r>
          </w:p>
          <w:p>
            <w:pPr>
              <w:pStyle w:val="23"/>
              <w:spacing w:line="240" w:lineRule="auto"/>
              <w:rPr>
                <w:rFonts w:hint="eastAsia"/>
              </w:rPr>
            </w:pPr>
            <w:r>
              <w:rPr>
                <w:rFonts w:hint="eastAsia"/>
              </w:rPr>
              <w:t>经办人：                                   年   月   日</w:t>
            </w:r>
          </w:p>
          <w:p>
            <w:pPr>
              <w:rPr>
                <w:rFonts w:hint="eastAsia" w:cs="宋体"/>
                <w:sz w:val="24"/>
                <w:szCs w:val="24"/>
              </w:rPr>
            </w:pPr>
          </w:p>
          <w:p>
            <w:pPr>
              <w:rPr>
                <w:rFonts w:hint="eastAsia"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1" w:type="dxa"/>
            <w:tcBorders>
              <w:bottom w:val="single" w:color="auto" w:sz="4" w:space="0"/>
            </w:tcBorders>
          </w:tcPr>
          <w:p>
            <w:pPr>
              <w:bidi w:val="0"/>
            </w:pPr>
            <w:r>
              <w:rPr>
                <w:rStyle w:val="70"/>
                <w:rFonts w:hint="eastAsia"/>
              </w:rPr>
              <w:t>审批意见</w:t>
            </w:r>
            <w:r>
              <w:rPr>
                <w:rFonts w:hint="eastAsia"/>
              </w:rPr>
              <w:t>：</w:t>
            </w:r>
          </w:p>
          <w:p>
            <w:pPr>
              <w:pStyle w:val="23"/>
              <w:spacing w:line="240" w:lineRule="auto"/>
            </w:pPr>
          </w:p>
          <w:p>
            <w:pPr>
              <w:pStyle w:val="23"/>
              <w:spacing w:line="240" w:lineRule="auto"/>
            </w:pPr>
          </w:p>
          <w:p>
            <w:pPr>
              <w:pStyle w:val="23"/>
              <w:spacing w:line="240" w:lineRule="auto"/>
            </w:pPr>
          </w:p>
          <w:p>
            <w:pPr>
              <w:pStyle w:val="23"/>
              <w:spacing w:line="240" w:lineRule="auto"/>
            </w:pPr>
          </w:p>
          <w:p>
            <w:pPr>
              <w:pStyle w:val="23"/>
              <w:spacing w:line="240" w:lineRule="auto"/>
            </w:pPr>
          </w:p>
          <w:p>
            <w:pPr>
              <w:pStyle w:val="23"/>
              <w:spacing w:line="240" w:lineRule="auto"/>
            </w:pPr>
            <w:r>
              <w:rPr>
                <w:rFonts w:hint="eastAsia"/>
              </w:rPr>
              <w:t xml:space="preserve">                                              </w:t>
            </w:r>
          </w:p>
          <w:p>
            <w:pPr>
              <w:pStyle w:val="23"/>
              <w:spacing w:line="240" w:lineRule="auto"/>
            </w:pPr>
          </w:p>
          <w:p/>
          <w:p/>
          <w:p/>
          <w:p/>
          <w:p>
            <w:pPr>
              <w:pStyle w:val="23"/>
              <w:spacing w:line="240" w:lineRule="auto"/>
            </w:pPr>
          </w:p>
          <w:p>
            <w:pPr>
              <w:pStyle w:val="23"/>
              <w:spacing w:line="240" w:lineRule="auto"/>
            </w:pPr>
          </w:p>
          <w:p>
            <w:pPr>
              <w:pStyle w:val="23"/>
              <w:spacing w:line="240" w:lineRule="auto"/>
            </w:pPr>
          </w:p>
          <w:p>
            <w:pPr>
              <w:pStyle w:val="23"/>
              <w:spacing w:line="240" w:lineRule="auto"/>
            </w:pPr>
          </w:p>
          <w:p>
            <w:pPr>
              <w:pStyle w:val="23"/>
              <w:spacing w:line="240" w:lineRule="auto"/>
            </w:pPr>
          </w:p>
          <w:p>
            <w:pPr>
              <w:pStyle w:val="23"/>
              <w:spacing w:line="240" w:lineRule="auto"/>
            </w:pPr>
          </w:p>
          <w:p>
            <w:pPr>
              <w:pStyle w:val="23"/>
              <w:spacing w:line="240" w:lineRule="auto"/>
            </w:pPr>
          </w:p>
          <w:p>
            <w:pPr>
              <w:pStyle w:val="23"/>
              <w:spacing w:line="240" w:lineRule="auto"/>
            </w:pPr>
          </w:p>
          <w:p>
            <w:pPr>
              <w:pStyle w:val="23"/>
              <w:spacing w:line="240" w:lineRule="auto"/>
            </w:pPr>
          </w:p>
          <w:p/>
          <w:p/>
          <w:p/>
          <w:p/>
          <w:p/>
          <w:p>
            <w:pPr>
              <w:pStyle w:val="23"/>
              <w:spacing w:line="240" w:lineRule="auto"/>
            </w:pPr>
            <w:r>
              <w:rPr>
                <w:rFonts w:hint="eastAsia"/>
              </w:rPr>
              <w:t xml:space="preserve">                                              公  章：</w:t>
            </w:r>
          </w:p>
          <w:p>
            <w:pPr>
              <w:pStyle w:val="23"/>
              <w:spacing w:line="240" w:lineRule="auto"/>
              <w:rPr>
                <w:rFonts w:hint="eastAsia"/>
              </w:rPr>
            </w:pPr>
            <w:r>
              <w:rPr>
                <w:rFonts w:hint="eastAsia"/>
              </w:rPr>
              <w:t>经办人：                                   年   月   日</w:t>
            </w:r>
          </w:p>
          <w:p>
            <w:pPr>
              <w:rPr>
                <w:rFonts w:hint="eastAsia" w:cs="宋体"/>
                <w:sz w:val="24"/>
                <w:szCs w:val="24"/>
              </w:rPr>
            </w:pPr>
          </w:p>
          <w:p>
            <w:pPr>
              <w:rPr>
                <w:rFonts w:hint="eastAsia" w:cs="宋体"/>
                <w:sz w:val="24"/>
                <w:szCs w:val="24"/>
              </w:rPr>
            </w:pPr>
          </w:p>
        </w:tc>
      </w:tr>
    </w:tbl>
    <w:p>
      <w:pPr>
        <w:pStyle w:val="23"/>
        <w:spacing w:line="240" w:lineRule="auto"/>
        <w:rPr>
          <w:rFonts w:cs="宋体"/>
          <w:szCs w:val="24"/>
          <w:highlight w:val="yellow"/>
        </w:rPr>
      </w:pPr>
    </w:p>
    <w:sectPr>
      <w:pgSz w:w="11907" w:h="16840"/>
      <w:pgMar w:top="1440" w:right="1417" w:bottom="1440" w:left="1417" w:header="992" w:footer="850" w:gutter="0"/>
      <w:cols w:space="720" w:num="1"/>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Palatino Linotype"/>
    <w:panose1 w:val="02040503050406030204"/>
    <w:charset w:val="00"/>
    <w:family w:val="roman"/>
    <w:pitch w:val="default"/>
    <w:sig w:usb0="00000000"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Math">
    <w:altName w:val="Palatino Linotype"/>
    <w:panose1 w:val="02040503050406030204"/>
    <w:charset w:val="00"/>
    <w:family w:val="roman"/>
    <w:pitch w:val="default"/>
    <w:sig w:usb0="00000000" w:usb1="00000000" w:usb2="00000000" w:usb3="00000000" w:csb0="2000019F" w:csb1="00000000"/>
  </w:font>
  <w:font w:name="Palatino Linotype">
    <w:panose1 w:val="02040502050505030304"/>
    <w:charset w:val="00"/>
    <w:family w:val="auto"/>
    <w:pitch w:val="default"/>
    <w:sig w:usb0="E00003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38</w:t>
    </w:r>
    <w:r>
      <w:fldChar w:fldCharType="end"/>
    </w:r>
  </w:p>
  <w:p>
    <w:pPr>
      <w:pStyle w:val="26"/>
      <w:ind w:right="360"/>
      <w:rPr>
        <w:kern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rPr>
        <w:rStyle w:val="38"/>
      </w:rPr>
    </w:pPr>
    <w:r>
      <w:fldChar w:fldCharType="begin"/>
    </w:r>
    <w:r>
      <w:rPr>
        <w:rStyle w:val="38"/>
      </w:rPr>
      <w:instrText xml:space="preserve">PAGE  </w:instrText>
    </w:r>
    <w:r>
      <w:fldChar w:fldCharType="end"/>
    </w:r>
  </w:p>
  <w:p>
    <w:pPr>
      <w:pStyle w:val="2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91</w:t>
    </w:r>
    <w:r>
      <w:fldChar w:fldCharType="end"/>
    </w:r>
  </w:p>
  <w:p>
    <w:pPr>
      <w:pStyle w:val="26"/>
      <w:ind w:right="360"/>
      <w:rPr>
        <w:kern w:val="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wordWrap w:val="0"/>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0880D8"/>
    <w:multiLevelType w:val="singleLevel"/>
    <w:tmpl w:val="8F0880D8"/>
    <w:lvl w:ilvl="0" w:tentative="0">
      <w:start w:val="6"/>
      <w:numFmt w:val="decimal"/>
      <w:suff w:val="nothing"/>
      <w:lvlText w:val="（%1）"/>
      <w:lvlJc w:val="left"/>
    </w:lvl>
  </w:abstractNum>
  <w:abstractNum w:abstractNumId="1">
    <w:nsid w:val="9B804764"/>
    <w:multiLevelType w:val="singleLevel"/>
    <w:tmpl w:val="9B804764"/>
    <w:lvl w:ilvl="0" w:tentative="0">
      <w:start w:val="1"/>
      <w:numFmt w:val="lowerLetter"/>
      <w:suff w:val="space"/>
      <w:lvlText w:val="%1."/>
      <w:lvlJc w:val="left"/>
    </w:lvl>
  </w:abstractNum>
  <w:abstractNum w:abstractNumId="2">
    <w:nsid w:val="B578BEA0"/>
    <w:multiLevelType w:val="singleLevel"/>
    <w:tmpl w:val="B578BEA0"/>
    <w:lvl w:ilvl="0" w:tentative="0">
      <w:start w:val="1"/>
      <w:numFmt w:val="decimal"/>
      <w:suff w:val="nothing"/>
      <w:lvlText w:val="（%1）"/>
      <w:lvlJc w:val="left"/>
    </w:lvl>
  </w:abstractNum>
  <w:abstractNum w:abstractNumId="3">
    <w:nsid w:val="BBEFE7E5"/>
    <w:multiLevelType w:val="singleLevel"/>
    <w:tmpl w:val="BBEFE7E5"/>
    <w:lvl w:ilvl="0" w:tentative="0">
      <w:start w:val="1"/>
      <w:numFmt w:val="lowerLetter"/>
      <w:suff w:val="space"/>
      <w:lvlText w:val="%1."/>
      <w:lvlJc w:val="left"/>
    </w:lvl>
  </w:abstractNum>
  <w:abstractNum w:abstractNumId="4">
    <w:nsid w:val="C5FE4315"/>
    <w:multiLevelType w:val="singleLevel"/>
    <w:tmpl w:val="C5FE4315"/>
    <w:lvl w:ilvl="0" w:tentative="0">
      <w:start w:val="1"/>
      <w:numFmt w:val="chineseCounting"/>
      <w:suff w:val="nothing"/>
      <w:lvlText w:val="%1、"/>
      <w:lvlJc w:val="left"/>
      <w:rPr>
        <w:rFonts w:hint="eastAsia"/>
      </w:rPr>
    </w:lvl>
  </w:abstractNum>
  <w:abstractNum w:abstractNumId="5">
    <w:nsid w:val="D1E44C90"/>
    <w:multiLevelType w:val="singleLevel"/>
    <w:tmpl w:val="D1E44C90"/>
    <w:lvl w:ilvl="0" w:tentative="0">
      <w:start w:val="2"/>
      <w:numFmt w:val="decimal"/>
      <w:suff w:val="nothing"/>
      <w:lvlText w:val="%1）"/>
      <w:lvlJc w:val="left"/>
    </w:lvl>
  </w:abstractNum>
  <w:abstractNum w:abstractNumId="6">
    <w:nsid w:val="1BAC3428"/>
    <w:multiLevelType w:val="singleLevel"/>
    <w:tmpl w:val="1BAC3428"/>
    <w:lvl w:ilvl="0" w:tentative="0">
      <w:start w:val="1"/>
      <w:numFmt w:val="lowerLetter"/>
      <w:suff w:val="space"/>
      <w:lvlText w:val="%1."/>
      <w:lvlJc w:val="left"/>
    </w:lvl>
  </w:abstractNum>
  <w:abstractNum w:abstractNumId="7">
    <w:nsid w:val="21DCB735"/>
    <w:multiLevelType w:val="singleLevel"/>
    <w:tmpl w:val="21DCB735"/>
    <w:lvl w:ilvl="0" w:tentative="0">
      <w:start w:val="1"/>
      <w:numFmt w:val="lowerLetter"/>
      <w:suff w:val="space"/>
      <w:lvlText w:val="%1."/>
      <w:lvlJc w:val="left"/>
    </w:lvl>
  </w:abstractNum>
  <w:abstractNum w:abstractNumId="8">
    <w:nsid w:val="3B91AECE"/>
    <w:multiLevelType w:val="singleLevel"/>
    <w:tmpl w:val="3B91AECE"/>
    <w:lvl w:ilvl="0" w:tentative="0">
      <w:start w:val="3"/>
      <w:numFmt w:val="decimal"/>
      <w:suff w:val="nothing"/>
      <w:lvlText w:val="%1、"/>
      <w:lvlJc w:val="left"/>
    </w:lvl>
  </w:abstractNum>
  <w:abstractNum w:abstractNumId="9">
    <w:nsid w:val="407F50C5"/>
    <w:multiLevelType w:val="singleLevel"/>
    <w:tmpl w:val="407F50C5"/>
    <w:lvl w:ilvl="0" w:tentative="0">
      <w:start w:val="2"/>
      <w:numFmt w:val="decimal"/>
      <w:suff w:val="nothing"/>
      <w:lvlText w:val="（%1）"/>
      <w:lvlJc w:val="left"/>
    </w:lvl>
  </w:abstractNum>
  <w:abstractNum w:abstractNumId="10">
    <w:nsid w:val="4F720CCF"/>
    <w:multiLevelType w:val="singleLevel"/>
    <w:tmpl w:val="4F720CCF"/>
    <w:lvl w:ilvl="0" w:tentative="0">
      <w:start w:val="1"/>
      <w:numFmt w:val="lowerLetter"/>
      <w:suff w:val="space"/>
      <w:lvlText w:val="%1."/>
      <w:lvlJc w:val="left"/>
    </w:lvl>
  </w:abstractNum>
  <w:abstractNum w:abstractNumId="11">
    <w:nsid w:val="5874DB84"/>
    <w:multiLevelType w:val="singleLevel"/>
    <w:tmpl w:val="5874DB84"/>
    <w:lvl w:ilvl="0" w:tentative="0">
      <w:start w:val="5"/>
      <w:numFmt w:val="decimal"/>
      <w:suff w:val="nothing"/>
      <w:lvlText w:val="%1、"/>
      <w:lvlJc w:val="left"/>
    </w:lvl>
  </w:abstractNum>
  <w:abstractNum w:abstractNumId="12">
    <w:nsid w:val="5F8FE7F5"/>
    <w:multiLevelType w:val="singleLevel"/>
    <w:tmpl w:val="5F8FE7F5"/>
    <w:lvl w:ilvl="0" w:tentative="0">
      <w:start w:val="5"/>
      <w:numFmt w:val="decimal"/>
      <w:suff w:val="nothing"/>
      <w:lvlText w:val="（%1）"/>
      <w:lvlJc w:val="left"/>
    </w:lvl>
  </w:abstractNum>
  <w:abstractNum w:abstractNumId="13">
    <w:nsid w:val="62617E02"/>
    <w:multiLevelType w:val="singleLevel"/>
    <w:tmpl w:val="62617E02"/>
    <w:lvl w:ilvl="0" w:tentative="0">
      <w:start w:val="1"/>
      <w:numFmt w:val="lowerLetter"/>
      <w:suff w:val="space"/>
      <w:lvlText w:val="%1."/>
      <w:lvlJc w:val="left"/>
    </w:lvl>
  </w:abstractNum>
  <w:abstractNum w:abstractNumId="14">
    <w:nsid w:val="6B3593A6"/>
    <w:multiLevelType w:val="singleLevel"/>
    <w:tmpl w:val="6B3593A6"/>
    <w:lvl w:ilvl="0" w:tentative="0">
      <w:start w:val="1"/>
      <w:numFmt w:val="lowerLetter"/>
      <w:suff w:val="space"/>
      <w:lvlText w:val="%1."/>
      <w:lvlJc w:val="left"/>
    </w:lvl>
  </w:abstractNum>
  <w:abstractNum w:abstractNumId="15">
    <w:nsid w:val="6D884E16"/>
    <w:multiLevelType w:val="singleLevel"/>
    <w:tmpl w:val="6D884E16"/>
    <w:lvl w:ilvl="0" w:tentative="0">
      <w:start w:val="1"/>
      <w:numFmt w:val="lowerLetter"/>
      <w:suff w:val="space"/>
      <w:lvlText w:val="%1."/>
      <w:lvlJc w:val="left"/>
    </w:lvl>
  </w:abstractNum>
  <w:abstractNum w:abstractNumId="16">
    <w:nsid w:val="7389F6A7"/>
    <w:multiLevelType w:val="singleLevel"/>
    <w:tmpl w:val="7389F6A7"/>
    <w:lvl w:ilvl="0" w:tentative="0">
      <w:start w:val="1"/>
      <w:numFmt w:val="lowerLetter"/>
      <w:suff w:val="space"/>
      <w:lvlText w:val="%1."/>
      <w:lvlJc w:val="left"/>
    </w:lvl>
  </w:abstractNum>
  <w:abstractNum w:abstractNumId="17">
    <w:nsid w:val="7EED0354"/>
    <w:multiLevelType w:val="singleLevel"/>
    <w:tmpl w:val="7EED0354"/>
    <w:lvl w:ilvl="0" w:tentative="0">
      <w:start w:val="1"/>
      <w:numFmt w:val="lowerLetter"/>
      <w:suff w:val="space"/>
      <w:lvlText w:val="%1."/>
      <w:lvlJc w:val="left"/>
    </w:lvl>
  </w:abstractNum>
  <w:num w:numId="1">
    <w:abstractNumId w:val="0"/>
  </w:num>
  <w:num w:numId="2">
    <w:abstractNumId w:val="5"/>
  </w:num>
  <w:num w:numId="3">
    <w:abstractNumId w:val="13"/>
  </w:num>
  <w:num w:numId="4">
    <w:abstractNumId w:val="6"/>
  </w:num>
  <w:num w:numId="5">
    <w:abstractNumId w:val="1"/>
  </w:num>
  <w:num w:numId="6">
    <w:abstractNumId w:val="17"/>
  </w:num>
  <w:num w:numId="7">
    <w:abstractNumId w:val="7"/>
  </w:num>
  <w:num w:numId="8">
    <w:abstractNumId w:val="12"/>
  </w:num>
  <w:num w:numId="9">
    <w:abstractNumId w:val="9"/>
  </w:num>
  <w:num w:numId="10">
    <w:abstractNumId w:val="10"/>
  </w:num>
  <w:num w:numId="11">
    <w:abstractNumId w:val="16"/>
  </w:num>
  <w:num w:numId="12">
    <w:abstractNumId w:val="14"/>
  </w:num>
  <w:num w:numId="13">
    <w:abstractNumId w:val="3"/>
  </w:num>
  <w:num w:numId="14">
    <w:abstractNumId w:val="15"/>
  </w:num>
  <w:num w:numId="15">
    <w:abstractNumId w:val="8"/>
  </w:num>
  <w:num w:numId="16">
    <w:abstractNumId w:val="11"/>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218"/>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C1"/>
    <w:rsid w:val="00002491"/>
    <w:rsid w:val="00003612"/>
    <w:rsid w:val="000043B2"/>
    <w:rsid w:val="00004DF4"/>
    <w:rsid w:val="000069ED"/>
    <w:rsid w:val="00006FE3"/>
    <w:rsid w:val="000110C3"/>
    <w:rsid w:val="00012605"/>
    <w:rsid w:val="000141C4"/>
    <w:rsid w:val="00016697"/>
    <w:rsid w:val="00017B26"/>
    <w:rsid w:val="00021B0C"/>
    <w:rsid w:val="0002210B"/>
    <w:rsid w:val="00022ECC"/>
    <w:rsid w:val="00024E2B"/>
    <w:rsid w:val="0002521D"/>
    <w:rsid w:val="000307E3"/>
    <w:rsid w:val="000312C2"/>
    <w:rsid w:val="00036A95"/>
    <w:rsid w:val="00037AA1"/>
    <w:rsid w:val="000407DC"/>
    <w:rsid w:val="000446F6"/>
    <w:rsid w:val="0004470B"/>
    <w:rsid w:val="000462DC"/>
    <w:rsid w:val="000524FF"/>
    <w:rsid w:val="000547C1"/>
    <w:rsid w:val="000566A8"/>
    <w:rsid w:val="00057FEA"/>
    <w:rsid w:val="000613CD"/>
    <w:rsid w:val="00062F9B"/>
    <w:rsid w:val="00065A11"/>
    <w:rsid w:val="00066C91"/>
    <w:rsid w:val="00070A82"/>
    <w:rsid w:val="000723CD"/>
    <w:rsid w:val="00074B91"/>
    <w:rsid w:val="0007638E"/>
    <w:rsid w:val="00080F06"/>
    <w:rsid w:val="000814EB"/>
    <w:rsid w:val="000862B6"/>
    <w:rsid w:val="00090993"/>
    <w:rsid w:val="00090E99"/>
    <w:rsid w:val="00092090"/>
    <w:rsid w:val="000925D3"/>
    <w:rsid w:val="000937E1"/>
    <w:rsid w:val="0009494A"/>
    <w:rsid w:val="0009615F"/>
    <w:rsid w:val="000970A6"/>
    <w:rsid w:val="000A0D72"/>
    <w:rsid w:val="000A2C43"/>
    <w:rsid w:val="000A385B"/>
    <w:rsid w:val="000B0EA8"/>
    <w:rsid w:val="000B21EF"/>
    <w:rsid w:val="000B2262"/>
    <w:rsid w:val="000B479E"/>
    <w:rsid w:val="000B547F"/>
    <w:rsid w:val="000B6D89"/>
    <w:rsid w:val="000B6E78"/>
    <w:rsid w:val="000B6ED1"/>
    <w:rsid w:val="000B762B"/>
    <w:rsid w:val="000C0089"/>
    <w:rsid w:val="000C2853"/>
    <w:rsid w:val="000C3A67"/>
    <w:rsid w:val="000C3D6C"/>
    <w:rsid w:val="000C5278"/>
    <w:rsid w:val="000C74BE"/>
    <w:rsid w:val="000D2047"/>
    <w:rsid w:val="000D4018"/>
    <w:rsid w:val="000D4EB6"/>
    <w:rsid w:val="000D5340"/>
    <w:rsid w:val="000D6343"/>
    <w:rsid w:val="000D6727"/>
    <w:rsid w:val="000E0BDA"/>
    <w:rsid w:val="000E1849"/>
    <w:rsid w:val="000E4198"/>
    <w:rsid w:val="000E70E9"/>
    <w:rsid w:val="000E7D25"/>
    <w:rsid w:val="000F0C48"/>
    <w:rsid w:val="000F1799"/>
    <w:rsid w:val="000F19F1"/>
    <w:rsid w:val="000F31C4"/>
    <w:rsid w:val="000F4494"/>
    <w:rsid w:val="000F45EC"/>
    <w:rsid w:val="00100B7B"/>
    <w:rsid w:val="0010530C"/>
    <w:rsid w:val="001058E7"/>
    <w:rsid w:val="0010773D"/>
    <w:rsid w:val="00110E01"/>
    <w:rsid w:val="001117B4"/>
    <w:rsid w:val="00111831"/>
    <w:rsid w:val="00113B9C"/>
    <w:rsid w:val="00114BDC"/>
    <w:rsid w:val="00114FBD"/>
    <w:rsid w:val="00115753"/>
    <w:rsid w:val="00115D05"/>
    <w:rsid w:val="0012113B"/>
    <w:rsid w:val="00121B77"/>
    <w:rsid w:val="00134939"/>
    <w:rsid w:val="00143EDF"/>
    <w:rsid w:val="00147998"/>
    <w:rsid w:val="00154320"/>
    <w:rsid w:val="00155ED1"/>
    <w:rsid w:val="00156809"/>
    <w:rsid w:val="00156A95"/>
    <w:rsid w:val="00157836"/>
    <w:rsid w:val="00157D02"/>
    <w:rsid w:val="00161237"/>
    <w:rsid w:val="00161A7C"/>
    <w:rsid w:val="001655D2"/>
    <w:rsid w:val="0016640F"/>
    <w:rsid w:val="00166DEE"/>
    <w:rsid w:val="00172A27"/>
    <w:rsid w:val="00172B8A"/>
    <w:rsid w:val="00172BD3"/>
    <w:rsid w:val="00173C42"/>
    <w:rsid w:val="0017517D"/>
    <w:rsid w:val="001763F3"/>
    <w:rsid w:val="0018256F"/>
    <w:rsid w:val="00185AB8"/>
    <w:rsid w:val="00186F3A"/>
    <w:rsid w:val="001933BA"/>
    <w:rsid w:val="0019439D"/>
    <w:rsid w:val="00195E72"/>
    <w:rsid w:val="00196475"/>
    <w:rsid w:val="00197DF8"/>
    <w:rsid w:val="001A172E"/>
    <w:rsid w:val="001A21B3"/>
    <w:rsid w:val="001A2C69"/>
    <w:rsid w:val="001A59F3"/>
    <w:rsid w:val="001A5F8F"/>
    <w:rsid w:val="001A613F"/>
    <w:rsid w:val="001A748A"/>
    <w:rsid w:val="001A7F5A"/>
    <w:rsid w:val="001B0AB4"/>
    <w:rsid w:val="001B1729"/>
    <w:rsid w:val="001B1FFA"/>
    <w:rsid w:val="001B293B"/>
    <w:rsid w:val="001B2C0C"/>
    <w:rsid w:val="001B447C"/>
    <w:rsid w:val="001B7E9A"/>
    <w:rsid w:val="001C17CF"/>
    <w:rsid w:val="001C2B8A"/>
    <w:rsid w:val="001C441E"/>
    <w:rsid w:val="001C581A"/>
    <w:rsid w:val="001C5BF3"/>
    <w:rsid w:val="001C66B9"/>
    <w:rsid w:val="001C7B60"/>
    <w:rsid w:val="001D16BE"/>
    <w:rsid w:val="001D6D1C"/>
    <w:rsid w:val="001E0E26"/>
    <w:rsid w:val="001E0F0C"/>
    <w:rsid w:val="001E0F14"/>
    <w:rsid w:val="001E3D73"/>
    <w:rsid w:val="001E48AB"/>
    <w:rsid w:val="001E697D"/>
    <w:rsid w:val="001E728B"/>
    <w:rsid w:val="001E77C0"/>
    <w:rsid w:val="001F05D2"/>
    <w:rsid w:val="001F26AE"/>
    <w:rsid w:val="001F409D"/>
    <w:rsid w:val="001F507C"/>
    <w:rsid w:val="001F50EF"/>
    <w:rsid w:val="001F69F1"/>
    <w:rsid w:val="001F73B5"/>
    <w:rsid w:val="00200671"/>
    <w:rsid w:val="00203D91"/>
    <w:rsid w:val="002049CB"/>
    <w:rsid w:val="00207CC3"/>
    <w:rsid w:val="00212B67"/>
    <w:rsid w:val="00216A05"/>
    <w:rsid w:val="00222D62"/>
    <w:rsid w:val="00226247"/>
    <w:rsid w:val="00227B2D"/>
    <w:rsid w:val="002329E1"/>
    <w:rsid w:val="00232DDC"/>
    <w:rsid w:val="00233C49"/>
    <w:rsid w:val="00233D17"/>
    <w:rsid w:val="00233ED6"/>
    <w:rsid w:val="002375BD"/>
    <w:rsid w:val="00240160"/>
    <w:rsid w:val="00240329"/>
    <w:rsid w:val="00240ACB"/>
    <w:rsid w:val="002417C7"/>
    <w:rsid w:val="0024374B"/>
    <w:rsid w:val="0024558D"/>
    <w:rsid w:val="002463C7"/>
    <w:rsid w:val="00251C54"/>
    <w:rsid w:val="00252EEE"/>
    <w:rsid w:val="00253E60"/>
    <w:rsid w:val="00255497"/>
    <w:rsid w:val="002558F9"/>
    <w:rsid w:val="00261737"/>
    <w:rsid w:val="0026418A"/>
    <w:rsid w:val="0026647B"/>
    <w:rsid w:val="00272B5A"/>
    <w:rsid w:val="002743DB"/>
    <w:rsid w:val="00275EC3"/>
    <w:rsid w:val="00276165"/>
    <w:rsid w:val="00276258"/>
    <w:rsid w:val="00277010"/>
    <w:rsid w:val="0027707A"/>
    <w:rsid w:val="00277B12"/>
    <w:rsid w:val="002827EA"/>
    <w:rsid w:val="00283960"/>
    <w:rsid w:val="00285318"/>
    <w:rsid w:val="002860DA"/>
    <w:rsid w:val="00286794"/>
    <w:rsid w:val="002868D5"/>
    <w:rsid w:val="0029324A"/>
    <w:rsid w:val="002971A0"/>
    <w:rsid w:val="002A0228"/>
    <w:rsid w:val="002A1B59"/>
    <w:rsid w:val="002A24C3"/>
    <w:rsid w:val="002A3E8A"/>
    <w:rsid w:val="002A618E"/>
    <w:rsid w:val="002A6F2F"/>
    <w:rsid w:val="002A770C"/>
    <w:rsid w:val="002A7E41"/>
    <w:rsid w:val="002B42D7"/>
    <w:rsid w:val="002B63AB"/>
    <w:rsid w:val="002B734A"/>
    <w:rsid w:val="002B7AB3"/>
    <w:rsid w:val="002B7B62"/>
    <w:rsid w:val="002C156C"/>
    <w:rsid w:val="002C249A"/>
    <w:rsid w:val="002C3CC4"/>
    <w:rsid w:val="002C3CDF"/>
    <w:rsid w:val="002C40FC"/>
    <w:rsid w:val="002C54B6"/>
    <w:rsid w:val="002C5AC4"/>
    <w:rsid w:val="002C5E6C"/>
    <w:rsid w:val="002C70C9"/>
    <w:rsid w:val="002C754C"/>
    <w:rsid w:val="002D064A"/>
    <w:rsid w:val="002D0995"/>
    <w:rsid w:val="002D2451"/>
    <w:rsid w:val="002D45E1"/>
    <w:rsid w:val="002D49B3"/>
    <w:rsid w:val="002D6234"/>
    <w:rsid w:val="002D66E5"/>
    <w:rsid w:val="002D6EC3"/>
    <w:rsid w:val="002D7D2B"/>
    <w:rsid w:val="002E023A"/>
    <w:rsid w:val="002E11E9"/>
    <w:rsid w:val="002E14FE"/>
    <w:rsid w:val="002E3663"/>
    <w:rsid w:val="002F28B7"/>
    <w:rsid w:val="002F3F98"/>
    <w:rsid w:val="002F491D"/>
    <w:rsid w:val="00302F12"/>
    <w:rsid w:val="0030336B"/>
    <w:rsid w:val="00303980"/>
    <w:rsid w:val="003062F6"/>
    <w:rsid w:val="00307B6A"/>
    <w:rsid w:val="00316EAD"/>
    <w:rsid w:val="003204B3"/>
    <w:rsid w:val="003207F6"/>
    <w:rsid w:val="00320CF3"/>
    <w:rsid w:val="003211B7"/>
    <w:rsid w:val="00321EA0"/>
    <w:rsid w:val="00326B7D"/>
    <w:rsid w:val="00331B99"/>
    <w:rsid w:val="00332C7D"/>
    <w:rsid w:val="00332EC1"/>
    <w:rsid w:val="00333E2F"/>
    <w:rsid w:val="00334221"/>
    <w:rsid w:val="0033495D"/>
    <w:rsid w:val="0033690B"/>
    <w:rsid w:val="00336EC3"/>
    <w:rsid w:val="00337AAD"/>
    <w:rsid w:val="003447F1"/>
    <w:rsid w:val="00350D79"/>
    <w:rsid w:val="00351C64"/>
    <w:rsid w:val="003528F3"/>
    <w:rsid w:val="003534C1"/>
    <w:rsid w:val="003538F7"/>
    <w:rsid w:val="00354F09"/>
    <w:rsid w:val="00355029"/>
    <w:rsid w:val="0035652C"/>
    <w:rsid w:val="00370F47"/>
    <w:rsid w:val="003714C4"/>
    <w:rsid w:val="00372763"/>
    <w:rsid w:val="0037323C"/>
    <w:rsid w:val="00380D79"/>
    <w:rsid w:val="00391F4B"/>
    <w:rsid w:val="0039284A"/>
    <w:rsid w:val="003928A1"/>
    <w:rsid w:val="003957DC"/>
    <w:rsid w:val="00396FFA"/>
    <w:rsid w:val="003A2CD4"/>
    <w:rsid w:val="003A51E3"/>
    <w:rsid w:val="003A5A0A"/>
    <w:rsid w:val="003A7293"/>
    <w:rsid w:val="003A73A2"/>
    <w:rsid w:val="003B2ED4"/>
    <w:rsid w:val="003B3E25"/>
    <w:rsid w:val="003B5B2F"/>
    <w:rsid w:val="003B6008"/>
    <w:rsid w:val="003B6A7B"/>
    <w:rsid w:val="003B7769"/>
    <w:rsid w:val="003C00DD"/>
    <w:rsid w:val="003C5CB0"/>
    <w:rsid w:val="003C699C"/>
    <w:rsid w:val="003C7204"/>
    <w:rsid w:val="003D0D95"/>
    <w:rsid w:val="003D4104"/>
    <w:rsid w:val="003D725B"/>
    <w:rsid w:val="003D77D9"/>
    <w:rsid w:val="003D7EE3"/>
    <w:rsid w:val="003E0664"/>
    <w:rsid w:val="003E0777"/>
    <w:rsid w:val="003E0E5F"/>
    <w:rsid w:val="003E1903"/>
    <w:rsid w:val="003E32C6"/>
    <w:rsid w:val="003E5636"/>
    <w:rsid w:val="003F0857"/>
    <w:rsid w:val="003F1126"/>
    <w:rsid w:val="003F1880"/>
    <w:rsid w:val="003F66C6"/>
    <w:rsid w:val="004007E3"/>
    <w:rsid w:val="00401978"/>
    <w:rsid w:val="004035A2"/>
    <w:rsid w:val="00405107"/>
    <w:rsid w:val="0040574C"/>
    <w:rsid w:val="0040677B"/>
    <w:rsid w:val="0041010A"/>
    <w:rsid w:val="00410D23"/>
    <w:rsid w:val="00411120"/>
    <w:rsid w:val="00413E5E"/>
    <w:rsid w:val="00416D1F"/>
    <w:rsid w:val="00420931"/>
    <w:rsid w:val="00420EEF"/>
    <w:rsid w:val="0042124A"/>
    <w:rsid w:val="00421D9D"/>
    <w:rsid w:val="00422054"/>
    <w:rsid w:val="004221B7"/>
    <w:rsid w:val="0042285B"/>
    <w:rsid w:val="0042506B"/>
    <w:rsid w:val="00427075"/>
    <w:rsid w:val="00427F6E"/>
    <w:rsid w:val="004306DE"/>
    <w:rsid w:val="00432ACC"/>
    <w:rsid w:val="00434E4A"/>
    <w:rsid w:val="0043516F"/>
    <w:rsid w:val="00435782"/>
    <w:rsid w:val="00435E97"/>
    <w:rsid w:val="00440E9B"/>
    <w:rsid w:val="00445408"/>
    <w:rsid w:val="0044623D"/>
    <w:rsid w:val="00446B8F"/>
    <w:rsid w:val="00446BCA"/>
    <w:rsid w:val="0045003B"/>
    <w:rsid w:val="00451EC9"/>
    <w:rsid w:val="00452D18"/>
    <w:rsid w:val="00456450"/>
    <w:rsid w:val="00456A8F"/>
    <w:rsid w:val="0046482F"/>
    <w:rsid w:val="004648E9"/>
    <w:rsid w:val="00464962"/>
    <w:rsid w:val="004673A3"/>
    <w:rsid w:val="00467A00"/>
    <w:rsid w:val="0047017A"/>
    <w:rsid w:val="004725C9"/>
    <w:rsid w:val="00474986"/>
    <w:rsid w:val="004750F3"/>
    <w:rsid w:val="0047636F"/>
    <w:rsid w:val="00482EDC"/>
    <w:rsid w:val="00484607"/>
    <w:rsid w:val="00484D17"/>
    <w:rsid w:val="00492196"/>
    <w:rsid w:val="004925B8"/>
    <w:rsid w:val="00492F02"/>
    <w:rsid w:val="00496FF5"/>
    <w:rsid w:val="004A35DB"/>
    <w:rsid w:val="004A362C"/>
    <w:rsid w:val="004A3E72"/>
    <w:rsid w:val="004A40B3"/>
    <w:rsid w:val="004A5308"/>
    <w:rsid w:val="004A537A"/>
    <w:rsid w:val="004B4E6C"/>
    <w:rsid w:val="004B5E4E"/>
    <w:rsid w:val="004C0893"/>
    <w:rsid w:val="004C15C7"/>
    <w:rsid w:val="004C1B1C"/>
    <w:rsid w:val="004C3B06"/>
    <w:rsid w:val="004C3C36"/>
    <w:rsid w:val="004C51C9"/>
    <w:rsid w:val="004C5F51"/>
    <w:rsid w:val="004D03CC"/>
    <w:rsid w:val="004D08FB"/>
    <w:rsid w:val="004D2F4C"/>
    <w:rsid w:val="004D378A"/>
    <w:rsid w:val="004D3E0F"/>
    <w:rsid w:val="004D5A00"/>
    <w:rsid w:val="004D5F0F"/>
    <w:rsid w:val="004D672C"/>
    <w:rsid w:val="004D7B1D"/>
    <w:rsid w:val="004E00BB"/>
    <w:rsid w:val="004E0577"/>
    <w:rsid w:val="004E0D94"/>
    <w:rsid w:val="004E5B86"/>
    <w:rsid w:val="004E6533"/>
    <w:rsid w:val="004F091D"/>
    <w:rsid w:val="004F255C"/>
    <w:rsid w:val="004F30EC"/>
    <w:rsid w:val="004F3BE4"/>
    <w:rsid w:val="004F6D7C"/>
    <w:rsid w:val="0050172A"/>
    <w:rsid w:val="00501923"/>
    <w:rsid w:val="005038F8"/>
    <w:rsid w:val="00504055"/>
    <w:rsid w:val="00504638"/>
    <w:rsid w:val="0050493D"/>
    <w:rsid w:val="005068F7"/>
    <w:rsid w:val="00510749"/>
    <w:rsid w:val="005110A2"/>
    <w:rsid w:val="005133EC"/>
    <w:rsid w:val="00513C0E"/>
    <w:rsid w:val="00514F4C"/>
    <w:rsid w:val="0051592A"/>
    <w:rsid w:val="005168ED"/>
    <w:rsid w:val="00520048"/>
    <w:rsid w:val="00521AEE"/>
    <w:rsid w:val="00522775"/>
    <w:rsid w:val="00524595"/>
    <w:rsid w:val="005267D3"/>
    <w:rsid w:val="0052695D"/>
    <w:rsid w:val="005313FC"/>
    <w:rsid w:val="0053532E"/>
    <w:rsid w:val="005358E0"/>
    <w:rsid w:val="00536526"/>
    <w:rsid w:val="0054018C"/>
    <w:rsid w:val="00543703"/>
    <w:rsid w:val="005440FC"/>
    <w:rsid w:val="00546464"/>
    <w:rsid w:val="005511A1"/>
    <w:rsid w:val="005512F3"/>
    <w:rsid w:val="005537F6"/>
    <w:rsid w:val="005608E0"/>
    <w:rsid w:val="0056094C"/>
    <w:rsid w:val="0056369A"/>
    <w:rsid w:val="00567D15"/>
    <w:rsid w:val="005700E6"/>
    <w:rsid w:val="00570115"/>
    <w:rsid w:val="00572614"/>
    <w:rsid w:val="00573DDB"/>
    <w:rsid w:val="00574CEB"/>
    <w:rsid w:val="00575EDF"/>
    <w:rsid w:val="00575F17"/>
    <w:rsid w:val="005768DA"/>
    <w:rsid w:val="00577FA4"/>
    <w:rsid w:val="00580987"/>
    <w:rsid w:val="00582162"/>
    <w:rsid w:val="0058458B"/>
    <w:rsid w:val="005857B8"/>
    <w:rsid w:val="00591F7A"/>
    <w:rsid w:val="0059321D"/>
    <w:rsid w:val="00594E1F"/>
    <w:rsid w:val="00595390"/>
    <w:rsid w:val="005A2C05"/>
    <w:rsid w:val="005A379B"/>
    <w:rsid w:val="005A3F48"/>
    <w:rsid w:val="005A4D34"/>
    <w:rsid w:val="005A6997"/>
    <w:rsid w:val="005A7B73"/>
    <w:rsid w:val="005B31A6"/>
    <w:rsid w:val="005B7349"/>
    <w:rsid w:val="005B7E61"/>
    <w:rsid w:val="005C14D3"/>
    <w:rsid w:val="005D0922"/>
    <w:rsid w:val="005D2529"/>
    <w:rsid w:val="005D3732"/>
    <w:rsid w:val="005D6943"/>
    <w:rsid w:val="005E0A47"/>
    <w:rsid w:val="005E0D21"/>
    <w:rsid w:val="005E1DDB"/>
    <w:rsid w:val="005E3584"/>
    <w:rsid w:val="005E3D79"/>
    <w:rsid w:val="005E3DA8"/>
    <w:rsid w:val="005E6C0F"/>
    <w:rsid w:val="005E77A7"/>
    <w:rsid w:val="005F73FC"/>
    <w:rsid w:val="005F7AC7"/>
    <w:rsid w:val="00603304"/>
    <w:rsid w:val="006040DD"/>
    <w:rsid w:val="00604D5F"/>
    <w:rsid w:val="006059E3"/>
    <w:rsid w:val="00612664"/>
    <w:rsid w:val="00613C1F"/>
    <w:rsid w:val="00614DDA"/>
    <w:rsid w:val="00614E76"/>
    <w:rsid w:val="00616861"/>
    <w:rsid w:val="0061795E"/>
    <w:rsid w:val="00620555"/>
    <w:rsid w:val="00621D8D"/>
    <w:rsid w:val="00623288"/>
    <w:rsid w:val="006234A5"/>
    <w:rsid w:val="00631202"/>
    <w:rsid w:val="00631773"/>
    <w:rsid w:val="0063389E"/>
    <w:rsid w:val="00635E89"/>
    <w:rsid w:val="00636BCD"/>
    <w:rsid w:val="00636E3B"/>
    <w:rsid w:val="00636FDC"/>
    <w:rsid w:val="00640E34"/>
    <w:rsid w:val="00646AA0"/>
    <w:rsid w:val="00646E7C"/>
    <w:rsid w:val="00653840"/>
    <w:rsid w:val="006549DE"/>
    <w:rsid w:val="00654CB9"/>
    <w:rsid w:val="0065738B"/>
    <w:rsid w:val="00661B09"/>
    <w:rsid w:val="00664002"/>
    <w:rsid w:val="00665E89"/>
    <w:rsid w:val="00666795"/>
    <w:rsid w:val="00666888"/>
    <w:rsid w:val="00667A69"/>
    <w:rsid w:val="00671BA2"/>
    <w:rsid w:val="00671C53"/>
    <w:rsid w:val="006741F1"/>
    <w:rsid w:val="006778AD"/>
    <w:rsid w:val="0068027F"/>
    <w:rsid w:val="00680C48"/>
    <w:rsid w:val="00680C6C"/>
    <w:rsid w:val="00682410"/>
    <w:rsid w:val="00683A9E"/>
    <w:rsid w:val="00683C3F"/>
    <w:rsid w:val="00684550"/>
    <w:rsid w:val="0068496E"/>
    <w:rsid w:val="00685E13"/>
    <w:rsid w:val="00687205"/>
    <w:rsid w:val="0069124B"/>
    <w:rsid w:val="006920BA"/>
    <w:rsid w:val="006932F9"/>
    <w:rsid w:val="00693C97"/>
    <w:rsid w:val="00694256"/>
    <w:rsid w:val="00695A81"/>
    <w:rsid w:val="0069709C"/>
    <w:rsid w:val="006A0712"/>
    <w:rsid w:val="006A14A9"/>
    <w:rsid w:val="006A19FA"/>
    <w:rsid w:val="006A4278"/>
    <w:rsid w:val="006B2B1F"/>
    <w:rsid w:val="006B39FA"/>
    <w:rsid w:val="006B58D7"/>
    <w:rsid w:val="006C04E6"/>
    <w:rsid w:val="006C1163"/>
    <w:rsid w:val="006C1E52"/>
    <w:rsid w:val="006C2782"/>
    <w:rsid w:val="006C3200"/>
    <w:rsid w:val="006C4F4F"/>
    <w:rsid w:val="006D0456"/>
    <w:rsid w:val="006D1482"/>
    <w:rsid w:val="006D4A5A"/>
    <w:rsid w:val="006D5A4F"/>
    <w:rsid w:val="006D6798"/>
    <w:rsid w:val="006D753F"/>
    <w:rsid w:val="006E08E3"/>
    <w:rsid w:val="006E2B68"/>
    <w:rsid w:val="006E3003"/>
    <w:rsid w:val="006E3F85"/>
    <w:rsid w:val="006E440C"/>
    <w:rsid w:val="006E673C"/>
    <w:rsid w:val="006E713F"/>
    <w:rsid w:val="006E7439"/>
    <w:rsid w:val="006E7539"/>
    <w:rsid w:val="006E78AB"/>
    <w:rsid w:val="006E7F4C"/>
    <w:rsid w:val="006F0AEC"/>
    <w:rsid w:val="006F12E2"/>
    <w:rsid w:val="006F1411"/>
    <w:rsid w:val="006F5240"/>
    <w:rsid w:val="006F7A15"/>
    <w:rsid w:val="00700581"/>
    <w:rsid w:val="00705AFD"/>
    <w:rsid w:val="00705DED"/>
    <w:rsid w:val="007065DC"/>
    <w:rsid w:val="0071053E"/>
    <w:rsid w:val="007113BA"/>
    <w:rsid w:val="00714EEB"/>
    <w:rsid w:val="007163CE"/>
    <w:rsid w:val="0071792A"/>
    <w:rsid w:val="00717BF3"/>
    <w:rsid w:val="00730090"/>
    <w:rsid w:val="00731574"/>
    <w:rsid w:val="00731ADD"/>
    <w:rsid w:val="00732CB4"/>
    <w:rsid w:val="00733094"/>
    <w:rsid w:val="007406A0"/>
    <w:rsid w:val="007413EC"/>
    <w:rsid w:val="00742043"/>
    <w:rsid w:val="00743A89"/>
    <w:rsid w:val="007449FB"/>
    <w:rsid w:val="00744BF8"/>
    <w:rsid w:val="00744C88"/>
    <w:rsid w:val="00745E7F"/>
    <w:rsid w:val="00746833"/>
    <w:rsid w:val="007501EA"/>
    <w:rsid w:val="007546C2"/>
    <w:rsid w:val="00756347"/>
    <w:rsid w:val="00757847"/>
    <w:rsid w:val="00760468"/>
    <w:rsid w:val="00761430"/>
    <w:rsid w:val="00762854"/>
    <w:rsid w:val="00765E57"/>
    <w:rsid w:val="007762BF"/>
    <w:rsid w:val="00776F1A"/>
    <w:rsid w:val="007812D9"/>
    <w:rsid w:val="007816D1"/>
    <w:rsid w:val="00782F11"/>
    <w:rsid w:val="00783221"/>
    <w:rsid w:val="00783B5C"/>
    <w:rsid w:val="00787090"/>
    <w:rsid w:val="0078710C"/>
    <w:rsid w:val="00787D88"/>
    <w:rsid w:val="00790ADC"/>
    <w:rsid w:val="007911BA"/>
    <w:rsid w:val="0079283F"/>
    <w:rsid w:val="00792B97"/>
    <w:rsid w:val="00793826"/>
    <w:rsid w:val="007952FB"/>
    <w:rsid w:val="007953F2"/>
    <w:rsid w:val="0079542E"/>
    <w:rsid w:val="0079614F"/>
    <w:rsid w:val="00797D3E"/>
    <w:rsid w:val="007A02C4"/>
    <w:rsid w:val="007A3B58"/>
    <w:rsid w:val="007A41C5"/>
    <w:rsid w:val="007A4CCC"/>
    <w:rsid w:val="007B1BE4"/>
    <w:rsid w:val="007B24C8"/>
    <w:rsid w:val="007B365C"/>
    <w:rsid w:val="007B4256"/>
    <w:rsid w:val="007B617E"/>
    <w:rsid w:val="007C02BB"/>
    <w:rsid w:val="007C33C0"/>
    <w:rsid w:val="007C5318"/>
    <w:rsid w:val="007C589A"/>
    <w:rsid w:val="007C5AE1"/>
    <w:rsid w:val="007C5D50"/>
    <w:rsid w:val="007C6913"/>
    <w:rsid w:val="007D41EF"/>
    <w:rsid w:val="007D423A"/>
    <w:rsid w:val="007D67FB"/>
    <w:rsid w:val="007E54DA"/>
    <w:rsid w:val="007E6641"/>
    <w:rsid w:val="007F20CA"/>
    <w:rsid w:val="007F5297"/>
    <w:rsid w:val="007F55CE"/>
    <w:rsid w:val="007F7456"/>
    <w:rsid w:val="008011EB"/>
    <w:rsid w:val="0080183E"/>
    <w:rsid w:val="00802147"/>
    <w:rsid w:val="00802FE5"/>
    <w:rsid w:val="00803465"/>
    <w:rsid w:val="00803BED"/>
    <w:rsid w:val="00806042"/>
    <w:rsid w:val="00807120"/>
    <w:rsid w:val="00811E52"/>
    <w:rsid w:val="0081401C"/>
    <w:rsid w:val="00814D0F"/>
    <w:rsid w:val="00815415"/>
    <w:rsid w:val="008164EC"/>
    <w:rsid w:val="00820C65"/>
    <w:rsid w:val="00821684"/>
    <w:rsid w:val="008229C8"/>
    <w:rsid w:val="0082305D"/>
    <w:rsid w:val="008242D6"/>
    <w:rsid w:val="00825B90"/>
    <w:rsid w:val="00825E4B"/>
    <w:rsid w:val="008278A0"/>
    <w:rsid w:val="00831369"/>
    <w:rsid w:val="00832F20"/>
    <w:rsid w:val="00841909"/>
    <w:rsid w:val="00842356"/>
    <w:rsid w:val="008458A6"/>
    <w:rsid w:val="00845A8E"/>
    <w:rsid w:val="00846762"/>
    <w:rsid w:val="00852E21"/>
    <w:rsid w:val="00852F45"/>
    <w:rsid w:val="00853BF9"/>
    <w:rsid w:val="0085517D"/>
    <w:rsid w:val="00864E3C"/>
    <w:rsid w:val="008679C9"/>
    <w:rsid w:val="00870439"/>
    <w:rsid w:val="008706E8"/>
    <w:rsid w:val="008719B0"/>
    <w:rsid w:val="00875DAE"/>
    <w:rsid w:val="00876444"/>
    <w:rsid w:val="00877DBF"/>
    <w:rsid w:val="00880566"/>
    <w:rsid w:val="00880B16"/>
    <w:rsid w:val="00881165"/>
    <w:rsid w:val="00882388"/>
    <w:rsid w:val="008867EC"/>
    <w:rsid w:val="00886AE1"/>
    <w:rsid w:val="008875A1"/>
    <w:rsid w:val="00887F55"/>
    <w:rsid w:val="00890E02"/>
    <w:rsid w:val="0089160A"/>
    <w:rsid w:val="00892024"/>
    <w:rsid w:val="00892440"/>
    <w:rsid w:val="00893B8C"/>
    <w:rsid w:val="00896D79"/>
    <w:rsid w:val="008971BE"/>
    <w:rsid w:val="008A056E"/>
    <w:rsid w:val="008A3C2B"/>
    <w:rsid w:val="008A79D0"/>
    <w:rsid w:val="008B13CC"/>
    <w:rsid w:val="008B4AB5"/>
    <w:rsid w:val="008C0808"/>
    <w:rsid w:val="008C1117"/>
    <w:rsid w:val="008C1AC2"/>
    <w:rsid w:val="008D15B7"/>
    <w:rsid w:val="008D33F0"/>
    <w:rsid w:val="008D3A92"/>
    <w:rsid w:val="008D4002"/>
    <w:rsid w:val="008D4049"/>
    <w:rsid w:val="008D40E0"/>
    <w:rsid w:val="008D4B8F"/>
    <w:rsid w:val="008D5546"/>
    <w:rsid w:val="008D5E43"/>
    <w:rsid w:val="008D7FDB"/>
    <w:rsid w:val="008E041F"/>
    <w:rsid w:val="008E09CB"/>
    <w:rsid w:val="008E1E03"/>
    <w:rsid w:val="008E2817"/>
    <w:rsid w:val="008E2E92"/>
    <w:rsid w:val="008E3106"/>
    <w:rsid w:val="008E6F79"/>
    <w:rsid w:val="008E7E98"/>
    <w:rsid w:val="008F0017"/>
    <w:rsid w:val="008F0C70"/>
    <w:rsid w:val="008F0E81"/>
    <w:rsid w:val="008F35EE"/>
    <w:rsid w:val="008F6924"/>
    <w:rsid w:val="009033B1"/>
    <w:rsid w:val="00904884"/>
    <w:rsid w:val="00907334"/>
    <w:rsid w:val="0091120A"/>
    <w:rsid w:val="0091361F"/>
    <w:rsid w:val="0091436B"/>
    <w:rsid w:val="00914E49"/>
    <w:rsid w:val="00915857"/>
    <w:rsid w:val="009201AE"/>
    <w:rsid w:val="009209DE"/>
    <w:rsid w:val="00921F39"/>
    <w:rsid w:val="00922E13"/>
    <w:rsid w:val="0092484E"/>
    <w:rsid w:val="00927E91"/>
    <w:rsid w:val="00930502"/>
    <w:rsid w:val="009312BC"/>
    <w:rsid w:val="00934428"/>
    <w:rsid w:val="00937C89"/>
    <w:rsid w:val="00940A54"/>
    <w:rsid w:val="0094207B"/>
    <w:rsid w:val="00942756"/>
    <w:rsid w:val="00943413"/>
    <w:rsid w:val="00947197"/>
    <w:rsid w:val="0094732F"/>
    <w:rsid w:val="00951F2E"/>
    <w:rsid w:val="0095244F"/>
    <w:rsid w:val="00952785"/>
    <w:rsid w:val="00952D27"/>
    <w:rsid w:val="00953A9C"/>
    <w:rsid w:val="00954DD3"/>
    <w:rsid w:val="00955BB4"/>
    <w:rsid w:val="00960272"/>
    <w:rsid w:val="00960BE5"/>
    <w:rsid w:val="00961BA4"/>
    <w:rsid w:val="009620B7"/>
    <w:rsid w:val="00970BF6"/>
    <w:rsid w:val="00970F39"/>
    <w:rsid w:val="00970F95"/>
    <w:rsid w:val="009713AE"/>
    <w:rsid w:val="009722F1"/>
    <w:rsid w:val="00974CA0"/>
    <w:rsid w:val="00975A36"/>
    <w:rsid w:val="009803DC"/>
    <w:rsid w:val="00981ED6"/>
    <w:rsid w:val="009832F1"/>
    <w:rsid w:val="00983900"/>
    <w:rsid w:val="00983EAA"/>
    <w:rsid w:val="00983F00"/>
    <w:rsid w:val="00984781"/>
    <w:rsid w:val="00984AED"/>
    <w:rsid w:val="00997508"/>
    <w:rsid w:val="0099762B"/>
    <w:rsid w:val="009A11D8"/>
    <w:rsid w:val="009A6786"/>
    <w:rsid w:val="009B0F31"/>
    <w:rsid w:val="009B3E41"/>
    <w:rsid w:val="009B4174"/>
    <w:rsid w:val="009B60C7"/>
    <w:rsid w:val="009C17D8"/>
    <w:rsid w:val="009C1EF9"/>
    <w:rsid w:val="009C309D"/>
    <w:rsid w:val="009C4C38"/>
    <w:rsid w:val="009C5510"/>
    <w:rsid w:val="009C567C"/>
    <w:rsid w:val="009C711C"/>
    <w:rsid w:val="009D0C7F"/>
    <w:rsid w:val="009D29F4"/>
    <w:rsid w:val="009D404A"/>
    <w:rsid w:val="009D6CE4"/>
    <w:rsid w:val="009E0DFD"/>
    <w:rsid w:val="009E1579"/>
    <w:rsid w:val="009E2381"/>
    <w:rsid w:val="009E2A12"/>
    <w:rsid w:val="009E3E95"/>
    <w:rsid w:val="009E3F0D"/>
    <w:rsid w:val="009E4DBB"/>
    <w:rsid w:val="009E538B"/>
    <w:rsid w:val="009E5AFF"/>
    <w:rsid w:val="009E6C69"/>
    <w:rsid w:val="009F0EBA"/>
    <w:rsid w:val="009F1936"/>
    <w:rsid w:val="009F463D"/>
    <w:rsid w:val="009F53FF"/>
    <w:rsid w:val="009F6C76"/>
    <w:rsid w:val="00A003EB"/>
    <w:rsid w:val="00A00DCA"/>
    <w:rsid w:val="00A03507"/>
    <w:rsid w:val="00A0449B"/>
    <w:rsid w:val="00A046C7"/>
    <w:rsid w:val="00A052D6"/>
    <w:rsid w:val="00A10E91"/>
    <w:rsid w:val="00A129F2"/>
    <w:rsid w:val="00A17C95"/>
    <w:rsid w:val="00A203F7"/>
    <w:rsid w:val="00A20AE1"/>
    <w:rsid w:val="00A20C47"/>
    <w:rsid w:val="00A240B8"/>
    <w:rsid w:val="00A26415"/>
    <w:rsid w:val="00A26BE9"/>
    <w:rsid w:val="00A31BD0"/>
    <w:rsid w:val="00A342B5"/>
    <w:rsid w:val="00A3787D"/>
    <w:rsid w:val="00A37ED0"/>
    <w:rsid w:val="00A44660"/>
    <w:rsid w:val="00A46688"/>
    <w:rsid w:val="00A50207"/>
    <w:rsid w:val="00A50A49"/>
    <w:rsid w:val="00A5363B"/>
    <w:rsid w:val="00A5497F"/>
    <w:rsid w:val="00A55FE8"/>
    <w:rsid w:val="00A5656F"/>
    <w:rsid w:val="00A577E8"/>
    <w:rsid w:val="00A65577"/>
    <w:rsid w:val="00A6666B"/>
    <w:rsid w:val="00A6748E"/>
    <w:rsid w:val="00A7107A"/>
    <w:rsid w:val="00A71EBC"/>
    <w:rsid w:val="00A728EA"/>
    <w:rsid w:val="00A737E7"/>
    <w:rsid w:val="00A76352"/>
    <w:rsid w:val="00A776E9"/>
    <w:rsid w:val="00A8059F"/>
    <w:rsid w:val="00A8255E"/>
    <w:rsid w:val="00A8354F"/>
    <w:rsid w:val="00A8378E"/>
    <w:rsid w:val="00A85A0D"/>
    <w:rsid w:val="00A85EEB"/>
    <w:rsid w:val="00A86CB9"/>
    <w:rsid w:val="00A8739B"/>
    <w:rsid w:val="00A87FC6"/>
    <w:rsid w:val="00A93283"/>
    <w:rsid w:val="00A9443E"/>
    <w:rsid w:val="00A94C72"/>
    <w:rsid w:val="00A963A9"/>
    <w:rsid w:val="00A976D1"/>
    <w:rsid w:val="00AA3F00"/>
    <w:rsid w:val="00AA5F59"/>
    <w:rsid w:val="00AA70CE"/>
    <w:rsid w:val="00AB3B32"/>
    <w:rsid w:val="00AB4E6B"/>
    <w:rsid w:val="00AB7165"/>
    <w:rsid w:val="00AC111B"/>
    <w:rsid w:val="00AC3905"/>
    <w:rsid w:val="00AC65A4"/>
    <w:rsid w:val="00AD1470"/>
    <w:rsid w:val="00AD15D9"/>
    <w:rsid w:val="00AD2072"/>
    <w:rsid w:val="00AD3BBE"/>
    <w:rsid w:val="00AD5BF0"/>
    <w:rsid w:val="00AD5C9B"/>
    <w:rsid w:val="00AD70AB"/>
    <w:rsid w:val="00AE22D8"/>
    <w:rsid w:val="00AE23EB"/>
    <w:rsid w:val="00AE3507"/>
    <w:rsid w:val="00AE6648"/>
    <w:rsid w:val="00AE665D"/>
    <w:rsid w:val="00AE79CF"/>
    <w:rsid w:val="00AF12DE"/>
    <w:rsid w:val="00AF40C9"/>
    <w:rsid w:val="00AF5C7D"/>
    <w:rsid w:val="00AF611B"/>
    <w:rsid w:val="00AF775F"/>
    <w:rsid w:val="00B00F55"/>
    <w:rsid w:val="00B010B1"/>
    <w:rsid w:val="00B01AC2"/>
    <w:rsid w:val="00B01B31"/>
    <w:rsid w:val="00B02750"/>
    <w:rsid w:val="00B02892"/>
    <w:rsid w:val="00B06824"/>
    <w:rsid w:val="00B105E9"/>
    <w:rsid w:val="00B10C0E"/>
    <w:rsid w:val="00B12371"/>
    <w:rsid w:val="00B137A5"/>
    <w:rsid w:val="00B1475F"/>
    <w:rsid w:val="00B17E66"/>
    <w:rsid w:val="00B2094B"/>
    <w:rsid w:val="00B22844"/>
    <w:rsid w:val="00B23337"/>
    <w:rsid w:val="00B25B09"/>
    <w:rsid w:val="00B263E8"/>
    <w:rsid w:val="00B27016"/>
    <w:rsid w:val="00B302F8"/>
    <w:rsid w:val="00B318D0"/>
    <w:rsid w:val="00B31BB4"/>
    <w:rsid w:val="00B3453B"/>
    <w:rsid w:val="00B34B43"/>
    <w:rsid w:val="00B37083"/>
    <w:rsid w:val="00B37AC2"/>
    <w:rsid w:val="00B40610"/>
    <w:rsid w:val="00B40DB3"/>
    <w:rsid w:val="00B4209A"/>
    <w:rsid w:val="00B440B2"/>
    <w:rsid w:val="00B468AB"/>
    <w:rsid w:val="00B46E7B"/>
    <w:rsid w:val="00B47758"/>
    <w:rsid w:val="00B47A53"/>
    <w:rsid w:val="00B538F9"/>
    <w:rsid w:val="00B54B09"/>
    <w:rsid w:val="00B5685C"/>
    <w:rsid w:val="00B56A65"/>
    <w:rsid w:val="00B56D7C"/>
    <w:rsid w:val="00B5750E"/>
    <w:rsid w:val="00B644BF"/>
    <w:rsid w:val="00B667BF"/>
    <w:rsid w:val="00B718C8"/>
    <w:rsid w:val="00B72CC2"/>
    <w:rsid w:val="00B801FC"/>
    <w:rsid w:val="00B83E2E"/>
    <w:rsid w:val="00B861FD"/>
    <w:rsid w:val="00B86BF9"/>
    <w:rsid w:val="00B90159"/>
    <w:rsid w:val="00B9070B"/>
    <w:rsid w:val="00B91199"/>
    <w:rsid w:val="00B97070"/>
    <w:rsid w:val="00B9708D"/>
    <w:rsid w:val="00B97CAB"/>
    <w:rsid w:val="00BA05D3"/>
    <w:rsid w:val="00BA15DC"/>
    <w:rsid w:val="00BA16C6"/>
    <w:rsid w:val="00BA29DA"/>
    <w:rsid w:val="00BA53DE"/>
    <w:rsid w:val="00BA7B3D"/>
    <w:rsid w:val="00BB0A82"/>
    <w:rsid w:val="00BB44A0"/>
    <w:rsid w:val="00BB4B65"/>
    <w:rsid w:val="00BB72CE"/>
    <w:rsid w:val="00BC047E"/>
    <w:rsid w:val="00BC4448"/>
    <w:rsid w:val="00BC4457"/>
    <w:rsid w:val="00BD0C6C"/>
    <w:rsid w:val="00BD233F"/>
    <w:rsid w:val="00BD4165"/>
    <w:rsid w:val="00BD440A"/>
    <w:rsid w:val="00BD7436"/>
    <w:rsid w:val="00BD7907"/>
    <w:rsid w:val="00BE1A5A"/>
    <w:rsid w:val="00BE216E"/>
    <w:rsid w:val="00BE2B4B"/>
    <w:rsid w:val="00BE2BCA"/>
    <w:rsid w:val="00BF0EAB"/>
    <w:rsid w:val="00BF1B55"/>
    <w:rsid w:val="00BF5777"/>
    <w:rsid w:val="00BF59A8"/>
    <w:rsid w:val="00BF7009"/>
    <w:rsid w:val="00C0692C"/>
    <w:rsid w:val="00C13146"/>
    <w:rsid w:val="00C1460D"/>
    <w:rsid w:val="00C17A6A"/>
    <w:rsid w:val="00C22D20"/>
    <w:rsid w:val="00C24ED3"/>
    <w:rsid w:val="00C31874"/>
    <w:rsid w:val="00C333BD"/>
    <w:rsid w:val="00C35D95"/>
    <w:rsid w:val="00C364D5"/>
    <w:rsid w:val="00C36DF2"/>
    <w:rsid w:val="00C40005"/>
    <w:rsid w:val="00C401A6"/>
    <w:rsid w:val="00C42506"/>
    <w:rsid w:val="00C43FB4"/>
    <w:rsid w:val="00C449E7"/>
    <w:rsid w:val="00C455E9"/>
    <w:rsid w:val="00C45C78"/>
    <w:rsid w:val="00C45FD8"/>
    <w:rsid w:val="00C47B9E"/>
    <w:rsid w:val="00C506FD"/>
    <w:rsid w:val="00C5184E"/>
    <w:rsid w:val="00C5377E"/>
    <w:rsid w:val="00C55262"/>
    <w:rsid w:val="00C55CB4"/>
    <w:rsid w:val="00C57BF9"/>
    <w:rsid w:val="00C60154"/>
    <w:rsid w:val="00C61755"/>
    <w:rsid w:val="00C631F7"/>
    <w:rsid w:val="00C647B4"/>
    <w:rsid w:val="00C6526E"/>
    <w:rsid w:val="00C660CB"/>
    <w:rsid w:val="00C672DA"/>
    <w:rsid w:val="00C71264"/>
    <w:rsid w:val="00C732F0"/>
    <w:rsid w:val="00C74331"/>
    <w:rsid w:val="00C74829"/>
    <w:rsid w:val="00C75C45"/>
    <w:rsid w:val="00C76600"/>
    <w:rsid w:val="00C76D3E"/>
    <w:rsid w:val="00C81079"/>
    <w:rsid w:val="00C81D17"/>
    <w:rsid w:val="00C823F8"/>
    <w:rsid w:val="00C82D5C"/>
    <w:rsid w:val="00C83C56"/>
    <w:rsid w:val="00C87287"/>
    <w:rsid w:val="00C90EBC"/>
    <w:rsid w:val="00C910C5"/>
    <w:rsid w:val="00C9290C"/>
    <w:rsid w:val="00C92D12"/>
    <w:rsid w:val="00C94EAA"/>
    <w:rsid w:val="00C954F3"/>
    <w:rsid w:val="00C96B33"/>
    <w:rsid w:val="00C97ECD"/>
    <w:rsid w:val="00CA0E89"/>
    <w:rsid w:val="00CA27F4"/>
    <w:rsid w:val="00CA2E7B"/>
    <w:rsid w:val="00CA662F"/>
    <w:rsid w:val="00CA7A6D"/>
    <w:rsid w:val="00CA7F78"/>
    <w:rsid w:val="00CB2CC4"/>
    <w:rsid w:val="00CB410D"/>
    <w:rsid w:val="00CB44F9"/>
    <w:rsid w:val="00CB70FB"/>
    <w:rsid w:val="00CB7C24"/>
    <w:rsid w:val="00CC53C3"/>
    <w:rsid w:val="00CC75A4"/>
    <w:rsid w:val="00CD1E3D"/>
    <w:rsid w:val="00CD4148"/>
    <w:rsid w:val="00CD5270"/>
    <w:rsid w:val="00CD56BD"/>
    <w:rsid w:val="00CD5EE4"/>
    <w:rsid w:val="00CD7D73"/>
    <w:rsid w:val="00CE0671"/>
    <w:rsid w:val="00CE118C"/>
    <w:rsid w:val="00CE1450"/>
    <w:rsid w:val="00CE1987"/>
    <w:rsid w:val="00CE47DB"/>
    <w:rsid w:val="00CF1851"/>
    <w:rsid w:val="00CF251A"/>
    <w:rsid w:val="00CF37FC"/>
    <w:rsid w:val="00CF3CE2"/>
    <w:rsid w:val="00CF4F1D"/>
    <w:rsid w:val="00CF5D27"/>
    <w:rsid w:val="00CF605A"/>
    <w:rsid w:val="00CF72E7"/>
    <w:rsid w:val="00D006E7"/>
    <w:rsid w:val="00D02658"/>
    <w:rsid w:val="00D034D5"/>
    <w:rsid w:val="00D03855"/>
    <w:rsid w:val="00D04041"/>
    <w:rsid w:val="00D0724A"/>
    <w:rsid w:val="00D07442"/>
    <w:rsid w:val="00D10F47"/>
    <w:rsid w:val="00D11A0D"/>
    <w:rsid w:val="00D132B4"/>
    <w:rsid w:val="00D13C8B"/>
    <w:rsid w:val="00D17406"/>
    <w:rsid w:val="00D17C50"/>
    <w:rsid w:val="00D20278"/>
    <w:rsid w:val="00D212B4"/>
    <w:rsid w:val="00D23144"/>
    <w:rsid w:val="00D23B03"/>
    <w:rsid w:val="00D246A9"/>
    <w:rsid w:val="00D2650A"/>
    <w:rsid w:val="00D26F6F"/>
    <w:rsid w:val="00D300DD"/>
    <w:rsid w:val="00D35D44"/>
    <w:rsid w:val="00D35D62"/>
    <w:rsid w:val="00D35D6A"/>
    <w:rsid w:val="00D35E5B"/>
    <w:rsid w:val="00D36BEC"/>
    <w:rsid w:val="00D43011"/>
    <w:rsid w:val="00D431A3"/>
    <w:rsid w:val="00D440F5"/>
    <w:rsid w:val="00D45801"/>
    <w:rsid w:val="00D45A53"/>
    <w:rsid w:val="00D4663A"/>
    <w:rsid w:val="00D47AAC"/>
    <w:rsid w:val="00D47EB1"/>
    <w:rsid w:val="00D50974"/>
    <w:rsid w:val="00D512C9"/>
    <w:rsid w:val="00D51DA2"/>
    <w:rsid w:val="00D567F5"/>
    <w:rsid w:val="00D60D1F"/>
    <w:rsid w:val="00D6154F"/>
    <w:rsid w:val="00D61B99"/>
    <w:rsid w:val="00D636A1"/>
    <w:rsid w:val="00D72F97"/>
    <w:rsid w:val="00D732B3"/>
    <w:rsid w:val="00D74172"/>
    <w:rsid w:val="00D7657A"/>
    <w:rsid w:val="00D807E1"/>
    <w:rsid w:val="00D81198"/>
    <w:rsid w:val="00D81392"/>
    <w:rsid w:val="00D81A6E"/>
    <w:rsid w:val="00D82106"/>
    <w:rsid w:val="00D90E25"/>
    <w:rsid w:val="00D9158B"/>
    <w:rsid w:val="00D92CFD"/>
    <w:rsid w:val="00D94D0C"/>
    <w:rsid w:val="00D96402"/>
    <w:rsid w:val="00DA1852"/>
    <w:rsid w:val="00DA1FBF"/>
    <w:rsid w:val="00DA2816"/>
    <w:rsid w:val="00DA6D7B"/>
    <w:rsid w:val="00DB033F"/>
    <w:rsid w:val="00DB077D"/>
    <w:rsid w:val="00DB1654"/>
    <w:rsid w:val="00DB2FB8"/>
    <w:rsid w:val="00DB6BBA"/>
    <w:rsid w:val="00DB78E9"/>
    <w:rsid w:val="00DC180D"/>
    <w:rsid w:val="00DC3DCB"/>
    <w:rsid w:val="00DC59EF"/>
    <w:rsid w:val="00DD239E"/>
    <w:rsid w:val="00DD309F"/>
    <w:rsid w:val="00DD3C3B"/>
    <w:rsid w:val="00DD5014"/>
    <w:rsid w:val="00DD6AE9"/>
    <w:rsid w:val="00DD73B3"/>
    <w:rsid w:val="00DD7A39"/>
    <w:rsid w:val="00DE19C5"/>
    <w:rsid w:val="00DE35A0"/>
    <w:rsid w:val="00DE53AB"/>
    <w:rsid w:val="00DE625A"/>
    <w:rsid w:val="00DE6896"/>
    <w:rsid w:val="00DE6A58"/>
    <w:rsid w:val="00DE6E52"/>
    <w:rsid w:val="00DF223E"/>
    <w:rsid w:val="00DF2E90"/>
    <w:rsid w:val="00DF5B27"/>
    <w:rsid w:val="00DF5E3F"/>
    <w:rsid w:val="00DF6266"/>
    <w:rsid w:val="00DF6F91"/>
    <w:rsid w:val="00DF7B81"/>
    <w:rsid w:val="00E02737"/>
    <w:rsid w:val="00E056E1"/>
    <w:rsid w:val="00E058D9"/>
    <w:rsid w:val="00E0630F"/>
    <w:rsid w:val="00E110BA"/>
    <w:rsid w:val="00E12547"/>
    <w:rsid w:val="00E131AA"/>
    <w:rsid w:val="00E14340"/>
    <w:rsid w:val="00E145BB"/>
    <w:rsid w:val="00E15403"/>
    <w:rsid w:val="00E15A2F"/>
    <w:rsid w:val="00E17BC7"/>
    <w:rsid w:val="00E21149"/>
    <w:rsid w:val="00E22BE9"/>
    <w:rsid w:val="00E235E0"/>
    <w:rsid w:val="00E24A67"/>
    <w:rsid w:val="00E24F80"/>
    <w:rsid w:val="00E27B3D"/>
    <w:rsid w:val="00E30A62"/>
    <w:rsid w:val="00E32064"/>
    <w:rsid w:val="00E3266A"/>
    <w:rsid w:val="00E33F22"/>
    <w:rsid w:val="00E36ED6"/>
    <w:rsid w:val="00E375DE"/>
    <w:rsid w:val="00E424C7"/>
    <w:rsid w:val="00E44955"/>
    <w:rsid w:val="00E453D2"/>
    <w:rsid w:val="00E46055"/>
    <w:rsid w:val="00E51705"/>
    <w:rsid w:val="00E51F77"/>
    <w:rsid w:val="00E52873"/>
    <w:rsid w:val="00E53432"/>
    <w:rsid w:val="00E54305"/>
    <w:rsid w:val="00E54CD5"/>
    <w:rsid w:val="00E55117"/>
    <w:rsid w:val="00E56AE5"/>
    <w:rsid w:val="00E57B3B"/>
    <w:rsid w:val="00E6359F"/>
    <w:rsid w:val="00E712D7"/>
    <w:rsid w:val="00E7374C"/>
    <w:rsid w:val="00E764E9"/>
    <w:rsid w:val="00E76FFC"/>
    <w:rsid w:val="00E801CF"/>
    <w:rsid w:val="00E835D1"/>
    <w:rsid w:val="00E84164"/>
    <w:rsid w:val="00E87B7E"/>
    <w:rsid w:val="00E90DF4"/>
    <w:rsid w:val="00E90EAB"/>
    <w:rsid w:val="00E9379A"/>
    <w:rsid w:val="00E94BD6"/>
    <w:rsid w:val="00E9562A"/>
    <w:rsid w:val="00EA0B10"/>
    <w:rsid w:val="00EA106B"/>
    <w:rsid w:val="00EA2DEA"/>
    <w:rsid w:val="00EA513A"/>
    <w:rsid w:val="00EA59BA"/>
    <w:rsid w:val="00EA5B61"/>
    <w:rsid w:val="00EA5D97"/>
    <w:rsid w:val="00EA7CD7"/>
    <w:rsid w:val="00EB137F"/>
    <w:rsid w:val="00EB1436"/>
    <w:rsid w:val="00EB26FF"/>
    <w:rsid w:val="00EB2C9C"/>
    <w:rsid w:val="00EB4AA6"/>
    <w:rsid w:val="00EB5CF1"/>
    <w:rsid w:val="00EB6205"/>
    <w:rsid w:val="00EB64FE"/>
    <w:rsid w:val="00EB7D35"/>
    <w:rsid w:val="00EC2B86"/>
    <w:rsid w:val="00EC374F"/>
    <w:rsid w:val="00EC6144"/>
    <w:rsid w:val="00EC75E0"/>
    <w:rsid w:val="00ED0DD7"/>
    <w:rsid w:val="00ED1A25"/>
    <w:rsid w:val="00ED259B"/>
    <w:rsid w:val="00ED3B17"/>
    <w:rsid w:val="00ED70D3"/>
    <w:rsid w:val="00EE098F"/>
    <w:rsid w:val="00EE16B6"/>
    <w:rsid w:val="00EE6B4C"/>
    <w:rsid w:val="00EE7023"/>
    <w:rsid w:val="00EF099E"/>
    <w:rsid w:val="00EF0FA3"/>
    <w:rsid w:val="00EF1941"/>
    <w:rsid w:val="00EF19B2"/>
    <w:rsid w:val="00EF5C3A"/>
    <w:rsid w:val="00EF6D52"/>
    <w:rsid w:val="00F00B89"/>
    <w:rsid w:val="00F010A3"/>
    <w:rsid w:val="00F02AC7"/>
    <w:rsid w:val="00F02FB7"/>
    <w:rsid w:val="00F04950"/>
    <w:rsid w:val="00F051EB"/>
    <w:rsid w:val="00F07491"/>
    <w:rsid w:val="00F16B9A"/>
    <w:rsid w:val="00F16F39"/>
    <w:rsid w:val="00F205C5"/>
    <w:rsid w:val="00F20926"/>
    <w:rsid w:val="00F24C14"/>
    <w:rsid w:val="00F26BEF"/>
    <w:rsid w:val="00F331AF"/>
    <w:rsid w:val="00F35D23"/>
    <w:rsid w:val="00F36577"/>
    <w:rsid w:val="00F36691"/>
    <w:rsid w:val="00F366C3"/>
    <w:rsid w:val="00F41E83"/>
    <w:rsid w:val="00F421F1"/>
    <w:rsid w:val="00F457F2"/>
    <w:rsid w:val="00F46726"/>
    <w:rsid w:val="00F47377"/>
    <w:rsid w:val="00F52752"/>
    <w:rsid w:val="00F530EC"/>
    <w:rsid w:val="00F5471C"/>
    <w:rsid w:val="00F612C8"/>
    <w:rsid w:val="00F62482"/>
    <w:rsid w:val="00F63A76"/>
    <w:rsid w:val="00F641DA"/>
    <w:rsid w:val="00F64F59"/>
    <w:rsid w:val="00F6637C"/>
    <w:rsid w:val="00F703C7"/>
    <w:rsid w:val="00F70D5A"/>
    <w:rsid w:val="00F71938"/>
    <w:rsid w:val="00F7209B"/>
    <w:rsid w:val="00F7355D"/>
    <w:rsid w:val="00F736EC"/>
    <w:rsid w:val="00F743A4"/>
    <w:rsid w:val="00F74888"/>
    <w:rsid w:val="00F8066F"/>
    <w:rsid w:val="00F80759"/>
    <w:rsid w:val="00F82A67"/>
    <w:rsid w:val="00F8300F"/>
    <w:rsid w:val="00F862F9"/>
    <w:rsid w:val="00F8773E"/>
    <w:rsid w:val="00F940CD"/>
    <w:rsid w:val="00F9422E"/>
    <w:rsid w:val="00F96062"/>
    <w:rsid w:val="00F97A8D"/>
    <w:rsid w:val="00FA0718"/>
    <w:rsid w:val="00FA1090"/>
    <w:rsid w:val="00FA327C"/>
    <w:rsid w:val="00FA75D2"/>
    <w:rsid w:val="00FA7D06"/>
    <w:rsid w:val="00FA7F57"/>
    <w:rsid w:val="00FB1183"/>
    <w:rsid w:val="00FB1AAB"/>
    <w:rsid w:val="00FB2E3F"/>
    <w:rsid w:val="00FB6A02"/>
    <w:rsid w:val="00FD1134"/>
    <w:rsid w:val="00FD2E6C"/>
    <w:rsid w:val="00FD3736"/>
    <w:rsid w:val="00FD41BD"/>
    <w:rsid w:val="00FD4275"/>
    <w:rsid w:val="00FD4677"/>
    <w:rsid w:val="00FD4885"/>
    <w:rsid w:val="00FD4F64"/>
    <w:rsid w:val="00FE260A"/>
    <w:rsid w:val="00FE260E"/>
    <w:rsid w:val="00FE2CD4"/>
    <w:rsid w:val="00FE39BB"/>
    <w:rsid w:val="00FE3CF7"/>
    <w:rsid w:val="00FE65E0"/>
    <w:rsid w:val="00FE7129"/>
    <w:rsid w:val="00FF01BE"/>
    <w:rsid w:val="00FF15D2"/>
    <w:rsid w:val="00FF226D"/>
    <w:rsid w:val="00FF3E86"/>
    <w:rsid w:val="00FF4778"/>
    <w:rsid w:val="00FF4B2A"/>
    <w:rsid w:val="0165422E"/>
    <w:rsid w:val="01A4367C"/>
    <w:rsid w:val="02222099"/>
    <w:rsid w:val="02342BD7"/>
    <w:rsid w:val="02343825"/>
    <w:rsid w:val="026079CC"/>
    <w:rsid w:val="02B96431"/>
    <w:rsid w:val="02E43EFF"/>
    <w:rsid w:val="02F902D9"/>
    <w:rsid w:val="02FB3F77"/>
    <w:rsid w:val="031F3366"/>
    <w:rsid w:val="032434EB"/>
    <w:rsid w:val="03942491"/>
    <w:rsid w:val="03A333B8"/>
    <w:rsid w:val="043B104C"/>
    <w:rsid w:val="04692813"/>
    <w:rsid w:val="047B268B"/>
    <w:rsid w:val="049116D8"/>
    <w:rsid w:val="04A521B1"/>
    <w:rsid w:val="04BD76A1"/>
    <w:rsid w:val="052B792A"/>
    <w:rsid w:val="05C175DB"/>
    <w:rsid w:val="05FF6384"/>
    <w:rsid w:val="064B131C"/>
    <w:rsid w:val="06FC3BD0"/>
    <w:rsid w:val="07531933"/>
    <w:rsid w:val="07575B4D"/>
    <w:rsid w:val="07683C90"/>
    <w:rsid w:val="07930CAA"/>
    <w:rsid w:val="07A52D9C"/>
    <w:rsid w:val="07EA0B75"/>
    <w:rsid w:val="07ED0132"/>
    <w:rsid w:val="07F06A5B"/>
    <w:rsid w:val="0826553C"/>
    <w:rsid w:val="08837626"/>
    <w:rsid w:val="08A41060"/>
    <w:rsid w:val="0A865A05"/>
    <w:rsid w:val="0ADB3263"/>
    <w:rsid w:val="0B2E3AC8"/>
    <w:rsid w:val="0B3205A4"/>
    <w:rsid w:val="0B4F09D0"/>
    <w:rsid w:val="0B5E781B"/>
    <w:rsid w:val="0BA862BC"/>
    <w:rsid w:val="0BD70B5B"/>
    <w:rsid w:val="0BE9425E"/>
    <w:rsid w:val="0C4F67AE"/>
    <w:rsid w:val="0E8723FE"/>
    <w:rsid w:val="0EB634CB"/>
    <w:rsid w:val="10307969"/>
    <w:rsid w:val="10AC6B20"/>
    <w:rsid w:val="10E41A8C"/>
    <w:rsid w:val="10E80D48"/>
    <w:rsid w:val="111E2468"/>
    <w:rsid w:val="11352C65"/>
    <w:rsid w:val="12527C45"/>
    <w:rsid w:val="12C401EA"/>
    <w:rsid w:val="12DF5E8E"/>
    <w:rsid w:val="12F65F14"/>
    <w:rsid w:val="13511316"/>
    <w:rsid w:val="138064D8"/>
    <w:rsid w:val="1386260E"/>
    <w:rsid w:val="13BF1427"/>
    <w:rsid w:val="13D02E70"/>
    <w:rsid w:val="13DF3550"/>
    <w:rsid w:val="14E13A88"/>
    <w:rsid w:val="14E424A3"/>
    <w:rsid w:val="14EB11A4"/>
    <w:rsid w:val="151C4E27"/>
    <w:rsid w:val="15282C66"/>
    <w:rsid w:val="1542497A"/>
    <w:rsid w:val="15660029"/>
    <w:rsid w:val="15A87643"/>
    <w:rsid w:val="15CA4EFA"/>
    <w:rsid w:val="166B7F1C"/>
    <w:rsid w:val="16710399"/>
    <w:rsid w:val="16766CF7"/>
    <w:rsid w:val="16DF76F0"/>
    <w:rsid w:val="179C1464"/>
    <w:rsid w:val="17D47226"/>
    <w:rsid w:val="180E3F2C"/>
    <w:rsid w:val="1820329E"/>
    <w:rsid w:val="18784251"/>
    <w:rsid w:val="18AA7225"/>
    <w:rsid w:val="193B0B8F"/>
    <w:rsid w:val="19AA7876"/>
    <w:rsid w:val="19C9192D"/>
    <w:rsid w:val="19F2229A"/>
    <w:rsid w:val="1B114499"/>
    <w:rsid w:val="1B2F1403"/>
    <w:rsid w:val="1B4366B0"/>
    <w:rsid w:val="1B583D98"/>
    <w:rsid w:val="1BAE4D2B"/>
    <w:rsid w:val="1C3A2704"/>
    <w:rsid w:val="1C544B4B"/>
    <w:rsid w:val="1C66759E"/>
    <w:rsid w:val="1C7149C6"/>
    <w:rsid w:val="1C7C6D7C"/>
    <w:rsid w:val="1D0C4844"/>
    <w:rsid w:val="1D164689"/>
    <w:rsid w:val="1E00783B"/>
    <w:rsid w:val="1E007B96"/>
    <w:rsid w:val="1EFC4C0E"/>
    <w:rsid w:val="1F14780A"/>
    <w:rsid w:val="203005FD"/>
    <w:rsid w:val="206A3D28"/>
    <w:rsid w:val="207C45CB"/>
    <w:rsid w:val="209417A5"/>
    <w:rsid w:val="2157248F"/>
    <w:rsid w:val="21662956"/>
    <w:rsid w:val="2173757D"/>
    <w:rsid w:val="21BB0EF9"/>
    <w:rsid w:val="21C265B0"/>
    <w:rsid w:val="21F814D1"/>
    <w:rsid w:val="22896344"/>
    <w:rsid w:val="229B3F06"/>
    <w:rsid w:val="24261C29"/>
    <w:rsid w:val="24467ED8"/>
    <w:rsid w:val="246E7474"/>
    <w:rsid w:val="24DD6342"/>
    <w:rsid w:val="24F07A1A"/>
    <w:rsid w:val="257C4878"/>
    <w:rsid w:val="26121E2A"/>
    <w:rsid w:val="266005EA"/>
    <w:rsid w:val="266B055B"/>
    <w:rsid w:val="266C17B9"/>
    <w:rsid w:val="267E461A"/>
    <w:rsid w:val="268F6CC5"/>
    <w:rsid w:val="271C58A4"/>
    <w:rsid w:val="271D14B3"/>
    <w:rsid w:val="271F50C1"/>
    <w:rsid w:val="27576CED"/>
    <w:rsid w:val="27A4719C"/>
    <w:rsid w:val="282C61AB"/>
    <w:rsid w:val="295F049A"/>
    <w:rsid w:val="2A141D73"/>
    <w:rsid w:val="2A3D7E7D"/>
    <w:rsid w:val="2AA8613E"/>
    <w:rsid w:val="2AF3638F"/>
    <w:rsid w:val="2B020F49"/>
    <w:rsid w:val="2B5F7125"/>
    <w:rsid w:val="2C0250FD"/>
    <w:rsid w:val="2C6D403E"/>
    <w:rsid w:val="2CBE538C"/>
    <w:rsid w:val="2D0C1C28"/>
    <w:rsid w:val="2D400B20"/>
    <w:rsid w:val="2D653EFB"/>
    <w:rsid w:val="2D6A7C94"/>
    <w:rsid w:val="2D8F1CB9"/>
    <w:rsid w:val="2D900D7F"/>
    <w:rsid w:val="2E164199"/>
    <w:rsid w:val="2E3D6AF1"/>
    <w:rsid w:val="2E6D2C6F"/>
    <w:rsid w:val="2EEA3918"/>
    <w:rsid w:val="2EF3063C"/>
    <w:rsid w:val="2F3D7183"/>
    <w:rsid w:val="2F467FB4"/>
    <w:rsid w:val="2F630D51"/>
    <w:rsid w:val="2F744DB3"/>
    <w:rsid w:val="2FBB7F73"/>
    <w:rsid w:val="305B4542"/>
    <w:rsid w:val="30F40023"/>
    <w:rsid w:val="318372EB"/>
    <w:rsid w:val="319100D8"/>
    <w:rsid w:val="31C96D85"/>
    <w:rsid w:val="327F0627"/>
    <w:rsid w:val="32892317"/>
    <w:rsid w:val="330A1527"/>
    <w:rsid w:val="337517BA"/>
    <w:rsid w:val="33C64BBC"/>
    <w:rsid w:val="33E23047"/>
    <w:rsid w:val="33FA1CF4"/>
    <w:rsid w:val="34C64DEA"/>
    <w:rsid w:val="351A1C22"/>
    <w:rsid w:val="351C57BB"/>
    <w:rsid w:val="357457A3"/>
    <w:rsid w:val="35986AB7"/>
    <w:rsid w:val="35B831AF"/>
    <w:rsid w:val="35C06387"/>
    <w:rsid w:val="35C67D4B"/>
    <w:rsid w:val="35DE7A51"/>
    <w:rsid w:val="35F87F59"/>
    <w:rsid w:val="361511A0"/>
    <w:rsid w:val="364D317F"/>
    <w:rsid w:val="36703A7F"/>
    <w:rsid w:val="37022860"/>
    <w:rsid w:val="370F6B00"/>
    <w:rsid w:val="373F1089"/>
    <w:rsid w:val="377C5B62"/>
    <w:rsid w:val="37884724"/>
    <w:rsid w:val="37E10013"/>
    <w:rsid w:val="37EB1330"/>
    <w:rsid w:val="382444E1"/>
    <w:rsid w:val="38727ECC"/>
    <w:rsid w:val="38895C44"/>
    <w:rsid w:val="38DE503D"/>
    <w:rsid w:val="390862C1"/>
    <w:rsid w:val="39501813"/>
    <w:rsid w:val="395818B7"/>
    <w:rsid w:val="397B549D"/>
    <w:rsid w:val="39BD45D1"/>
    <w:rsid w:val="39EE49B0"/>
    <w:rsid w:val="39F17700"/>
    <w:rsid w:val="3A146D79"/>
    <w:rsid w:val="3A421828"/>
    <w:rsid w:val="3A700761"/>
    <w:rsid w:val="3A7777D5"/>
    <w:rsid w:val="3A9B57F1"/>
    <w:rsid w:val="3AE475EE"/>
    <w:rsid w:val="3B541299"/>
    <w:rsid w:val="3B770648"/>
    <w:rsid w:val="3C503211"/>
    <w:rsid w:val="3C7D6621"/>
    <w:rsid w:val="3CB02703"/>
    <w:rsid w:val="3CEB3338"/>
    <w:rsid w:val="3CFF59CD"/>
    <w:rsid w:val="3D3B458F"/>
    <w:rsid w:val="3D8F7AD5"/>
    <w:rsid w:val="3DE67389"/>
    <w:rsid w:val="3DF95828"/>
    <w:rsid w:val="3E4008D6"/>
    <w:rsid w:val="3E427BFA"/>
    <w:rsid w:val="3E5F2F64"/>
    <w:rsid w:val="3EA83763"/>
    <w:rsid w:val="3EB64C8C"/>
    <w:rsid w:val="3EC3546A"/>
    <w:rsid w:val="3F0E2548"/>
    <w:rsid w:val="3F617D32"/>
    <w:rsid w:val="3FC60E84"/>
    <w:rsid w:val="3FEF4EC8"/>
    <w:rsid w:val="40172D09"/>
    <w:rsid w:val="402C1FBE"/>
    <w:rsid w:val="40571BAE"/>
    <w:rsid w:val="40E23B24"/>
    <w:rsid w:val="40E6286E"/>
    <w:rsid w:val="411E3757"/>
    <w:rsid w:val="41244865"/>
    <w:rsid w:val="419B0363"/>
    <w:rsid w:val="41A62286"/>
    <w:rsid w:val="41A66117"/>
    <w:rsid w:val="41CD5827"/>
    <w:rsid w:val="41DE424D"/>
    <w:rsid w:val="423029FB"/>
    <w:rsid w:val="42830851"/>
    <w:rsid w:val="429B04BD"/>
    <w:rsid w:val="42A109D3"/>
    <w:rsid w:val="42A67CC9"/>
    <w:rsid w:val="42A7507B"/>
    <w:rsid w:val="43322489"/>
    <w:rsid w:val="435E24FD"/>
    <w:rsid w:val="438D1045"/>
    <w:rsid w:val="438E543A"/>
    <w:rsid w:val="43D16E27"/>
    <w:rsid w:val="445D313D"/>
    <w:rsid w:val="4467465E"/>
    <w:rsid w:val="447B5F4E"/>
    <w:rsid w:val="44AF0EEC"/>
    <w:rsid w:val="44CD59A8"/>
    <w:rsid w:val="44D274A5"/>
    <w:rsid w:val="44F84316"/>
    <w:rsid w:val="453C04A8"/>
    <w:rsid w:val="45BC1E54"/>
    <w:rsid w:val="45FC5CA1"/>
    <w:rsid w:val="46A25C4E"/>
    <w:rsid w:val="46CC771E"/>
    <w:rsid w:val="47042FE3"/>
    <w:rsid w:val="47CD2360"/>
    <w:rsid w:val="47F94C94"/>
    <w:rsid w:val="48127EA4"/>
    <w:rsid w:val="4817592A"/>
    <w:rsid w:val="485C3ACD"/>
    <w:rsid w:val="488B07DE"/>
    <w:rsid w:val="489049C1"/>
    <w:rsid w:val="48C84446"/>
    <w:rsid w:val="48E924A4"/>
    <w:rsid w:val="49111C3E"/>
    <w:rsid w:val="495576D2"/>
    <w:rsid w:val="496B4177"/>
    <w:rsid w:val="49912922"/>
    <w:rsid w:val="4A500CCD"/>
    <w:rsid w:val="4A6C208D"/>
    <w:rsid w:val="4A900412"/>
    <w:rsid w:val="4AB709AB"/>
    <w:rsid w:val="4AED73CB"/>
    <w:rsid w:val="4B4740AF"/>
    <w:rsid w:val="4BC50DF1"/>
    <w:rsid w:val="4BD60100"/>
    <w:rsid w:val="4C091E35"/>
    <w:rsid w:val="4CC60D49"/>
    <w:rsid w:val="4D2801B4"/>
    <w:rsid w:val="4D7C4CEE"/>
    <w:rsid w:val="4D8C2ED2"/>
    <w:rsid w:val="4DBE7C70"/>
    <w:rsid w:val="4DC424D3"/>
    <w:rsid w:val="4F943947"/>
    <w:rsid w:val="4FB74888"/>
    <w:rsid w:val="4FD3663F"/>
    <w:rsid w:val="501B5B7C"/>
    <w:rsid w:val="507C28F0"/>
    <w:rsid w:val="509172C1"/>
    <w:rsid w:val="50BC2C63"/>
    <w:rsid w:val="50EC7E4C"/>
    <w:rsid w:val="51A6092B"/>
    <w:rsid w:val="520F7643"/>
    <w:rsid w:val="52306CCD"/>
    <w:rsid w:val="523524E5"/>
    <w:rsid w:val="52625E03"/>
    <w:rsid w:val="528F10FA"/>
    <w:rsid w:val="52B20CD1"/>
    <w:rsid w:val="52E041FD"/>
    <w:rsid w:val="52E81BAD"/>
    <w:rsid w:val="533A6AE6"/>
    <w:rsid w:val="53501229"/>
    <w:rsid w:val="53513952"/>
    <w:rsid w:val="537E7E9B"/>
    <w:rsid w:val="53964AE1"/>
    <w:rsid w:val="53A100B6"/>
    <w:rsid w:val="53FB2E91"/>
    <w:rsid w:val="54265EED"/>
    <w:rsid w:val="54467BF5"/>
    <w:rsid w:val="54782EDB"/>
    <w:rsid w:val="54997EC7"/>
    <w:rsid w:val="54BB5FA1"/>
    <w:rsid w:val="550F10B3"/>
    <w:rsid w:val="553351B0"/>
    <w:rsid w:val="55355D6D"/>
    <w:rsid w:val="563626CE"/>
    <w:rsid w:val="56B4505B"/>
    <w:rsid w:val="56B7677E"/>
    <w:rsid w:val="56FE0421"/>
    <w:rsid w:val="57170E46"/>
    <w:rsid w:val="576B5DB3"/>
    <w:rsid w:val="584B73A6"/>
    <w:rsid w:val="584D0783"/>
    <w:rsid w:val="585C34F8"/>
    <w:rsid w:val="58712ABA"/>
    <w:rsid w:val="58A91D7D"/>
    <w:rsid w:val="592C6A53"/>
    <w:rsid w:val="596D0EA7"/>
    <w:rsid w:val="59E7474B"/>
    <w:rsid w:val="5A800BD1"/>
    <w:rsid w:val="5AC01735"/>
    <w:rsid w:val="5AEF1BB1"/>
    <w:rsid w:val="5AF72628"/>
    <w:rsid w:val="5B244CFB"/>
    <w:rsid w:val="5B595CE0"/>
    <w:rsid w:val="5B7B22E9"/>
    <w:rsid w:val="5C9512AF"/>
    <w:rsid w:val="5CA81A51"/>
    <w:rsid w:val="5CAA1728"/>
    <w:rsid w:val="5CF44DB3"/>
    <w:rsid w:val="5D640F39"/>
    <w:rsid w:val="5D786363"/>
    <w:rsid w:val="5DB5583F"/>
    <w:rsid w:val="5E521CF0"/>
    <w:rsid w:val="5EDF77E0"/>
    <w:rsid w:val="5EE46A97"/>
    <w:rsid w:val="5EF32DAA"/>
    <w:rsid w:val="5F2D4E9B"/>
    <w:rsid w:val="5F9F5681"/>
    <w:rsid w:val="6013386D"/>
    <w:rsid w:val="6031092A"/>
    <w:rsid w:val="60372DAC"/>
    <w:rsid w:val="60687938"/>
    <w:rsid w:val="60796CA9"/>
    <w:rsid w:val="608C3F63"/>
    <w:rsid w:val="60A90F0B"/>
    <w:rsid w:val="61196440"/>
    <w:rsid w:val="611D7C3F"/>
    <w:rsid w:val="615B0AF6"/>
    <w:rsid w:val="61A71A1E"/>
    <w:rsid w:val="61B17280"/>
    <w:rsid w:val="61E25D53"/>
    <w:rsid w:val="61E850F1"/>
    <w:rsid w:val="61ED39C5"/>
    <w:rsid w:val="626066F0"/>
    <w:rsid w:val="629B77C2"/>
    <w:rsid w:val="62C2688C"/>
    <w:rsid w:val="62E9064B"/>
    <w:rsid w:val="631B67E6"/>
    <w:rsid w:val="6323756C"/>
    <w:rsid w:val="63590BC8"/>
    <w:rsid w:val="63790603"/>
    <w:rsid w:val="637E5A02"/>
    <w:rsid w:val="63AC2F92"/>
    <w:rsid w:val="63E65BBD"/>
    <w:rsid w:val="63F401EC"/>
    <w:rsid w:val="63FD6222"/>
    <w:rsid w:val="64341005"/>
    <w:rsid w:val="64A6717F"/>
    <w:rsid w:val="64E753B8"/>
    <w:rsid w:val="653A1062"/>
    <w:rsid w:val="657878C3"/>
    <w:rsid w:val="65D9235B"/>
    <w:rsid w:val="65E363FB"/>
    <w:rsid w:val="662649A0"/>
    <w:rsid w:val="663449D2"/>
    <w:rsid w:val="663467CF"/>
    <w:rsid w:val="669D4A33"/>
    <w:rsid w:val="66B67E4C"/>
    <w:rsid w:val="66C70FA8"/>
    <w:rsid w:val="67186A08"/>
    <w:rsid w:val="675957F3"/>
    <w:rsid w:val="67B67040"/>
    <w:rsid w:val="67F93CF9"/>
    <w:rsid w:val="68385D5C"/>
    <w:rsid w:val="684639ED"/>
    <w:rsid w:val="68B8416D"/>
    <w:rsid w:val="68FB24A5"/>
    <w:rsid w:val="690C7660"/>
    <w:rsid w:val="69275CED"/>
    <w:rsid w:val="6B451619"/>
    <w:rsid w:val="6BEF6AA5"/>
    <w:rsid w:val="6C364CD0"/>
    <w:rsid w:val="6C826B94"/>
    <w:rsid w:val="6D050E2B"/>
    <w:rsid w:val="6D4912A8"/>
    <w:rsid w:val="6D732D6C"/>
    <w:rsid w:val="6D7B7706"/>
    <w:rsid w:val="6E392A67"/>
    <w:rsid w:val="6E874CE4"/>
    <w:rsid w:val="6EB8388C"/>
    <w:rsid w:val="6EDA0AC7"/>
    <w:rsid w:val="6F5F2239"/>
    <w:rsid w:val="6FA4182E"/>
    <w:rsid w:val="6FE911A4"/>
    <w:rsid w:val="701C4E99"/>
    <w:rsid w:val="70253595"/>
    <w:rsid w:val="706726A8"/>
    <w:rsid w:val="70DD283A"/>
    <w:rsid w:val="71C0777B"/>
    <w:rsid w:val="721C67BA"/>
    <w:rsid w:val="72643ABE"/>
    <w:rsid w:val="727163A1"/>
    <w:rsid w:val="72B1519E"/>
    <w:rsid w:val="72B20A2B"/>
    <w:rsid w:val="72D33ED1"/>
    <w:rsid w:val="72F813F5"/>
    <w:rsid w:val="730E5C9E"/>
    <w:rsid w:val="73675158"/>
    <w:rsid w:val="73882ED7"/>
    <w:rsid w:val="73A1681A"/>
    <w:rsid w:val="74042D82"/>
    <w:rsid w:val="741D2986"/>
    <w:rsid w:val="74487AF4"/>
    <w:rsid w:val="74515375"/>
    <w:rsid w:val="745470CA"/>
    <w:rsid w:val="7467288B"/>
    <w:rsid w:val="74694F14"/>
    <w:rsid w:val="74E31CCD"/>
    <w:rsid w:val="752816BB"/>
    <w:rsid w:val="755E1A97"/>
    <w:rsid w:val="75663056"/>
    <w:rsid w:val="75707C18"/>
    <w:rsid w:val="75A34A30"/>
    <w:rsid w:val="760465D5"/>
    <w:rsid w:val="761F040B"/>
    <w:rsid w:val="76D66C12"/>
    <w:rsid w:val="7776085C"/>
    <w:rsid w:val="778A4DCA"/>
    <w:rsid w:val="779A71B0"/>
    <w:rsid w:val="785B608E"/>
    <w:rsid w:val="78920858"/>
    <w:rsid w:val="78CA3B28"/>
    <w:rsid w:val="7A2425B4"/>
    <w:rsid w:val="7A35722A"/>
    <w:rsid w:val="7A7A7992"/>
    <w:rsid w:val="7A883F15"/>
    <w:rsid w:val="7A987E48"/>
    <w:rsid w:val="7AC6589C"/>
    <w:rsid w:val="7AD21984"/>
    <w:rsid w:val="7B3A6D7D"/>
    <w:rsid w:val="7B3C47BC"/>
    <w:rsid w:val="7B606D85"/>
    <w:rsid w:val="7B64051E"/>
    <w:rsid w:val="7BA67C24"/>
    <w:rsid w:val="7BED4FCF"/>
    <w:rsid w:val="7C2361D8"/>
    <w:rsid w:val="7C6375C3"/>
    <w:rsid w:val="7CD445C1"/>
    <w:rsid w:val="7D230EFF"/>
    <w:rsid w:val="7DCB6236"/>
    <w:rsid w:val="7E6270DF"/>
    <w:rsid w:val="7E875795"/>
    <w:rsid w:val="7F404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20" w:lineRule="exact"/>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51"/>
    <w:qFormat/>
    <w:uiPriority w:val="0"/>
    <w:pPr>
      <w:keepNext/>
      <w:jc w:val="left"/>
      <w:outlineLvl w:val="0"/>
    </w:pPr>
    <w:rPr>
      <w:rFonts w:ascii="宋体"/>
      <w:sz w:val="28"/>
      <w:szCs w:val="20"/>
    </w:rPr>
  </w:style>
  <w:style w:type="paragraph" w:styleId="5">
    <w:name w:val="heading 2"/>
    <w:basedOn w:val="1"/>
    <w:next w:val="1"/>
    <w:link w:val="61"/>
    <w:qFormat/>
    <w:uiPriority w:val="0"/>
    <w:pPr>
      <w:keepNext/>
      <w:keepLines/>
      <w:widowControl/>
      <w:adjustRightInd w:val="0"/>
      <w:snapToGrid w:val="0"/>
      <w:spacing w:line="360" w:lineRule="auto"/>
      <w:jc w:val="left"/>
      <w:outlineLvl w:val="1"/>
    </w:pPr>
    <w:rPr>
      <w:rFonts w:eastAsia="黑体"/>
      <w:bCs/>
      <w:sz w:val="24"/>
      <w:szCs w:val="32"/>
    </w:rPr>
  </w:style>
  <w:style w:type="paragraph" w:styleId="6">
    <w:name w:val="heading 3"/>
    <w:basedOn w:val="1"/>
    <w:next w:val="1"/>
    <w:link w:val="57"/>
    <w:qFormat/>
    <w:uiPriority w:val="0"/>
    <w:pPr>
      <w:keepNext/>
      <w:keepLines/>
      <w:widowControl/>
      <w:adjustRightInd w:val="0"/>
      <w:snapToGrid w:val="0"/>
      <w:spacing w:line="360" w:lineRule="auto"/>
      <w:outlineLvl w:val="2"/>
    </w:pPr>
    <w:rPr>
      <w:bCs/>
      <w:sz w:val="24"/>
      <w:szCs w:val="32"/>
    </w:rPr>
  </w:style>
  <w:style w:type="paragraph" w:styleId="7">
    <w:name w:val="heading 4"/>
    <w:basedOn w:val="1"/>
    <w:next w:val="1"/>
    <w:link w:val="56"/>
    <w:qFormat/>
    <w:uiPriority w:val="0"/>
    <w:pPr>
      <w:keepNext/>
      <w:keepLines/>
      <w:widowControl/>
      <w:adjustRightInd w:val="0"/>
      <w:snapToGrid w:val="0"/>
      <w:spacing w:line="360" w:lineRule="auto"/>
      <w:jc w:val="left"/>
      <w:outlineLvl w:val="3"/>
    </w:pPr>
    <w:rPr>
      <w:bCs/>
      <w:sz w:val="24"/>
      <w:szCs w:val="28"/>
    </w:rPr>
  </w:style>
  <w:style w:type="paragraph" w:styleId="8">
    <w:name w:val="heading 5"/>
    <w:basedOn w:val="1"/>
    <w:next w:val="1"/>
    <w:link w:val="55"/>
    <w:qFormat/>
    <w:uiPriority w:val="0"/>
    <w:pPr>
      <w:keepNext/>
      <w:keepLines/>
      <w:widowControl/>
      <w:adjustRightInd w:val="0"/>
      <w:snapToGrid w:val="0"/>
      <w:spacing w:before="280" w:after="290" w:line="376" w:lineRule="auto"/>
      <w:ind w:left="1008" w:hanging="1008"/>
      <w:outlineLvl w:val="4"/>
    </w:pPr>
    <w:rPr>
      <w:rFonts w:ascii="Calibri" w:hAnsi="Calibri"/>
      <w:b/>
      <w:bCs/>
      <w:sz w:val="28"/>
      <w:szCs w:val="28"/>
    </w:rPr>
  </w:style>
  <w:style w:type="paragraph" w:styleId="9">
    <w:name w:val="heading 6"/>
    <w:basedOn w:val="1"/>
    <w:next w:val="1"/>
    <w:link w:val="66"/>
    <w:qFormat/>
    <w:uiPriority w:val="0"/>
    <w:pPr>
      <w:keepNext/>
      <w:keepLines/>
      <w:widowControl/>
      <w:adjustRightInd w:val="0"/>
      <w:snapToGrid w:val="0"/>
      <w:spacing w:before="240" w:after="64" w:line="320" w:lineRule="auto"/>
      <w:ind w:left="1152" w:hanging="1152"/>
      <w:outlineLvl w:val="5"/>
    </w:pPr>
    <w:rPr>
      <w:rFonts w:ascii="Cambria" w:hAnsi="Cambria"/>
      <w:b/>
      <w:bCs/>
      <w:sz w:val="24"/>
    </w:rPr>
  </w:style>
  <w:style w:type="paragraph" w:styleId="10">
    <w:name w:val="heading 7"/>
    <w:basedOn w:val="1"/>
    <w:next w:val="1"/>
    <w:link w:val="52"/>
    <w:qFormat/>
    <w:uiPriority w:val="0"/>
    <w:pPr>
      <w:keepNext/>
      <w:keepLines/>
      <w:widowControl/>
      <w:adjustRightInd w:val="0"/>
      <w:snapToGrid w:val="0"/>
      <w:spacing w:before="240" w:after="64" w:line="320" w:lineRule="auto"/>
      <w:ind w:left="1296" w:hanging="1296"/>
      <w:outlineLvl w:val="6"/>
    </w:pPr>
    <w:rPr>
      <w:rFonts w:ascii="Calibri" w:hAnsi="Calibri"/>
      <w:b/>
      <w:bCs/>
      <w:sz w:val="24"/>
    </w:rPr>
  </w:style>
  <w:style w:type="paragraph" w:styleId="11">
    <w:name w:val="heading 8"/>
    <w:basedOn w:val="1"/>
    <w:next w:val="1"/>
    <w:link w:val="48"/>
    <w:qFormat/>
    <w:uiPriority w:val="0"/>
    <w:pPr>
      <w:keepNext/>
      <w:keepLines/>
      <w:widowControl/>
      <w:adjustRightInd w:val="0"/>
      <w:snapToGrid w:val="0"/>
      <w:spacing w:before="240" w:after="64" w:line="320" w:lineRule="auto"/>
      <w:ind w:left="1440" w:hanging="1440"/>
      <w:outlineLvl w:val="7"/>
    </w:pPr>
    <w:rPr>
      <w:rFonts w:ascii="Cambria" w:hAnsi="Cambria"/>
      <w:sz w:val="24"/>
    </w:rPr>
  </w:style>
  <w:style w:type="paragraph" w:styleId="12">
    <w:name w:val="heading 9"/>
    <w:basedOn w:val="1"/>
    <w:next w:val="1"/>
    <w:link w:val="53"/>
    <w:qFormat/>
    <w:uiPriority w:val="0"/>
    <w:pPr>
      <w:keepNext/>
      <w:keepLines/>
      <w:widowControl/>
      <w:adjustRightInd w:val="0"/>
      <w:snapToGrid w:val="0"/>
      <w:spacing w:before="240" w:after="64" w:line="320" w:lineRule="auto"/>
      <w:ind w:left="1584" w:hanging="1584"/>
      <w:outlineLvl w:val="8"/>
    </w:pPr>
    <w:rPr>
      <w:rFonts w:ascii="Cambria" w:hAnsi="Cambria"/>
      <w:sz w:val="21"/>
      <w:szCs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69"/>
    <w:qFormat/>
    <w:uiPriority w:val="0"/>
    <w:pPr>
      <w:adjustRightInd w:val="0"/>
      <w:spacing w:after="120" w:line="240" w:lineRule="auto"/>
      <w:ind w:left="420" w:leftChars="200" w:firstLine="0" w:firstLineChars="0"/>
      <w:jc w:val="both"/>
    </w:pPr>
    <w:rPr>
      <w:rFonts w:ascii="Times New Roman" w:hAnsi="Times New Roman"/>
    </w:rPr>
  </w:style>
  <w:style w:type="paragraph" w:styleId="3">
    <w:name w:val="Body Text Indent"/>
    <w:basedOn w:val="1"/>
    <w:link w:val="68"/>
    <w:qFormat/>
    <w:uiPriority w:val="0"/>
    <w:pPr>
      <w:spacing w:line="460" w:lineRule="exact"/>
      <w:ind w:firstLine="561"/>
      <w:jc w:val="left"/>
    </w:pPr>
    <w:rPr>
      <w:sz w:val="28"/>
    </w:rPr>
  </w:style>
  <w:style w:type="paragraph" w:styleId="13">
    <w:name w:val="List Number"/>
    <w:basedOn w:val="14"/>
    <w:qFormat/>
    <w:uiPriority w:val="0"/>
    <w:pPr>
      <w:widowControl/>
      <w:adjustRightInd w:val="0"/>
      <w:snapToGrid w:val="0"/>
      <w:spacing w:after="0" w:line="360" w:lineRule="auto"/>
      <w:ind w:firstLine="200" w:firstLineChars="200"/>
    </w:pPr>
    <w:rPr>
      <w:sz w:val="24"/>
      <w:szCs w:val="21"/>
    </w:rPr>
  </w:style>
  <w:style w:type="paragraph" w:styleId="14">
    <w:name w:val="Body Text First Indent"/>
    <w:basedOn w:val="15"/>
    <w:link w:val="64"/>
    <w:qFormat/>
    <w:uiPriority w:val="0"/>
    <w:pPr>
      <w:ind w:firstLine="420" w:firstLineChars="100"/>
    </w:pPr>
    <w:rPr>
      <w:sz w:val="21"/>
    </w:rPr>
  </w:style>
  <w:style w:type="paragraph" w:styleId="15">
    <w:name w:val="Body Text"/>
    <w:basedOn w:val="1"/>
    <w:link w:val="60"/>
    <w:qFormat/>
    <w:uiPriority w:val="0"/>
    <w:pPr>
      <w:spacing w:after="120"/>
    </w:pPr>
  </w:style>
  <w:style w:type="paragraph" w:styleId="16">
    <w:name w:val="Normal Indent"/>
    <w:basedOn w:val="1"/>
    <w:link w:val="59"/>
    <w:qFormat/>
    <w:uiPriority w:val="0"/>
    <w:pPr>
      <w:ind w:firstLine="420" w:firstLineChars="200"/>
    </w:pPr>
  </w:style>
  <w:style w:type="paragraph" w:styleId="17">
    <w:name w:val="caption"/>
    <w:basedOn w:val="1"/>
    <w:next w:val="1"/>
    <w:link w:val="63"/>
    <w:qFormat/>
    <w:uiPriority w:val="0"/>
    <w:pPr>
      <w:widowControl/>
      <w:adjustRightInd w:val="0"/>
      <w:snapToGrid w:val="0"/>
      <w:jc w:val="center"/>
    </w:pPr>
    <w:rPr>
      <w:rFonts w:eastAsia="黑体"/>
      <w:sz w:val="24"/>
      <w:szCs w:val="20"/>
    </w:rPr>
  </w:style>
  <w:style w:type="paragraph" w:styleId="18">
    <w:name w:val="List Bullet"/>
    <w:basedOn w:val="1"/>
    <w:qFormat/>
    <w:uiPriority w:val="0"/>
    <w:pPr>
      <w:widowControl/>
      <w:tabs>
        <w:tab w:val="left" w:pos="360"/>
      </w:tabs>
      <w:adjustRightInd w:val="0"/>
      <w:snapToGrid w:val="0"/>
      <w:ind w:left="360" w:hanging="360"/>
      <w:contextualSpacing/>
    </w:pPr>
    <w:rPr>
      <w:rFonts w:ascii="Calibri" w:hAnsi="Calibri"/>
      <w:sz w:val="21"/>
      <w:szCs w:val="21"/>
    </w:rPr>
  </w:style>
  <w:style w:type="paragraph" w:styleId="19">
    <w:name w:val="annotation text"/>
    <w:basedOn w:val="1"/>
    <w:semiHidden/>
    <w:qFormat/>
    <w:uiPriority w:val="0"/>
    <w:pPr>
      <w:jc w:val="left"/>
    </w:pPr>
    <w:rPr>
      <w:sz w:val="21"/>
      <w:szCs w:val="20"/>
    </w:rPr>
  </w:style>
  <w:style w:type="paragraph" w:styleId="20">
    <w:name w:val="Body Text 3"/>
    <w:basedOn w:val="1"/>
    <w:qFormat/>
    <w:uiPriority w:val="0"/>
    <w:pPr>
      <w:spacing w:line="600" w:lineRule="exact"/>
      <w:jc w:val="left"/>
    </w:pPr>
    <w:rPr>
      <w:b/>
      <w:bCs/>
      <w:sz w:val="28"/>
      <w:szCs w:val="20"/>
    </w:rPr>
  </w:style>
  <w:style w:type="paragraph" w:styleId="21">
    <w:name w:val="Block Text"/>
    <w:basedOn w:val="1"/>
    <w:qFormat/>
    <w:uiPriority w:val="0"/>
    <w:pPr>
      <w:spacing w:line="520" w:lineRule="exact"/>
      <w:ind w:left="480" w:right="131"/>
    </w:pPr>
    <w:rPr>
      <w:rFonts w:ascii="宋体" w:hAnsi="宋体"/>
      <w:color w:val="000000"/>
      <w:sz w:val="24"/>
    </w:rPr>
  </w:style>
  <w:style w:type="paragraph" w:styleId="22">
    <w:name w:val="Plain Text"/>
    <w:basedOn w:val="1"/>
    <w:link w:val="54"/>
    <w:qFormat/>
    <w:uiPriority w:val="0"/>
    <w:rPr>
      <w:rFonts w:ascii="宋体" w:hAnsi="Courier New"/>
      <w:sz w:val="21"/>
      <w:szCs w:val="20"/>
    </w:rPr>
  </w:style>
  <w:style w:type="paragraph" w:styleId="23">
    <w:name w:val="Date"/>
    <w:basedOn w:val="1"/>
    <w:next w:val="1"/>
    <w:link w:val="70"/>
    <w:qFormat/>
    <w:uiPriority w:val="0"/>
    <w:pPr>
      <w:spacing w:line="520" w:lineRule="exact"/>
    </w:pPr>
    <w:rPr>
      <w:sz w:val="28"/>
      <w:szCs w:val="20"/>
    </w:rPr>
  </w:style>
  <w:style w:type="paragraph" w:styleId="24">
    <w:name w:val="Body Text Indent 2"/>
    <w:basedOn w:val="1"/>
    <w:qFormat/>
    <w:uiPriority w:val="0"/>
    <w:pPr>
      <w:spacing w:line="460" w:lineRule="exact"/>
      <w:ind w:right="320" w:rightChars="100" w:firstLine="480" w:firstLineChars="200"/>
      <w:outlineLvl w:val="0"/>
    </w:pPr>
    <w:rPr>
      <w:rFonts w:ascii="宋体" w:hAnsi="宋体"/>
      <w:sz w:val="24"/>
    </w:rPr>
  </w:style>
  <w:style w:type="paragraph" w:styleId="25">
    <w:name w:val="Balloon Text"/>
    <w:basedOn w:val="1"/>
    <w:link w:val="49"/>
    <w:qFormat/>
    <w:uiPriority w:val="0"/>
    <w:pPr>
      <w:widowControl/>
      <w:adjustRightInd w:val="0"/>
      <w:snapToGrid w:val="0"/>
    </w:pPr>
    <w:rPr>
      <w:rFonts w:ascii="Calibri" w:hAnsi="Calibri"/>
      <w:sz w:val="18"/>
      <w:szCs w:val="18"/>
    </w:rPr>
  </w:style>
  <w:style w:type="paragraph" w:styleId="26">
    <w:name w:val="footer"/>
    <w:basedOn w:val="1"/>
    <w:link w:val="65"/>
    <w:qFormat/>
    <w:uiPriority w:val="99"/>
    <w:pPr>
      <w:tabs>
        <w:tab w:val="center" w:pos="4153"/>
        <w:tab w:val="right" w:pos="8306"/>
      </w:tabs>
      <w:snapToGrid w:val="0"/>
      <w:jc w:val="left"/>
    </w:pPr>
    <w:rPr>
      <w:sz w:val="18"/>
      <w:szCs w:val="20"/>
    </w:rPr>
  </w:style>
  <w:style w:type="paragraph" w:styleId="27">
    <w:name w:val="header"/>
    <w:basedOn w:val="1"/>
    <w:link w:val="62"/>
    <w:qFormat/>
    <w:uiPriority w:val="0"/>
    <w:pPr>
      <w:pBdr>
        <w:bottom w:val="single" w:color="auto" w:sz="6" w:space="1"/>
      </w:pBdr>
      <w:tabs>
        <w:tab w:val="center" w:pos="4153"/>
        <w:tab w:val="right" w:pos="8306"/>
      </w:tabs>
      <w:snapToGrid w:val="0"/>
      <w:jc w:val="center"/>
    </w:pPr>
    <w:rPr>
      <w:sz w:val="18"/>
      <w:szCs w:val="20"/>
    </w:rPr>
  </w:style>
  <w:style w:type="paragraph" w:styleId="28">
    <w:name w:val="Body Text Indent 3"/>
    <w:basedOn w:val="1"/>
    <w:qFormat/>
    <w:uiPriority w:val="0"/>
    <w:pPr>
      <w:spacing w:line="480" w:lineRule="exact"/>
      <w:ind w:right="102" w:firstLine="480" w:firstLineChars="200"/>
    </w:pPr>
    <w:rPr>
      <w:sz w:val="24"/>
    </w:rPr>
  </w:style>
  <w:style w:type="paragraph" w:styleId="29">
    <w:name w:val="toc 2"/>
    <w:basedOn w:val="1"/>
    <w:next w:val="1"/>
    <w:qFormat/>
    <w:uiPriority w:val="0"/>
    <w:pPr>
      <w:ind w:left="280"/>
      <w:jc w:val="left"/>
    </w:pPr>
    <w:rPr>
      <w:smallCaps/>
      <w:sz w:val="20"/>
    </w:rPr>
  </w:style>
  <w:style w:type="paragraph" w:styleId="30">
    <w:name w:val="Body Text 2"/>
    <w:basedOn w:val="1"/>
    <w:link w:val="58"/>
    <w:qFormat/>
    <w:uiPriority w:val="0"/>
    <w:pPr>
      <w:spacing w:after="120" w:line="480" w:lineRule="auto"/>
    </w:pPr>
    <w:rPr>
      <w:sz w:val="21"/>
      <w:szCs w:val="20"/>
    </w:rPr>
  </w:style>
  <w:style w:type="paragraph" w:styleId="31">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2">
    <w:name w:val="Title"/>
    <w:basedOn w:val="1"/>
    <w:next w:val="14"/>
    <w:link w:val="50"/>
    <w:qFormat/>
    <w:uiPriority w:val="0"/>
    <w:pPr>
      <w:widowControl/>
      <w:adjustRightInd w:val="0"/>
      <w:snapToGrid w:val="0"/>
      <w:spacing w:line="360" w:lineRule="auto"/>
      <w:jc w:val="center"/>
    </w:pPr>
    <w:rPr>
      <w:rFonts w:eastAsia="黑体"/>
      <w:bCs/>
      <w:sz w:val="36"/>
      <w:szCs w:val="32"/>
    </w:rPr>
  </w:style>
  <w:style w:type="paragraph" w:styleId="33">
    <w:name w:val="annotation subject"/>
    <w:basedOn w:val="19"/>
    <w:next w:val="19"/>
    <w:semiHidden/>
    <w:qFormat/>
    <w:uiPriority w:val="0"/>
    <w:rPr>
      <w:b/>
      <w:bCs/>
      <w:sz w:val="32"/>
      <w:szCs w:val="24"/>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bCs/>
    </w:rPr>
  </w:style>
  <w:style w:type="character" w:styleId="38">
    <w:name w:val="page number"/>
    <w:basedOn w:val="36"/>
    <w:qFormat/>
    <w:uiPriority w:val="0"/>
  </w:style>
  <w:style w:type="character" w:styleId="39">
    <w:name w:val="FollowedHyperlink"/>
    <w:qFormat/>
    <w:uiPriority w:val="0"/>
    <w:rPr>
      <w:color w:val="0063C8"/>
      <w:u w:val="none"/>
    </w:rPr>
  </w:style>
  <w:style w:type="character" w:styleId="40">
    <w:name w:val="Emphasis"/>
    <w:qFormat/>
    <w:uiPriority w:val="0"/>
  </w:style>
  <w:style w:type="character" w:styleId="41">
    <w:name w:val="HTML Definition"/>
    <w:qFormat/>
    <w:uiPriority w:val="0"/>
  </w:style>
  <w:style w:type="character" w:styleId="42">
    <w:name w:val="HTML Acronym"/>
    <w:basedOn w:val="36"/>
    <w:qFormat/>
    <w:uiPriority w:val="0"/>
  </w:style>
  <w:style w:type="character" w:styleId="43">
    <w:name w:val="HTML Variable"/>
    <w:qFormat/>
    <w:uiPriority w:val="0"/>
  </w:style>
  <w:style w:type="character" w:styleId="44">
    <w:name w:val="Hyperlink"/>
    <w:qFormat/>
    <w:uiPriority w:val="0"/>
    <w:rPr>
      <w:color w:val="0063C8"/>
      <w:u w:val="none"/>
    </w:rPr>
  </w:style>
  <w:style w:type="character" w:styleId="45">
    <w:name w:val="HTML Code"/>
    <w:qFormat/>
    <w:uiPriority w:val="0"/>
    <w:rPr>
      <w:rFonts w:ascii="Courier New" w:hAnsi="Courier New"/>
      <w:sz w:val="20"/>
    </w:rPr>
  </w:style>
  <w:style w:type="character" w:styleId="46">
    <w:name w:val="annotation reference"/>
    <w:qFormat/>
    <w:uiPriority w:val="0"/>
    <w:rPr>
      <w:sz w:val="21"/>
      <w:szCs w:val="21"/>
    </w:rPr>
  </w:style>
  <w:style w:type="character" w:styleId="47">
    <w:name w:val="HTML Cite"/>
    <w:qFormat/>
    <w:uiPriority w:val="0"/>
  </w:style>
  <w:style w:type="character" w:customStyle="1" w:styleId="48">
    <w:name w:val="标题 8 字符"/>
    <w:link w:val="11"/>
    <w:qFormat/>
    <w:uiPriority w:val="0"/>
    <w:rPr>
      <w:rFonts w:ascii="Cambria" w:hAnsi="Cambria"/>
      <w:kern w:val="2"/>
      <w:sz w:val="24"/>
      <w:szCs w:val="24"/>
    </w:rPr>
  </w:style>
  <w:style w:type="character" w:customStyle="1" w:styleId="49">
    <w:name w:val="批注框文本 字符"/>
    <w:link w:val="25"/>
    <w:qFormat/>
    <w:uiPriority w:val="0"/>
    <w:rPr>
      <w:rFonts w:ascii="Calibri" w:hAnsi="Calibri" w:eastAsia="宋体" w:cs="Times New Roman"/>
      <w:kern w:val="2"/>
      <w:sz w:val="18"/>
      <w:szCs w:val="18"/>
    </w:rPr>
  </w:style>
  <w:style w:type="character" w:customStyle="1" w:styleId="50">
    <w:name w:val="标题 字符"/>
    <w:link w:val="32"/>
    <w:qFormat/>
    <w:uiPriority w:val="0"/>
    <w:rPr>
      <w:rFonts w:eastAsia="黑体" w:cs="Times New Roman"/>
      <w:bCs/>
      <w:kern w:val="2"/>
      <w:sz w:val="36"/>
      <w:szCs w:val="32"/>
    </w:rPr>
  </w:style>
  <w:style w:type="character" w:customStyle="1" w:styleId="51">
    <w:name w:val="标题 1 字符"/>
    <w:link w:val="4"/>
    <w:qFormat/>
    <w:uiPriority w:val="0"/>
    <w:rPr>
      <w:rFonts w:ascii="宋体"/>
      <w:kern w:val="2"/>
      <w:sz w:val="28"/>
    </w:rPr>
  </w:style>
  <w:style w:type="character" w:customStyle="1" w:styleId="52">
    <w:name w:val="标题 7 字符"/>
    <w:link w:val="10"/>
    <w:qFormat/>
    <w:uiPriority w:val="0"/>
    <w:rPr>
      <w:rFonts w:ascii="Calibri" w:hAnsi="Calibri"/>
      <w:b/>
      <w:bCs/>
      <w:kern w:val="2"/>
      <w:sz w:val="24"/>
      <w:szCs w:val="24"/>
    </w:rPr>
  </w:style>
  <w:style w:type="character" w:customStyle="1" w:styleId="53">
    <w:name w:val="标题 9 字符"/>
    <w:link w:val="12"/>
    <w:qFormat/>
    <w:uiPriority w:val="0"/>
    <w:rPr>
      <w:rFonts w:ascii="Cambria" w:hAnsi="Cambria"/>
      <w:kern w:val="2"/>
      <w:sz w:val="21"/>
      <w:szCs w:val="21"/>
    </w:rPr>
  </w:style>
  <w:style w:type="character" w:customStyle="1" w:styleId="54">
    <w:name w:val="纯文本 字符"/>
    <w:link w:val="22"/>
    <w:qFormat/>
    <w:uiPriority w:val="0"/>
    <w:rPr>
      <w:rFonts w:ascii="宋体" w:hAnsi="Courier New" w:eastAsia="宋体"/>
      <w:kern w:val="2"/>
      <w:sz w:val="21"/>
      <w:lang w:val="en-US" w:eastAsia="zh-CN" w:bidi="ar-SA"/>
    </w:rPr>
  </w:style>
  <w:style w:type="character" w:customStyle="1" w:styleId="55">
    <w:name w:val="标题 5 字符"/>
    <w:link w:val="8"/>
    <w:qFormat/>
    <w:uiPriority w:val="0"/>
    <w:rPr>
      <w:rFonts w:ascii="Calibri" w:hAnsi="Calibri"/>
      <w:b/>
      <w:bCs/>
      <w:kern w:val="2"/>
      <w:sz w:val="28"/>
      <w:szCs w:val="28"/>
    </w:rPr>
  </w:style>
  <w:style w:type="character" w:customStyle="1" w:styleId="56">
    <w:name w:val="标题 4 字符"/>
    <w:link w:val="7"/>
    <w:qFormat/>
    <w:uiPriority w:val="0"/>
    <w:rPr>
      <w:rFonts w:cs="Times New Roman"/>
      <w:bCs/>
      <w:kern w:val="2"/>
      <w:sz w:val="24"/>
      <w:szCs w:val="28"/>
    </w:rPr>
  </w:style>
  <w:style w:type="character" w:customStyle="1" w:styleId="57">
    <w:name w:val="标题 3 字符"/>
    <w:link w:val="6"/>
    <w:qFormat/>
    <w:uiPriority w:val="0"/>
    <w:rPr>
      <w:rFonts w:cs="Times New Roman"/>
      <w:bCs/>
      <w:kern w:val="2"/>
      <w:sz w:val="24"/>
      <w:szCs w:val="32"/>
    </w:rPr>
  </w:style>
  <w:style w:type="character" w:customStyle="1" w:styleId="58">
    <w:name w:val="正文文本 2 字符"/>
    <w:link w:val="30"/>
    <w:qFormat/>
    <w:uiPriority w:val="0"/>
    <w:rPr>
      <w:kern w:val="2"/>
      <w:sz w:val="21"/>
    </w:rPr>
  </w:style>
  <w:style w:type="character" w:customStyle="1" w:styleId="59">
    <w:name w:val="正文缩进 字符"/>
    <w:link w:val="16"/>
    <w:qFormat/>
    <w:uiPriority w:val="0"/>
    <w:rPr>
      <w:kern w:val="2"/>
      <w:sz w:val="32"/>
      <w:szCs w:val="24"/>
    </w:rPr>
  </w:style>
  <w:style w:type="character" w:customStyle="1" w:styleId="60">
    <w:name w:val="正文文本 字符"/>
    <w:link w:val="15"/>
    <w:qFormat/>
    <w:uiPriority w:val="0"/>
    <w:rPr>
      <w:kern w:val="2"/>
      <w:sz w:val="32"/>
      <w:szCs w:val="24"/>
    </w:rPr>
  </w:style>
  <w:style w:type="character" w:customStyle="1" w:styleId="61">
    <w:name w:val="标题 2 字符"/>
    <w:link w:val="5"/>
    <w:qFormat/>
    <w:uiPriority w:val="0"/>
    <w:rPr>
      <w:rFonts w:eastAsia="黑体" w:cs="Times New Roman"/>
      <w:bCs/>
      <w:kern w:val="2"/>
      <w:sz w:val="24"/>
      <w:szCs w:val="32"/>
    </w:rPr>
  </w:style>
  <w:style w:type="character" w:customStyle="1" w:styleId="62">
    <w:name w:val="页眉 字符"/>
    <w:link w:val="27"/>
    <w:qFormat/>
    <w:uiPriority w:val="0"/>
    <w:rPr>
      <w:kern w:val="2"/>
      <w:sz w:val="18"/>
    </w:rPr>
  </w:style>
  <w:style w:type="character" w:customStyle="1" w:styleId="63">
    <w:name w:val="题注 字符"/>
    <w:link w:val="17"/>
    <w:qFormat/>
    <w:locked/>
    <w:uiPriority w:val="0"/>
    <w:rPr>
      <w:rFonts w:eastAsia="黑体"/>
      <w:kern w:val="2"/>
      <w:sz w:val="24"/>
    </w:rPr>
  </w:style>
  <w:style w:type="character" w:customStyle="1" w:styleId="64">
    <w:name w:val="正文首行缩进 字符"/>
    <w:link w:val="14"/>
    <w:qFormat/>
    <w:uiPriority w:val="0"/>
    <w:rPr>
      <w:kern w:val="2"/>
      <w:sz w:val="21"/>
      <w:szCs w:val="24"/>
    </w:rPr>
  </w:style>
  <w:style w:type="character" w:customStyle="1" w:styleId="65">
    <w:name w:val="页脚 字符"/>
    <w:link w:val="26"/>
    <w:qFormat/>
    <w:uiPriority w:val="99"/>
    <w:rPr>
      <w:kern w:val="2"/>
      <w:sz w:val="18"/>
    </w:rPr>
  </w:style>
  <w:style w:type="character" w:customStyle="1" w:styleId="66">
    <w:name w:val="标题 6 字符"/>
    <w:link w:val="9"/>
    <w:qFormat/>
    <w:uiPriority w:val="0"/>
    <w:rPr>
      <w:rFonts w:ascii="Cambria" w:hAnsi="Cambria"/>
      <w:b/>
      <w:bCs/>
      <w:kern w:val="2"/>
      <w:sz w:val="24"/>
      <w:szCs w:val="24"/>
    </w:rPr>
  </w:style>
  <w:style w:type="paragraph" w:styleId="67">
    <w:name w:val="List Paragraph"/>
    <w:basedOn w:val="1"/>
    <w:qFormat/>
    <w:uiPriority w:val="99"/>
    <w:pPr>
      <w:ind w:firstLine="420" w:firstLineChars="200"/>
    </w:pPr>
  </w:style>
  <w:style w:type="character" w:customStyle="1" w:styleId="68">
    <w:name w:val="正文文本缩进 字符"/>
    <w:basedOn w:val="36"/>
    <w:link w:val="3"/>
    <w:qFormat/>
    <w:uiPriority w:val="0"/>
    <w:rPr>
      <w:kern w:val="2"/>
      <w:sz w:val="28"/>
      <w:szCs w:val="24"/>
    </w:rPr>
  </w:style>
  <w:style w:type="character" w:customStyle="1" w:styleId="69">
    <w:name w:val="正文首行缩进 2 字符"/>
    <w:basedOn w:val="68"/>
    <w:link w:val="2"/>
    <w:qFormat/>
    <w:uiPriority w:val="0"/>
    <w:rPr>
      <w:rFonts w:ascii="Times New Roman" w:hAnsi="Times New Roman" w:eastAsia="宋体"/>
      <w:kern w:val="2"/>
      <w:sz w:val="24"/>
      <w:szCs w:val="24"/>
    </w:rPr>
  </w:style>
  <w:style w:type="character" w:customStyle="1" w:styleId="70">
    <w:name w:val="日期 Char"/>
    <w:link w:val="23"/>
    <w:qFormat/>
    <w:uiPriority w:val="0"/>
    <w:rPr>
      <w:sz w:val="28"/>
      <w:szCs w:val="20"/>
    </w:rPr>
  </w:style>
  <w:style w:type="paragraph" w:customStyle="1" w:styleId="71">
    <w:name w:val="1正文"/>
    <w:basedOn w:val="1"/>
    <w:qFormat/>
    <w:uiPriority w:val="0"/>
    <w:rPr>
      <w:szCs w:val="28"/>
    </w:rPr>
  </w:style>
  <w:style w:type="paragraph" w:customStyle="1" w:styleId="72">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3">
    <w:name w:val="正文(首行缩进)"/>
    <w:basedOn w:val="1"/>
    <w:qFormat/>
    <w:uiPriority w:val="0"/>
    <w:pPr>
      <w:spacing w:line="360" w:lineRule="auto"/>
      <w:ind w:firstLine="540" w:firstLineChars="225"/>
    </w:pPr>
    <w:rPr>
      <w:snapToGrid w:val="0"/>
      <w:color w:val="000000"/>
      <w:kern w:val="0"/>
      <w:sz w:val="24"/>
    </w:rPr>
  </w:style>
  <w:style w:type="paragraph" w:customStyle="1" w:styleId="74">
    <w:name w:val="表格内容"/>
    <w:basedOn w:val="1"/>
    <w:qFormat/>
    <w:uiPriority w:val="0"/>
    <w:pPr>
      <w:ind w:left="-44" w:leftChars="-20" w:right="-65" w:rightChars="-27" w:hanging="4" w:hangingChars="2"/>
      <w:jc w:val="center"/>
    </w:pPr>
    <w:rPr>
      <w:rFonts w:ascii="宋体" w:hAnsi="宋体"/>
      <w:color w:val="00000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21.png"/><Relationship Id="rId47" Type="http://schemas.openxmlformats.org/officeDocument/2006/relationships/image" Target="media/image20.wmf"/><Relationship Id="rId46" Type="http://schemas.openxmlformats.org/officeDocument/2006/relationships/image" Target="media/image19.wmf"/><Relationship Id="rId45" Type="http://schemas.openxmlformats.org/officeDocument/2006/relationships/oleObject" Target="embeddings/oleObject20.bin"/><Relationship Id="rId44" Type="http://schemas.openxmlformats.org/officeDocument/2006/relationships/oleObject" Target="embeddings/oleObject19.bin"/><Relationship Id="rId43" Type="http://schemas.openxmlformats.org/officeDocument/2006/relationships/oleObject" Target="embeddings/oleObject18.bin"/><Relationship Id="rId42" Type="http://schemas.openxmlformats.org/officeDocument/2006/relationships/oleObject" Target="embeddings/oleObject17.bin"/><Relationship Id="rId41" Type="http://schemas.openxmlformats.org/officeDocument/2006/relationships/oleObject" Target="embeddings/oleObject16.bin"/><Relationship Id="rId40" Type="http://schemas.openxmlformats.org/officeDocument/2006/relationships/oleObject" Target="embeddings/oleObject15.bin"/><Relationship Id="rId4" Type="http://schemas.openxmlformats.org/officeDocument/2006/relationships/footer" Target="footer1.xml"/><Relationship Id="rId39" Type="http://schemas.openxmlformats.org/officeDocument/2006/relationships/oleObject" Target="embeddings/oleObject14.bin"/><Relationship Id="rId38" Type="http://schemas.openxmlformats.org/officeDocument/2006/relationships/oleObject" Target="embeddings/oleObject13.bin"/><Relationship Id="rId37" Type="http://schemas.openxmlformats.org/officeDocument/2006/relationships/oleObject" Target="embeddings/oleObject12.bin"/><Relationship Id="rId36" Type="http://schemas.openxmlformats.org/officeDocument/2006/relationships/oleObject" Target="embeddings/oleObject11.bin"/><Relationship Id="rId35" Type="http://schemas.openxmlformats.org/officeDocument/2006/relationships/oleObject" Target="embeddings/oleObject10.bin"/><Relationship Id="rId34" Type="http://schemas.openxmlformats.org/officeDocument/2006/relationships/oleObject" Target="embeddings/oleObject9.bin"/><Relationship Id="rId33" Type="http://schemas.openxmlformats.org/officeDocument/2006/relationships/oleObject" Target="embeddings/oleObject8.bin"/><Relationship Id="rId32" Type="http://schemas.openxmlformats.org/officeDocument/2006/relationships/oleObject" Target="embeddings/oleObject7.bin"/><Relationship Id="rId31" Type="http://schemas.openxmlformats.org/officeDocument/2006/relationships/image" Target="media/image18.emf"/><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6.wmf"/><Relationship Id="rId27" Type="http://schemas.openxmlformats.org/officeDocument/2006/relationships/oleObject" Target="embeddings/oleObject5.bin"/><Relationship Id="rId26" Type="http://schemas.openxmlformats.org/officeDocument/2006/relationships/image" Target="media/image15.wmf"/><Relationship Id="rId25" Type="http://schemas.openxmlformats.org/officeDocument/2006/relationships/oleObject" Target="embeddings/oleObject4.bin"/><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Company>
  <Pages>1</Pages>
  <Words>11211</Words>
  <Characters>63905</Characters>
  <Lines>532</Lines>
  <Paragraphs>149</Paragraphs>
  <TotalTime>2</TotalTime>
  <ScaleCrop>false</ScaleCrop>
  <LinksUpToDate>false</LinksUpToDate>
  <CharactersWithSpaces>74967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2019-07-29T04:20:00Z</dcterms:created>
  <dc:creator>hg</dc:creator>
  <cp:lastModifiedBy>怪瘦w</cp:lastModifiedBy>
  <cp:lastPrinted>2019-07-31T08:26:00Z</cp:lastPrinted>
  <dcterms:modified xsi:type="dcterms:W3CDTF">2022-04-26T04:49:18Z</dcterms:modified>
  <dc:title>建设项目基本情况</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