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shd w:val="clear" w:color="auto" w:fill="FFFFFF"/>
          <w:lang w:val="en-US" w:eastAsia="zh-CN" w:bidi="ar"/>
          <w14:textFill>
            <w14:solidFill>
              <w14:schemeClr w14:val="tx1"/>
            </w14:solidFill>
          </w14:textFill>
        </w:rPr>
        <w:t>株双随机办〔2022〕1号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pacing w:val="0"/>
          <w:w w:val="100"/>
          <w:kern w:val="0"/>
          <w:sz w:val="44"/>
          <w:szCs w:val="44"/>
          <w:lang w:val="en-US" w:eastAsia="zh-CN" w:bidi="ar-SA"/>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印发</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株洲市市场监管领域</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市级</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部门联合“双随机、一公开”</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监管</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抽查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工作计划》的通知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60" w:lineRule="exact"/>
        <w:ind w:right="24" w:rightChars="0"/>
        <w:textAlignment w:val="auto"/>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市场监管领域部门联合“双随机、一公开”监管联席会议各成员单位、各</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县市区</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“双随机、一公开”监管联席会议办公室：</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现将《2022年度株洲市市场监管领域市级部门联合“双随机、一公开”监管抽查工作计划》（以下简称《</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2022年市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级部门联合抽查计划》）印发给你们，并提出如下要求，请一并遵照执行。</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71" w:firstLine="640" w:firstLineChars="200"/>
        <w:textAlignment w:val="auto"/>
        <w:rPr>
          <w:rFonts w:hint="eastAsia" w:ascii="黑体" w:hAnsi="黑体" w:eastAsia="黑体" w:cs="黑体"/>
          <w:color w:val="000000" w:themeColor="text1"/>
          <w:kern w:val="0"/>
          <w:sz w:val="32"/>
          <w:szCs w:val="32"/>
          <w:lang w:val="en-US" w:eastAsia="en-US" w:bidi="ar-SA"/>
          <w14:textFill>
            <w14:solidFill>
              <w14:schemeClr w14:val="tx1"/>
            </w14:solidFill>
          </w14:textFill>
        </w:rPr>
      </w:pPr>
      <w:r>
        <w:rPr>
          <w:rFonts w:hint="eastAsia" w:ascii="黑体" w:hAnsi="黑体" w:eastAsia="黑体" w:cs="黑体"/>
          <w:color w:val="000000" w:themeColor="text1"/>
          <w:kern w:val="0"/>
          <w:sz w:val="32"/>
          <w:szCs w:val="32"/>
          <w:lang w:val="en-US" w:eastAsia="en-US" w:bidi="ar-SA"/>
          <w14:textFill>
            <w14:solidFill>
              <w14:schemeClr w14:val="tx1"/>
            </w14:solidFill>
          </w14:textFill>
        </w:rPr>
        <w:t>一、严格执行计划</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结合市政府年度重点工作要求，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依据《湖南省市场监管领域部门联合“双随机、一公开” 监管抽查事项清单》（2021版</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规定的范围和内容，</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参照</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年度</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湖南省</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市场监管领域</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省</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级部门联合“双随机、一公开”监管抽查工作计划》</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我办组织</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市场监管领域部门联合“双随机、一公开”监管联席会议各成员单位编制了《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2022年市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级部门联合抽查计划》，各成员单位要严格按照抽查计划实施联合抽查，避免多头布置、多头执法、重复检查，减少对市场主体正常经营活动的干扰。原则上计划不做调整，如有特殊情况需调整计划，请在每个季度末前向我办提出申请。各</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县市区</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在完成省</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w:t>
      </w: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级部门下派的联合抽查任务的同时，根据工作实际，制定本级市场监管领域部门联合“双随机、一公开”监管抽查工作计划。</w:t>
      </w:r>
    </w:p>
    <w:p>
      <w:pPr>
        <w:pStyle w:val="5"/>
        <w:keepNext w:val="0"/>
        <w:keepLines w:val="0"/>
        <w:pageBreakBefore w:val="0"/>
        <w:widowControl w:val="0"/>
        <w:kinsoku/>
        <w:wordWrap/>
        <w:overflowPunct/>
        <w:topLinePunct w:val="0"/>
        <w:autoSpaceDE/>
        <w:autoSpaceDN/>
        <w:bidi w:val="0"/>
        <w:adjustRightInd/>
        <w:snapToGrid/>
        <w:spacing w:line="560" w:lineRule="exact"/>
        <w:ind w:left="753"/>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二、规范实施过程</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原则上所有双随机抽查均应通过湖南省“双随机、一公开” 监管工作平台（以下简称“省级平台”）统一实施，并通过国家企业信用信息公示系统（湖南）对外公示抽查结果。不能记于企业名下的非市场主体抽查结果信息可同时通过各部门官网等其他平台公示。对具体抽查任务有疑问的，请咨询任务发起部门。各部门应进一步完善省级平台的检查对象名录库和执法检查人员名录库信息，熟悉省级平台操作，全程通过省级平台开展“双随机、一公开”监管抽查工作，确保双随机抽查的规范化、制度化、统一化。</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jc w:val="both"/>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为贯彻落实《中共株洲市委办公室 株洲市人民政府办公室关于印发&lt;株洲市促进民营经济高质量发展的十条意见&gt;的通知》（株办发〔2022〕1号）精神，周一至周三为民营企业“宁静日”，除因安全生产、食药安全、环境保护、突发事件、投诉举报、案件查处或上级部署等特殊原因外，本级不得开展影响正常市场经营的常规检查。</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黑体" w:hAnsi="黑体" w:eastAsia="黑体" w:cs="黑体"/>
          <w:color w:val="000000" w:themeColor="text1"/>
          <w:kern w:val="0"/>
          <w:sz w:val="32"/>
          <w:szCs w:val="32"/>
          <w:lang w:val="en-US" w:eastAsia="en-US" w:bidi="ar-SA"/>
          <w14:textFill>
            <w14:solidFill>
              <w14:schemeClr w14:val="tx1"/>
            </w14:solidFill>
          </w14:textFill>
        </w:rPr>
      </w:pPr>
      <w:r>
        <w:rPr>
          <w:rFonts w:hint="eastAsia" w:ascii="黑体" w:hAnsi="黑体" w:eastAsia="黑体" w:cs="黑体"/>
          <w:color w:val="000000" w:themeColor="text1"/>
          <w:kern w:val="0"/>
          <w:sz w:val="32"/>
          <w:szCs w:val="32"/>
          <w:lang w:val="en-US" w:eastAsia="en-US" w:bidi="ar-SA"/>
          <w14:textFill>
            <w14:solidFill>
              <w14:schemeClr w14:val="tx1"/>
            </w14:solidFill>
          </w14:textFill>
        </w:rPr>
        <w:t>三、强化部门联合</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部门联合抽查计划发起部门要主动协调配合部门，共同制定联合检查实施方案，方案应包括抽查事项、检查时间、抽查对象、检查方式等具体内容。</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联合检查实施方案应于抽查任务启动前报送我办备案。</w:t>
      </w:r>
    </w:p>
    <w:p>
      <w:pPr>
        <w:pStyle w:val="5"/>
        <w:keepNext w:val="0"/>
        <w:keepLines w:val="0"/>
        <w:pageBreakBefore w:val="0"/>
        <w:widowControl w:val="0"/>
        <w:kinsoku/>
        <w:wordWrap/>
        <w:overflowPunct/>
        <w:topLinePunct w:val="0"/>
        <w:autoSpaceDE/>
        <w:autoSpaceDN/>
        <w:bidi w:val="0"/>
        <w:adjustRightInd/>
        <w:snapToGrid/>
        <w:spacing w:line="560" w:lineRule="exact"/>
        <w:ind w:left="113" w:right="24" w:rightChars="0" w:firstLine="640" w:firstLineChars="200"/>
        <w:textAlignment w:val="auto"/>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en-US" w:bidi="ar-SA"/>
          <w14:textFill>
            <w14:solidFill>
              <w14:schemeClr w14:val="tx1"/>
            </w14:solidFill>
          </w14:textFill>
        </w:rPr>
        <w:t>抽查任务启动后，发起部门要及时通知配合部门在省级平台中认领任务，做好联合抽查计划实施全过程的督促指导工作；配合部门要积极与发起部门对接，按计划要求完成本部门的任务，确保部门联合“双随机、一公开”监管工作取得实效。</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z w:val="20"/>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jc w:val="left"/>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株洲市市场监管领域部门联合“双随机、一公开”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监管联席会议办公室</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2312" w:hAnsi="方正仿宋_GB2312" w:eastAsia="方正仿宋_GB2312" w:cs="方正仿宋_GB2312"/>
          <w:color w:val="000000" w:themeColor="text1"/>
          <w:lang w:val="en-US" w:eastAsia="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18日</w:t>
      </w:r>
    </w:p>
    <w:p>
      <w:pPr>
        <w:pStyle w:val="5"/>
        <w:spacing w:before="1" w:line="364" w:lineRule="auto"/>
        <w:ind w:left="113" w:right="271" w:firstLine="640" w:firstLineChars="200"/>
        <w:rPr>
          <w:rFonts w:hint="eastAsia" w:ascii="方正仿宋_GB2312" w:hAnsi="方正仿宋_GB2312" w:eastAsia="方正仿宋_GB2312" w:cs="方正仿宋_GB2312"/>
          <w:color w:val="000000" w:themeColor="text1"/>
          <w:lang w:val="en-US" w:eastAsia="en-US"/>
          <w14:textFill>
            <w14:solidFill>
              <w14:schemeClr w14:val="tx1"/>
            </w14:solidFill>
          </w14:textFill>
        </w:rPr>
      </w:pPr>
    </w:p>
    <w:p>
      <w:pPr>
        <w:pStyle w:val="5"/>
        <w:spacing w:before="1" w:line="364" w:lineRule="auto"/>
        <w:ind w:left="113" w:right="271" w:firstLine="640" w:firstLineChars="200"/>
        <w:rPr>
          <w:rFonts w:hint="eastAsia" w:ascii="方正仿宋_GB2312" w:hAnsi="方正仿宋_GB2312" w:eastAsia="方正仿宋_GB2312" w:cs="方正仿宋_GB2312"/>
          <w:color w:val="000000" w:themeColor="text1"/>
          <w:lang w:val="en-US" w:eastAsia="en-US"/>
          <w14:textFill>
            <w14:solidFill>
              <w14:schemeClr w14:val="tx1"/>
            </w14:solidFill>
          </w14:textFill>
        </w:rPr>
      </w:pPr>
    </w:p>
    <w:p>
      <w:pPr>
        <w:pStyle w:val="5"/>
        <w:ind w:left="0" w:leftChars="0" w:firstLine="0" w:firstLineChars="0"/>
        <w:rPr>
          <w:color w:val="000000" w:themeColor="text1"/>
          <w:sz w:val="36"/>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footerReference r:id="rId4" w:type="even"/>
          <w:pgSz w:w="11906" w:h="16838"/>
          <w:pgMar w:top="2098" w:right="1531" w:bottom="1984" w:left="1531" w:header="851" w:footer="992" w:gutter="0"/>
          <w:pgNumType w:fmt="numberInDash" w:start="1"/>
          <w:cols w:space="0" w:num="1"/>
          <w:rtlGutter w:val="0"/>
          <w:docGrid w:type="lines" w:linePitch="315"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2022年度株洲市市场监管领域市级</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部门联合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“双随机、一公开”</w:t>
      </w:r>
    </w:p>
    <w:p>
      <w:pPr>
        <w:pStyle w:val="2"/>
        <w:ind w:left="0" w:leftChars="0" w:firstLine="0" w:firstLineChars="0"/>
        <w:jc w:val="center"/>
        <w:rPr>
          <w:rFonts w:hint="eastAsia"/>
          <w:color w:val="000000" w:themeColor="text1"/>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监管抽查工作计划</w:t>
      </w:r>
    </w:p>
    <w:tbl>
      <w:tblPr>
        <w:tblStyle w:val="10"/>
        <w:tblW w:w="6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1108"/>
        <w:gridCol w:w="996"/>
        <w:gridCol w:w="1338"/>
        <w:gridCol w:w="733"/>
        <w:gridCol w:w="2471"/>
        <w:gridCol w:w="1392"/>
        <w:gridCol w:w="951"/>
        <w:gridCol w:w="1260"/>
        <w:gridCol w:w="650"/>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exact"/>
          <w:tblHeader/>
          <w:jc w:val="center"/>
        </w:trPr>
        <w:tc>
          <w:tcPr>
            <w:tcW w:w="295"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抽查</w:t>
            </w:r>
          </w:p>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计划</w:t>
            </w:r>
          </w:p>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编号</w:t>
            </w:r>
          </w:p>
        </w:tc>
        <w:tc>
          <w:tcPr>
            <w:tcW w:w="360"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抽查计划</w:t>
            </w:r>
          </w:p>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名称</w:t>
            </w:r>
          </w:p>
        </w:tc>
        <w:tc>
          <w:tcPr>
            <w:tcW w:w="324"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抽查任务编号</w:t>
            </w:r>
          </w:p>
        </w:tc>
        <w:tc>
          <w:tcPr>
            <w:tcW w:w="435" w:type="pct"/>
            <w:vAlign w:val="center"/>
          </w:tcPr>
          <w:p>
            <w:pPr>
              <w:pStyle w:val="4"/>
              <w:keepNext/>
              <w:keepLines/>
              <w:pageBreakBefore w:val="0"/>
              <w:widowControl w:val="0"/>
              <w:numPr>
                <w:ilvl w:val="0"/>
                <w:numId w:val="0"/>
              </w:numPr>
              <w:kinsoku/>
              <w:wordWrap/>
              <w:overflowPunct/>
              <w:topLinePunct w:val="0"/>
              <w:autoSpaceDE/>
              <w:autoSpaceDN/>
              <w:bidi w:val="0"/>
              <w:adjustRightInd/>
              <w:snapToGrid/>
              <w:spacing w:line="320" w:lineRule="exact"/>
              <w:ind w:left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抽查任务名称</w:t>
            </w:r>
          </w:p>
        </w:tc>
        <w:tc>
          <w:tcPr>
            <w:tcW w:w="238"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抽查</w:t>
            </w:r>
          </w:p>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类型</w:t>
            </w:r>
          </w:p>
        </w:tc>
        <w:tc>
          <w:tcPr>
            <w:tcW w:w="804"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抽查事项</w:t>
            </w:r>
          </w:p>
        </w:tc>
        <w:tc>
          <w:tcPr>
            <w:tcW w:w="453"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en-US"/>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抽查对象范围</w:t>
            </w:r>
          </w:p>
        </w:tc>
        <w:tc>
          <w:tcPr>
            <w:tcW w:w="309"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en-US"/>
                <w14:textFill>
                  <w14:solidFill>
                    <w14:schemeClr w14:val="tx1"/>
                  </w14:solidFill>
                </w14:textFill>
              </w:rPr>
            </w:pPr>
            <w:r>
              <w:rPr>
                <w:rFonts w:hint="eastAsia" w:ascii="黑体" w:hAnsi="黑体" w:eastAsia="黑体" w:cs="黑体"/>
                <w:color w:val="000000" w:themeColor="text1"/>
                <w:sz w:val="22"/>
                <w:szCs w:val="22"/>
                <w:lang w:eastAsia="en-US"/>
                <w14:textFill>
                  <w14:solidFill>
                    <w14:schemeClr w14:val="tx1"/>
                  </w14:solidFill>
                </w14:textFill>
              </w:rPr>
              <w:t>抽取</w:t>
            </w:r>
          </w:p>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lang w:eastAsia="en-US"/>
                <w14:textFill>
                  <w14:solidFill>
                    <w14:schemeClr w14:val="tx1"/>
                  </w14:solidFill>
                </w14:textFill>
              </w:rPr>
              <w:t>比例</w:t>
            </w:r>
          </w:p>
        </w:tc>
        <w:tc>
          <w:tcPr>
            <w:tcW w:w="410"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cs="黑体"/>
                <w:color w:val="000000" w:themeColor="text1"/>
                <w:sz w:val="22"/>
                <w:szCs w:val="22"/>
                <w:lang w:eastAsia="zh-CN"/>
                <w14:textFill>
                  <w14:solidFill>
                    <w14:schemeClr w14:val="tx1"/>
                  </w14:solidFill>
                </w14:textFill>
              </w:rPr>
              <w:t>实施主体</w:t>
            </w:r>
          </w:p>
        </w:tc>
        <w:tc>
          <w:tcPr>
            <w:tcW w:w="211"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cs="黑体"/>
                <w:color w:val="000000" w:themeColor="text1"/>
                <w:sz w:val="22"/>
                <w:szCs w:val="22"/>
                <w:lang w:eastAsia="zh-CN"/>
                <w14:textFill>
                  <w14:solidFill>
                    <w14:schemeClr w14:val="tx1"/>
                  </w14:solidFill>
                </w14:textFill>
              </w:rPr>
              <w:t>实施期限</w:t>
            </w:r>
          </w:p>
        </w:tc>
        <w:tc>
          <w:tcPr>
            <w:tcW w:w="577"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发起部门</w:t>
            </w:r>
          </w:p>
        </w:tc>
        <w:tc>
          <w:tcPr>
            <w:tcW w:w="577" w:type="pct"/>
            <w:vAlign w:val="center"/>
          </w:tcPr>
          <w:p>
            <w:pPr>
              <w:pStyle w:val="4"/>
              <w:keepNext/>
              <w:keepLines/>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黑体" w:hAnsi="黑体" w:eastAsia="黑体" w:cs="黑体"/>
                <w:color w:val="000000" w:themeColor="text1"/>
                <w:sz w:val="22"/>
                <w:szCs w:val="22"/>
                <w:lang w:eastAsia="zh-CN"/>
                <w14:textFill>
                  <w14:solidFill>
                    <w14:schemeClr w14:val="tx1"/>
                  </w14:solidFill>
                </w14:textFill>
              </w:rPr>
            </w:pPr>
            <w:r>
              <w:rPr>
                <w:rFonts w:hint="eastAsia" w:ascii="黑体" w:hAnsi="黑体" w:eastAsia="黑体" w:cs="黑体"/>
                <w:color w:val="000000" w:themeColor="text1"/>
                <w:sz w:val="22"/>
                <w:szCs w:val="22"/>
                <w:lang w:eastAsia="zh-CN"/>
                <w14:textFill>
                  <w14:solidFill>
                    <w14:schemeClr w14:val="tx1"/>
                  </w14:solidFill>
                </w14:textFill>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株洲市市场监督管理局2022年度部门联合抽查工作计划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3001</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学校食堂食品安全情况的检查</w:t>
            </w:r>
          </w:p>
        </w:tc>
        <w:tc>
          <w:tcPr>
            <w:tcW w:w="23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不定向</w:t>
            </w:r>
          </w:p>
        </w:tc>
        <w:tc>
          <w:tcPr>
            <w:tcW w:w="804"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学校食堂食品安全抽查</w:t>
            </w:r>
          </w:p>
        </w:tc>
        <w:tc>
          <w:tcPr>
            <w:tcW w:w="4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全市取得《食品经营许可证》的学校食堂</w:t>
            </w:r>
          </w:p>
        </w:tc>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省局在全省范围内抽取70户</w:t>
            </w:r>
          </w:p>
        </w:tc>
        <w:tc>
          <w:tcPr>
            <w:tcW w:w="41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省直部门联合发文，市县二级实施</w:t>
            </w:r>
          </w:p>
        </w:tc>
        <w:tc>
          <w:tcPr>
            <w:tcW w:w="211"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3月</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12月</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（餐饮监管科）</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市教育局</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（学生工作科）</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市卫生健康委</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（综合监督执法局）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株洲市市场监督管理局2022年度部门联合抽查工作计划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3002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机动车检验机构监督抽查</w:t>
            </w:r>
          </w:p>
        </w:tc>
        <w:tc>
          <w:tcPr>
            <w:tcW w:w="23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不定向</w:t>
            </w:r>
          </w:p>
        </w:tc>
        <w:tc>
          <w:tcPr>
            <w:tcW w:w="804"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color w:val="000000" w:themeColor="text1"/>
                <w:sz w:val="21"/>
                <w14:textFill>
                  <w14:solidFill>
                    <w14:schemeClr w14:val="tx1"/>
                  </w14:solidFill>
                </w14:textFill>
              </w:rPr>
              <w:t>人</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员管理；档案管理；资质认定标志、检验检测专用章使用管理按规定上报统计数据信息；机构从业规范、检测能力、规范出具检验检测报告、遵法守纪等事项</w:t>
            </w:r>
          </w:p>
        </w:tc>
        <w:tc>
          <w:tcPr>
            <w:tcW w:w="453"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全市机动车检验机构</w:t>
            </w:r>
          </w:p>
        </w:tc>
        <w:tc>
          <w:tcPr>
            <w:tcW w:w="309" w:type="pct"/>
            <w:vAlign w:val="center"/>
          </w:tcPr>
          <w:p>
            <w:pPr>
              <w:keepNext w:val="0"/>
              <w:keepLines w:val="0"/>
              <w:pageBreakBefore w:val="0"/>
              <w:widowControl/>
              <w:suppressLineNumbers w:val="0"/>
              <w:wordWrap/>
              <w:overflowPunct/>
              <w:topLinePunct w:val="0"/>
              <w:spacing w:line="320" w:lineRule="exact"/>
              <w:jc w:val="center"/>
              <w:textAlignment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100%</w:t>
            </w:r>
          </w:p>
        </w:tc>
        <w:tc>
          <w:tcPr>
            <w:tcW w:w="410" w:type="pct"/>
            <w:vAlign w:val="center"/>
          </w:tcPr>
          <w:p>
            <w:pPr>
              <w:pStyle w:val="20"/>
              <w:pageBreakBefore w:val="0"/>
              <w:wordWrap/>
              <w:overflowPunct/>
              <w:topLinePunct w:val="0"/>
              <w:spacing w:line="320" w:lineRule="exact"/>
              <w:ind w:left="33"/>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市市场监管局（认证科）</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（大气科）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株洲市市场监督管理局2022年度部门联合抽查工作计划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3003</w:t>
            </w:r>
          </w:p>
        </w:tc>
        <w:tc>
          <w:tcPr>
            <w:tcW w:w="435"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建筑材料检测机构、建设工程质量检测机构监督抽查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不定向</w:t>
            </w:r>
          </w:p>
        </w:tc>
        <w:tc>
          <w:tcPr>
            <w:tcW w:w="804"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color w:val="000000" w:themeColor="text1"/>
                <w:sz w:val="21"/>
                <w14:textFill>
                  <w14:solidFill>
                    <w14:schemeClr w14:val="tx1"/>
                  </w14:solidFill>
                </w14:textFill>
              </w:rPr>
              <w:t>人</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员管理；档案管理；资质认定标志、检验检测专用章使用管理按规定上报统计数据信息；机构从业规范、检测能力、规范出具检验检测报告、遵法守纪等事项</w:t>
            </w:r>
          </w:p>
        </w:tc>
        <w:tc>
          <w:tcPr>
            <w:tcW w:w="453"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全市建筑材料检测机构、全市建设工程质量检测机构</w:t>
            </w:r>
          </w:p>
        </w:tc>
        <w:tc>
          <w:tcPr>
            <w:tcW w:w="309" w:type="pct"/>
            <w:vAlign w:val="center"/>
          </w:tcPr>
          <w:p>
            <w:pPr>
              <w:keepNext w:val="0"/>
              <w:keepLines w:val="0"/>
              <w:pageBreakBefore w:val="0"/>
              <w:widowControl/>
              <w:suppressLineNumbers w:val="0"/>
              <w:wordWrap/>
              <w:overflowPunct/>
              <w:topLinePunct w:val="0"/>
              <w:spacing w:line="320" w:lineRule="exact"/>
              <w:jc w:val="center"/>
              <w:textAlignment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50%</w:t>
            </w:r>
          </w:p>
        </w:tc>
        <w:tc>
          <w:tcPr>
            <w:tcW w:w="410" w:type="pct"/>
            <w:vAlign w:val="center"/>
          </w:tcPr>
          <w:p>
            <w:pPr>
              <w:pStyle w:val="20"/>
              <w:pageBreakBefore w:val="0"/>
              <w:wordWrap/>
              <w:overflowPunct/>
              <w:topLinePunct w:val="0"/>
              <w:spacing w:line="320" w:lineRule="exact"/>
              <w:ind w:left="33" w:lef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市市场监管局（认证科）</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株洲市人力资源和社会保障局2022年度部门联合抽查工作计划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3004</w:t>
            </w:r>
          </w:p>
        </w:tc>
        <w:tc>
          <w:tcPr>
            <w:tcW w:w="435"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人力资源服务检查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是否存在未经许可备案擅自从事职业中介活动的情形，是否存在发布的招聘信息不真实、不合法是否存在违规哄抬市场价格的行为，是否违规开展社保代理等服务。</w:t>
            </w:r>
          </w:p>
        </w:tc>
        <w:tc>
          <w:tcPr>
            <w:tcW w:w="453"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人力资源服务机构</w:t>
            </w:r>
          </w:p>
        </w:tc>
        <w:tc>
          <w:tcPr>
            <w:tcW w:w="309"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w:t>
            </w:r>
          </w:p>
        </w:tc>
        <w:tc>
          <w:tcPr>
            <w:tcW w:w="410" w:type="pct"/>
            <w:vAlign w:val="center"/>
          </w:tcPr>
          <w:p>
            <w:pPr>
              <w:pStyle w:val="20"/>
              <w:pageBreakBefore w:val="0"/>
              <w:wordWrap/>
              <w:overflowPunct/>
              <w:topLinePunct w:val="0"/>
              <w:spacing w:line="320" w:lineRule="exact"/>
              <w:ind w:left="33"/>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省人力资源和社会保障厅统一抽取名单派发至市县二级实施</w:t>
            </w:r>
          </w:p>
        </w:tc>
        <w:tc>
          <w:tcPr>
            <w:tcW w:w="211" w:type="pct"/>
            <w:vAlign w:val="center"/>
          </w:tcPr>
          <w:p>
            <w:pPr>
              <w:pStyle w:val="20"/>
              <w:pageBreakBefore w:val="0"/>
              <w:wordWrap/>
              <w:overflowPunct/>
              <w:topLinePunct w:val="0"/>
              <w:spacing w:line="320" w:lineRule="exact"/>
              <w:ind w:left="73"/>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w:t>
            </w:r>
          </w:p>
          <w:p>
            <w:pPr>
              <w:pStyle w:val="20"/>
              <w:pageBreakBefore w:val="0"/>
              <w:wordWrap/>
              <w:overflowPunct/>
              <w:topLinePunct w:val="0"/>
              <w:spacing w:line="320" w:lineRule="exact"/>
              <w:ind w:left="73"/>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市人力资源社会保障局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（发起科室：人力资源流动管理科；参与部门：</w:t>
            </w: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劳动保障监察支队</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（价监科）</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株洲市人力资源和社会保障局2022年度部门联合抽查工作计划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3005</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劳务派遣监督检查</w:t>
            </w:r>
          </w:p>
        </w:tc>
        <w:tc>
          <w:tcPr>
            <w:tcW w:w="238"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1.劳务派遣单位是否存在克扣用工单位按照劳务派遣协议支付给被派遣劳动者的劳动报酬的情形。用人单位（包括有缴纳社保义务的劳务派遣单位和用工单位）是否按时足额缴纳社会保险费；                     2.登记事项及公示信息检查。</w:t>
            </w:r>
          </w:p>
        </w:tc>
        <w:tc>
          <w:tcPr>
            <w:tcW w:w="4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劳务派遣单位和劳务派遣用工单位</w:t>
            </w:r>
          </w:p>
        </w:tc>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w:t>
            </w:r>
          </w:p>
        </w:tc>
        <w:tc>
          <w:tcPr>
            <w:tcW w:w="410"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省人力资源和社会保障厅统一抽取名单派发至市县二级实施（登记事项及公示信息检查，由企</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业所在登记机关实施检查）</w:t>
            </w:r>
          </w:p>
        </w:tc>
        <w:tc>
          <w:tcPr>
            <w:tcW w:w="211"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市人力资源社会保障局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（发起科室：劳动关系科；参与部门：劳动保障监察支队）</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市市场监管局（信用监管科）</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（建管科）</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市税务局</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（稽查局）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1"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株洲市人民政府金融工作办公室2022年度部门联合抽查工作计划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3006</w:t>
            </w:r>
          </w:p>
        </w:tc>
        <w:tc>
          <w:tcPr>
            <w:tcW w:w="435" w:type="pct"/>
            <w:vAlign w:val="center"/>
          </w:tcPr>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“失联”“空壳”等异常经营融资担保公司、典当企业的检查</w:t>
            </w:r>
          </w:p>
        </w:tc>
        <w:tc>
          <w:tcPr>
            <w:tcW w:w="238" w:type="pct"/>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市政府金融办：排查融资担保公司、典当企业是否属于“失联”“空壳”等异常经营情况。</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市市场监管局：登记事项及公示信息检查。</w:t>
            </w:r>
          </w:p>
        </w:tc>
        <w:tc>
          <w:tcPr>
            <w:tcW w:w="453" w:type="pct"/>
            <w:vAlign w:val="center"/>
          </w:tcPr>
          <w:p>
            <w:pPr>
              <w:keepNext w:val="0"/>
              <w:keepLines w:val="0"/>
              <w:pageBreakBefore w:val="0"/>
              <w:wordWrap/>
              <w:overflowPunct/>
              <w:topLinePunct w:val="0"/>
              <w:bidi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结合非现场监管信息、投诉举报及外部舆情情况，具有异常经营风险的融资担保公司和典当企业</w:t>
            </w:r>
          </w:p>
        </w:tc>
        <w:tc>
          <w:tcPr>
            <w:tcW w:w="309" w:type="pct"/>
            <w:vAlign w:val="center"/>
          </w:tcPr>
          <w:p>
            <w:pPr>
              <w:keepNext w:val="0"/>
              <w:keepLines w:val="0"/>
              <w:pageBreakBefore w:val="0"/>
              <w:wordWrap/>
              <w:overflowPunct/>
              <w:topLinePunct w:val="0"/>
              <w:bidi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100%</w:t>
            </w:r>
          </w:p>
        </w:tc>
        <w:tc>
          <w:tcPr>
            <w:tcW w:w="410" w:type="pct"/>
            <w:vAlign w:val="center"/>
          </w:tcPr>
          <w:p>
            <w:pPr>
              <w:pStyle w:val="20"/>
              <w:pageBreakBefore w:val="0"/>
              <w:wordWrap/>
              <w:overflowPunct/>
              <w:topLinePunct w:val="0"/>
              <w:spacing w:line="320" w:lineRule="exact"/>
              <w:ind w:left="33" w:leftChars="0" w:right="8"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市直部门联合发文，县级实施（登记事项及公示信息检查，由企业所在登记机关实施检查）</w:t>
            </w:r>
          </w:p>
        </w:tc>
        <w:tc>
          <w:tcPr>
            <w:tcW w:w="211"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6月</w:t>
            </w:r>
          </w:p>
        </w:tc>
        <w:tc>
          <w:tcPr>
            <w:tcW w:w="577"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市政府金融办</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地方金融监管科</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p>
        </w:tc>
        <w:tc>
          <w:tcPr>
            <w:tcW w:w="577"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pageBreakBefore w:val="0"/>
              <w:wordWrap/>
              <w:overflowPunct/>
              <w:topLinePunct w:val="0"/>
              <w:spacing w:line="320" w:lineRule="exact"/>
              <w:ind w:right="103" w:rightChars="0"/>
              <w:jc w:val="left"/>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（信用监管科）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株洲市民政局2022年度部门联合抽查工作计划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3007</w:t>
            </w:r>
          </w:p>
        </w:tc>
        <w:tc>
          <w:tcPr>
            <w:tcW w:w="435" w:type="pct"/>
            <w:vAlign w:val="center"/>
          </w:tcPr>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养老机构的监督检查</w:t>
            </w:r>
          </w:p>
        </w:tc>
        <w:tc>
          <w:tcPr>
            <w:tcW w:w="238" w:type="pc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1．备案情况监督检查；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2．合同管理监督检查；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3．信息公开监督检查；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4．规章制度落实情况监督检查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5．养老服务质量安全检查；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6．突发事件应对检查和从业人员监督检查登记事项及公示信息监督检查；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7．食品、保健食品虚假宣传检查检查；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8．特种设备使用单位的监督检查；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9．食品安全情况监督检查；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10．建筑消防设计审查、</w:t>
            </w:r>
          </w:p>
          <w:p>
            <w:pPr>
              <w:pStyle w:val="20"/>
              <w:pageBreakBefore w:val="0"/>
              <w:wordWrap/>
              <w:overflowPunct/>
              <w:topLinePunct w:val="0"/>
              <w:spacing w:line="320" w:lineRule="exact"/>
              <w:ind w:left="33"/>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11．消防验收及备案抽查手续查验。</w:t>
            </w:r>
          </w:p>
        </w:tc>
        <w:tc>
          <w:tcPr>
            <w:tcW w:w="453" w:type="pct"/>
            <w:vAlign w:val="center"/>
          </w:tcPr>
          <w:p>
            <w:pPr>
              <w:keepNext w:val="0"/>
              <w:keepLines w:val="0"/>
              <w:pageBreakBefore w:val="0"/>
              <w:wordWrap/>
              <w:overflowPunct/>
              <w:topLinePunct w:val="0"/>
              <w:bidi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在市场监管部门登记的养老机构</w:t>
            </w:r>
          </w:p>
        </w:tc>
        <w:tc>
          <w:tcPr>
            <w:tcW w:w="309" w:type="pct"/>
            <w:vAlign w:val="center"/>
          </w:tcPr>
          <w:p>
            <w:pPr>
              <w:keepNext w:val="0"/>
              <w:keepLines w:val="0"/>
              <w:pageBreakBefore w:val="0"/>
              <w:wordWrap/>
              <w:overflowPunct/>
              <w:topLinePunct w:val="0"/>
              <w:bidi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w:t>
            </w:r>
          </w:p>
        </w:tc>
        <w:tc>
          <w:tcPr>
            <w:tcW w:w="410" w:type="pct"/>
            <w:vAlign w:val="center"/>
          </w:tcPr>
          <w:p>
            <w:pPr>
              <w:pStyle w:val="20"/>
              <w:pageBreakBefore w:val="0"/>
              <w:wordWrap/>
              <w:overflowPunct/>
              <w:topLinePunct w:val="0"/>
              <w:spacing w:line="320" w:lineRule="exact"/>
              <w:ind w:left="33" w:right="8"/>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省直部门联合发文，由市州组织实施（登记事项及公示信息检查，由企业所在登记机关实施检查）</w:t>
            </w:r>
          </w:p>
        </w:tc>
        <w:tc>
          <w:tcPr>
            <w:tcW w:w="211" w:type="pct"/>
            <w:vAlign w:val="center"/>
          </w:tcPr>
          <w:p>
            <w:pPr>
              <w:pStyle w:val="20"/>
              <w:pageBreakBefore w:val="0"/>
              <w:wordWrap/>
              <w:overflowPunct/>
              <w:topLinePunct w:val="0"/>
              <w:spacing w:line="320" w:lineRule="exact"/>
              <w:ind w:left="75"/>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3月</w:t>
            </w:r>
          </w:p>
          <w:p>
            <w:pPr>
              <w:pStyle w:val="20"/>
              <w:pageBreakBefore w:val="0"/>
              <w:wordWrap/>
              <w:overflowPunct/>
              <w:topLinePunct w:val="0"/>
              <w:spacing w:line="320" w:lineRule="exact"/>
              <w:ind w:left="75"/>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10月</w:t>
            </w:r>
          </w:p>
        </w:tc>
        <w:tc>
          <w:tcPr>
            <w:tcW w:w="577" w:type="pct"/>
            <w:vAlign w:val="center"/>
          </w:tcPr>
          <w:p>
            <w:pPr>
              <w:pStyle w:val="20"/>
              <w:pageBreakBefore w:val="0"/>
              <w:wordWrap/>
              <w:overflowPunct/>
              <w:topLinePunct w:val="0"/>
              <w:spacing w:line="320" w:lineRule="exact"/>
              <w:ind w:left="35" w:right="1"/>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市民政局</w:t>
            </w:r>
          </w:p>
          <w:p>
            <w:pPr>
              <w:pStyle w:val="20"/>
              <w:pageBreakBefore w:val="0"/>
              <w:wordWrap/>
              <w:overflowPunct/>
              <w:topLinePunct w:val="0"/>
              <w:spacing w:line="320" w:lineRule="exact"/>
              <w:ind w:left="35" w:right="1"/>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（养老科）</w:t>
            </w:r>
          </w:p>
        </w:tc>
        <w:tc>
          <w:tcPr>
            <w:tcW w:w="577"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（信用监管科、餐饮监管科、食品流通监管科、特殊食品监管科、</w:t>
            </w: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特种设备监察科）</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（勘察设计科、</w:t>
            </w:r>
            <w:r>
              <w:rPr>
                <w:rFonts w:hint="eastAsia" w:ascii="仿宋_GB2312" w:hAnsi="仿宋_GB2312" w:eastAsia="仿宋_GB2312" w:cs="仿宋_GB2312"/>
                <w:color w:val="000000" w:themeColor="text1"/>
                <w:kern w:val="2"/>
                <w:sz w:val="24"/>
                <w:szCs w:val="24"/>
                <w:lang w:val="en" w:eastAsia="zh-CN" w:bidi="ar-SA"/>
                <w14:textFill>
                  <w14:solidFill>
                    <w14:schemeClr w14:val="tx1"/>
                  </w14:solidFill>
                </w14:textFill>
              </w:rPr>
              <w:t>建设工程消防验收科</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市卫生健康委</w:t>
            </w:r>
          </w:p>
          <w:p>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（老龄健康科）</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市政府金融办</w:t>
            </w:r>
          </w:p>
          <w:p>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（金融稳定科）</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株洲市消防救援支队</w:t>
            </w:r>
          </w:p>
          <w:p>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（防火监督科）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株洲市生态环境局2022年度部门联合抽查工作计划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3008</w:t>
            </w:r>
          </w:p>
        </w:tc>
        <w:tc>
          <w:tcPr>
            <w:tcW w:w="435"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建筑工地抽查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扬尘防治等联合抽查</w:t>
            </w:r>
          </w:p>
        </w:tc>
        <w:tc>
          <w:tcPr>
            <w:tcW w:w="453"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城区范围内的建筑工地</w:t>
            </w:r>
          </w:p>
        </w:tc>
        <w:tc>
          <w:tcPr>
            <w:tcW w:w="309"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3-5家</w:t>
            </w:r>
          </w:p>
        </w:tc>
        <w:tc>
          <w:tcPr>
            <w:tcW w:w="410"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6月</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w:t>
            </w:r>
          </w:p>
          <w:p>
            <w:pPr>
              <w:pStyle w:val="2"/>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（执法支队）</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株洲市生态环境局2022年度部门联合抽查工作计划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3009</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生态环境监测机构监督检查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生态环境监测机构开展监测情况的检查</w:t>
            </w:r>
          </w:p>
        </w:tc>
        <w:tc>
          <w:tcPr>
            <w:tcW w:w="453"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全市生态环境检验监测机构</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50%</w:t>
            </w:r>
          </w:p>
        </w:tc>
        <w:tc>
          <w:tcPr>
            <w:tcW w:w="410"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（监测科）</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市市场监管局（认证科）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株洲市文化旅游广电体育局2022年度部门联合抽查工作计划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3010</w:t>
            </w:r>
          </w:p>
        </w:tc>
        <w:tc>
          <w:tcPr>
            <w:tcW w:w="435"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旅行社执法检查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instrText xml:space="preserve"> HYPERLINK "http://59.231.8.148:8080/ssjmg/index2.html?serf=11A0D06827C54429B1BFF6B888110938" \l "/f/javascript:void(0)" </w:instrTex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对旅行社业务营业许可及营业过程进行日常检查</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p>
        </w:tc>
        <w:tc>
          <w:tcPr>
            <w:tcW w:w="453"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全市旅行社</w:t>
            </w:r>
          </w:p>
        </w:tc>
        <w:tc>
          <w:tcPr>
            <w:tcW w:w="309"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w:t>
            </w:r>
          </w:p>
        </w:tc>
        <w:tc>
          <w:tcPr>
            <w:tcW w:w="410"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6月</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9月</w:t>
            </w:r>
          </w:p>
        </w:tc>
        <w:tc>
          <w:tcPr>
            <w:tcW w:w="577"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市文旅广体局</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（执法支队）</w:t>
            </w:r>
          </w:p>
        </w:tc>
        <w:tc>
          <w:tcPr>
            <w:tcW w:w="577"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（广告监管科）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株洲市文化旅游广电体育局2022年度部门联合抽查工作计划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3011</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影剧院执法检查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5"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对影剧院取得、公示相关许可证及其他情况的检查；食品安全经营情况的检查；治安安全检查。</w:t>
            </w:r>
          </w:p>
        </w:tc>
        <w:tc>
          <w:tcPr>
            <w:tcW w:w="453"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全市影剧院</w:t>
            </w:r>
          </w:p>
        </w:tc>
        <w:tc>
          <w:tcPr>
            <w:tcW w:w="309"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w:t>
            </w:r>
          </w:p>
        </w:tc>
        <w:tc>
          <w:tcPr>
            <w:tcW w:w="410"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6月</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9月</w:t>
            </w:r>
          </w:p>
        </w:tc>
        <w:tc>
          <w:tcPr>
            <w:tcW w:w="577"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市文旅广体局</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（执法支队）</w:t>
            </w:r>
          </w:p>
        </w:tc>
        <w:tc>
          <w:tcPr>
            <w:tcW w:w="577" w:type="pct"/>
            <w:vAlign w:val="center"/>
          </w:tcPr>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（食品流通监管科）</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市公安局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（治安支队）</w:t>
            </w:r>
          </w:p>
          <w:p>
            <w:pPr>
              <w:pStyle w:val="2"/>
              <w:pageBreakBefore w:val="0"/>
              <w:wordWrap/>
              <w:overflowPunct/>
              <w:topLinePunct w:val="0"/>
              <w:spacing w:line="320" w:lineRule="exact"/>
              <w:ind w:firstLine="0" w:firstLine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株洲市交通运输局2022年度部门联合抽查工作计划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3012</w:t>
            </w:r>
          </w:p>
        </w:tc>
        <w:tc>
          <w:tcPr>
            <w:tcW w:w="435"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对道路运输新业态企业的检查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市交通运输局：道路运输新业态企业、从业人员、运输车辆资质检查</w:t>
            </w:r>
          </w:p>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市税务局：对纳税人、扣缴义务人按期申报情况的检查</w:t>
            </w:r>
          </w:p>
        </w:tc>
        <w:tc>
          <w:tcPr>
            <w:tcW w:w="453"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道路运输新业态经营企业</w:t>
            </w:r>
          </w:p>
        </w:tc>
        <w:tc>
          <w:tcPr>
            <w:tcW w:w="309"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w:t>
            </w:r>
          </w:p>
        </w:tc>
        <w:tc>
          <w:tcPr>
            <w:tcW w:w="410"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市交通运输局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（执法监督科）</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市税务局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（稽查局）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6"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株洲市商务和粮食局2022年度部门联合抽查工作计划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3013</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成品油零售经营监管</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市商务和粮食局：检查成品油企业规范经营情况，依法查处违规经营行为。</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市市场监管局：检查油品质量及价格执行情况。</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市应急管理局：检查加油站安全违法行为，配合相关部门依法查处企业自备储油设施的安全违法行为。</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市生态环境局：查处加油站环境违法行为，确保查处的假劣燃油得到安全处置。</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市税务局：查处偷逃税款、虚开和违规开具发票等税收违法行为。</w:t>
            </w:r>
          </w:p>
        </w:tc>
        <w:tc>
          <w:tcPr>
            <w:tcW w:w="453"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成品油零售经营企业</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w:t>
            </w:r>
          </w:p>
        </w:tc>
        <w:tc>
          <w:tcPr>
            <w:tcW w:w="410"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5月至</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市商务粮食局</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(市场运行和消费促进科）</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市市场监管局（抽检管理科、价监科）</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市应急管理局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（危化科）</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（执法支队）</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市税务局</w:t>
            </w:r>
          </w:p>
          <w:p>
            <w:pPr>
              <w:pStyle w:val="2"/>
              <w:pageBreakBefore w:val="0"/>
              <w:wordWrap/>
              <w:overflowPunct/>
              <w:topLinePunct w:val="0"/>
              <w:spacing w:line="320" w:lineRule="exact"/>
              <w:ind w:left="0" w:lef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（稽查局）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株洲市卫生健 康委员会2022年度部门联合抽查工作计划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3014</w:t>
            </w:r>
          </w:p>
        </w:tc>
        <w:tc>
          <w:tcPr>
            <w:tcW w:w="435"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医疗机构医疗废弃物、医疗污水抽查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医疗机构医疗废弃物、医疗污水抽查类别所有抽查事项</w:t>
            </w:r>
          </w:p>
        </w:tc>
        <w:tc>
          <w:tcPr>
            <w:tcW w:w="453"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二级以上医疗机构</w:t>
            </w:r>
          </w:p>
        </w:tc>
        <w:tc>
          <w:tcPr>
            <w:tcW w:w="309"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w:t>
            </w:r>
          </w:p>
        </w:tc>
        <w:tc>
          <w:tcPr>
            <w:tcW w:w="410" w:type="pct"/>
            <w:vAlign w:val="center"/>
          </w:tcPr>
          <w:p>
            <w:pPr>
              <w:pageBreakBefore w:val="0"/>
              <w:wordWrap/>
              <w:overflowPunct/>
              <w:topLinePunct w:val="0"/>
              <w:spacing w:line="320" w:lineRule="exact"/>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2月至</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6月</w:t>
            </w:r>
          </w:p>
        </w:tc>
        <w:tc>
          <w:tcPr>
            <w:tcW w:w="577"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市卫生健康委</w:t>
            </w:r>
          </w:p>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（综合监督执法局）</w:t>
            </w:r>
          </w:p>
        </w:tc>
        <w:tc>
          <w:tcPr>
            <w:tcW w:w="577"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市生态环境局（执法支队）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株洲市发展和改革委员会2022年度部门联合抽查工作计划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3015</w:t>
            </w:r>
          </w:p>
        </w:tc>
        <w:tc>
          <w:tcPr>
            <w:tcW w:w="435"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固定资产投资项目节能审查意见落实情况抽查</w:t>
            </w:r>
          </w:p>
        </w:tc>
        <w:tc>
          <w:tcPr>
            <w:tcW w:w="23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固定资产投资项目节能审查意见落实情况</w:t>
            </w:r>
          </w:p>
        </w:tc>
        <w:tc>
          <w:tcPr>
            <w:tcW w:w="4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2018年以来市本级批复的已建成或基本建成的固定资产投资项目</w:t>
            </w:r>
          </w:p>
        </w:tc>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w:t>
            </w:r>
          </w:p>
        </w:tc>
        <w:tc>
          <w:tcPr>
            <w:tcW w:w="41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10月</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市发展改革委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（环资科）</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市工业和信息化局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（节能处）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2"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株洲市水利局2022年度部门联合抽查工作计划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3016</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用水单位或个人节约用水行为监管</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市水利局：对用水单位或个人用水计量设施、用水总量控制、用水效率控制、用水管理情况等进行行政检查</w:t>
            </w:r>
          </w:p>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市市场监管局：在用计量器具监督检查；用水计量仪器仪表配备、周期检定情况</w:t>
            </w:r>
          </w:p>
        </w:tc>
        <w:tc>
          <w:tcPr>
            <w:tcW w:w="453"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已办理取水许可证和纳入国家级、省级重点监控用水单位名录的单位或个人</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100%</w:t>
            </w:r>
          </w:p>
        </w:tc>
        <w:tc>
          <w:tcPr>
            <w:tcW w:w="410"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3月</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市水利局</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(水保水资源科）</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市市场监管局（计量科）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8"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株洲市统计局2022年度部门联合抽查工作计划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3017</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国家机关、企业事业单位和其他组织以及个体工商户和个人等统计调查对象遵守统计法律法规规章、统计调查制度情况检查</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3"/>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市统计局： 调查对象依法设置原始记录、统计台账以及统计数据质量情况检查</w:t>
            </w:r>
          </w:p>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市市场监管局：公示信息、登记事项检查 </w:t>
            </w:r>
          </w:p>
        </w:tc>
        <w:tc>
          <w:tcPr>
            <w:tcW w:w="453"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全市部分“四上”</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企业</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w:t>
            </w:r>
          </w:p>
        </w:tc>
        <w:tc>
          <w:tcPr>
            <w:tcW w:w="410" w:type="pct"/>
            <w:vAlign w:val="center"/>
          </w:tcPr>
          <w:p>
            <w:pPr>
              <w:pStyle w:val="20"/>
              <w:pageBreakBefore w:val="0"/>
              <w:wordWrap/>
              <w:overflowPunct/>
              <w:topLinePunct w:val="0"/>
              <w:spacing w:line="320" w:lineRule="exact"/>
              <w:ind w:left="33" w:right="8"/>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市本级实施（登记事项及公示信息检查，由企业所在登记机关实施检查）</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4月至</w:t>
            </w:r>
          </w:p>
          <w:p>
            <w:pPr>
              <w:pageBreakBefore w:val="0"/>
              <w:wordWrap/>
              <w:overflowPunct/>
              <w:topLinePunct w:val="0"/>
              <w:spacing w:line="320" w:lineRule="exact"/>
              <w:ind w:right="103" w:righ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pageBreakBefore w:val="0"/>
              <w:wordWrap/>
              <w:overflowPunct/>
              <w:topLinePunct w:val="0"/>
              <w:spacing w:line="320" w:lineRule="exact"/>
              <w:ind w:right="103"/>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市统计局</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（稽查科）</w:t>
            </w:r>
          </w:p>
        </w:tc>
        <w:tc>
          <w:tcPr>
            <w:tcW w:w="577" w:type="pct"/>
            <w:vAlign w:val="center"/>
          </w:tcPr>
          <w:p>
            <w:pPr>
              <w:pageBreakBefore w:val="0"/>
              <w:wordWrap/>
              <w:overflowPunct/>
              <w:topLinePunct w:val="0"/>
              <w:spacing w:line="320" w:lineRule="exact"/>
              <w:ind w:right="103"/>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（信用监管科）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株洲市应急管理局2022年度部门联合抽查工作计划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20220406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3018</w:t>
            </w:r>
          </w:p>
        </w:tc>
        <w:tc>
          <w:tcPr>
            <w:tcW w:w="435"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工贸企业安全生产监管执法</w:t>
            </w:r>
          </w:p>
        </w:tc>
        <w:tc>
          <w:tcPr>
            <w:tcW w:w="238"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中央在株工贸企业、省属工贸企业安全生产监管执法</w:t>
            </w:r>
          </w:p>
        </w:tc>
        <w:tc>
          <w:tcPr>
            <w:tcW w:w="453"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12家国有大中型工贸企业</w:t>
            </w:r>
          </w:p>
        </w:tc>
        <w:tc>
          <w:tcPr>
            <w:tcW w:w="309" w:type="pct"/>
            <w:vAlign w:val="center"/>
          </w:tcPr>
          <w:p>
            <w:pPr>
              <w:pageBreakBefore w:val="0"/>
              <w:wordWrap/>
              <w:overflowPunct/>
              <w:topLinePunct w:val="0"/>
              <w:spacing w:line="32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9%</w:t>
            </w:r>
          </w:p>
        </w:tc>
        <w:tc>
          <w:tcPr>
            <w:tcW w:w="410" w:type="pct"/>
            <w:vAlign w:val="center"/>
          </w:tcPr>
          <w:p>
            <w:pPr>
              <w:keepNext w:val="0"/>
              <w:keepLines w:val="0"/>
              <w:pageBreakBefore w:val="0"/>
              <w:widowControl/>
              <w:suppressLineNumbers w:val="0"/>
              <w:wordWrap/>
              <w:overflowPunct/>
              <w:topLinePunct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至</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7月</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市应急管理局（工贸科）</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（特种设备监察科）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株洲市住房和城乡建设局2022年度部门联合抽查工作计划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20210526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3019</w:t>
            </w:r>
          </w:p>
        </w:tc>
        <w:tc>
          <w:tcPr>
            <w:tcW w:w="435"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房地产中介机构、从业人员监督检查</w:t>
            </w:r>
          </w:p>
        </w:tc>
        <w:tc>
          <w:tcPr>
            <w:tcW w:w="238"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righ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房地产中介机构、从业人员监督检查</w:t>
            </w:r>
          </w:p>
        </w:tc>
        <w:tc>
          <w:tcPr>
            <w:tcW w:w="453"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righ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在株经营的房地产中介机构、从业人员</w:t>
            </w:r>
          </w:p>
        </w:tc>
        <w:tc>
          <w:tcPr>
            <w:tcW w:w="309"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w:t>
            </w:r>
            <w:bookmarkStart w:id="0" w:name="_GoBack"/>
            <w:bookmarkEnd w:id="0"/>
          </w:p>
        </w:tc>
        <w:tc>
          <w:tcPr>
            <w:tcW w:w="410"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left"/>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市本级实施</w:t>
            </w:r>
          </w:p>
        </w:tc>
        <w:tc>
          <w:tcPr>
            <w:tcW w:w="211" w:type="pct"/>
            <w:vAlign w:val="center"/>
          </w:tcPr>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10月</w:t>
            </w:r>
          </w:p>
        </w:tc>
        <w:tc>
          <w:tcPr>
            <w:tcW w:w="57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市住房城乡建设局</w:t>
            </w:r>
          </w:p>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（房地产成果和交易科）</w:t>
            </w:r>
          </w:p>
        </w:tc>
        <w:tc>
          <w:tcPr>
            <w:tcW w:w="577" w:type="pct"/>
            <w:vAlign w:val="center"/>
          </w:tcPr>
          <w:p>
            <w:pPr>
              <w:keepNext w:val="0"/>
              <w:keepLines w:val="0"/>
              <w:pageBreakBefore w:val="0"/>
              <w:widowControl/>
              <w:suppressLineNumbers w:val="0"/>
              <w:wordWrap/>
              <w:overflowPunct/>
              <w:topLinePunct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w:t>
            </w:r>
          </w:p>
          <w:p>
            <w:pPr>
              <w:keepNext w:val="0"/>
              <w:keepLines w:val="0"/>
              <w:pageBreakBefore w:val="0"/>
              <w:widowControl w:val="0"/>
              <w:kinsoku/>
              <w:wordWrap/>
              <w:overflowPunct/>
              <w:topLinePunct w:val="0"/>
              <w:autoSpaceDE/>
              <w:autoSpaceDN/>
              <w:bidi/>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3"/>
                <w:kern w:val="2"/>
                <w:sz w:val="24"/>
                <w:szCs w:val="24"/>
                <w:lang w:val="en-US" w:eastAsia="zh-CN" w:bidi="ar-SA"/>
                <w14:textFill>
                  <w14:solidFill>
                    <w14:schemeClr w14:val="tx1"/>
                  </w14:solidFill>
                </w14:textFill>
              </w:rPr>
              <w:t>（网络交易监管科）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9"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株洲市公安局2022年度部门联合抽查工作计划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20210526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3020</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宾馆旅店监督检查</w:t>
            </w:r>
          </w:p>
        </w:tc>
        <w:tc>
          <w:tcPr>
            <w:tcW w:w="238" w:type="pct"/>
            <w:vAlign w:val="center"/>
          </w:tcPr>
          <w:p>
            <w:pPr>
              <w:pageBreakBefore w:val="0"/>
              <w:wordWrap/>
              <w:overflowPunct/>
              <w:topLinePunct w:val="0"/>
              <w:spacing w:line="320" w:lineRule="exact"/>
              <w:ind w:firstLine="240" w:firstLineChars="10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公安部门：旅馆取得公安机关特种行业许可证情况的检查</w:t>
            </w:r>
          </w:p>
          <w:p>
            <w:pPr>
              <w:pStyle w:val="20"/>
              <w:pageBreakBefore w:val="0"/>
              <w:wordWrap/>
              <w:overflowPunct/>
              <w:topLinePunct w:val="0"/>
              <w:spacing w:line="320" w:lineRule="exact"/>
              <w:ind w:left="35" w:leftChars="0" w:right="101" w:rightChars="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卫生健康部门：检查宾馆、酒店的卫生管理情况；抽查顾客用品用具、水质、空气以及集中空调通风系统卫生质量；疫情防控措施落实情况监督检查</w:t>
            </w:r>
          </w:p>
        </w:tc>
        <w:tc>
          <w:tcPr>
            <w:tcW w:w="453"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各类旅馆酒店</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w:t>
            </w:r>
          </w:p>
        </w:tc>
        <w:tc>
          <w:tcPr>
            <w:tcW w:w="410"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3月至</w:t>
            </w:r>
          </w:p>
          <w:p>
            <w:pPr>
              <w:pageBreakBefore w:val="0"/>
              <w:wordWrap/>
              <w:overflowPunct/>
              <w:topLinePunct w:val="0"/>
              <w:spacing w:line="320" w:lineRule="exact"/>
              <w:ind w:right="103" w:rightChars="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市公安局</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（治安支队）</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市卫生健康委</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（综合监督</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jc w:val="center"/>
        </w:trPr>
        <w:tc>
          <w:tcPr>
            <w:tcW w:w="295"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2022</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3001</w:t>
            </w:r>
          </w:p>
        </w:tc>
        <w:tc>
          <w:tcPr>
            <w:tcW w:w="360"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株洲海关2022年度部门联合抽查工作计划</w:t>
            </w:r>
          </w:p>
        </w:tc>
        <w:tc>
          <w:tcPr>
            <w:tcW w:w="324" w:type="pct"/>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430200</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20210526</w:t>
            </w:r>
          </w:p>
          <w:p>
            <w:pPr>
              <w:pStyle w:val="20"/>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3021</w:t>
            </w:r>
          </w:p>
        </w:tc>
        <w:tc>
          <w:tcPr>
            <w:tcW w:w="435"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出口商品生产企业的检查</w:t>
            </w:r>
          </w:p>
        </w:tc>
        <w:tc>
          <w:tcPr>
            <w:tcW w:w="238"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定向</w:t>
            </w:r>
          </w:p>
        </w:tc>
        <w:tc>
          <w:tcPr>
            <w:tcW w:w="804" w:type="pct"/>
            <w:vAlign w:val="center"/>
          </w:tcPr>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海关部门：对出口商品生产企业的检查。</w:t>
            </w:r>
          </w:p>
          <w:p>
            <w:pPr>
              <w:pageBreakBefore w:val="0"/>
              <w:wordWrap/>
              <w:overflowPunct/>
              <w:topLinePunct w:val="0"/>
              <w:spacing w:line="320" w:lineRule="exact"/>
              <w:ind w:right="103" w:rightChars="0"/>
              <w:jc w:val="lef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市场监管部门：食品生产监督检查（获得食品生产许可证）</w:t>
            </w:r>
          </w:p>
        </w:tc>
        <w:tc>
          <w:tcPr>
            <w:tcW w:w="453"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出口食品生产企业</w:t>
            </w:r>
          </w:p>
        </w:tc>
        <w:tc>
          <w:tcPr>
            <w:tcW w:w="309"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w:t>
            </w:r>
          </w:p>
        </w:tc>
        <w:tc>
          <w:tcPr>
            <w:tcW w:w="410"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24"/>
                <w:szCs w:val="24"/>
                <w:lang w:val="en-US" w:eastAsia="zh-CN" w:bidi="ar-SA"/>
                <w14:textFill>
                  <w14:solidFill>
                    <w14:schemeClr w14:val="tx1"/>
                  </w14:solidFill>
                </w14:textFill>
              </w:rPr>
              <w:t>市本级实施</w:t>
            </w:r>
          </w:p>
        </w:tc>
        <w:tc>
          <w:tcPr>
            <w:tcW w:w="211"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5月至</w:t>
            </w:r>
          </w:p>
          <w:p>
            <w:pPr>
              <w:pageBreakBefore w:val="0"/>
              <w:wordWrap/>
              <w:overflowPunct/>
              <w:topLinePunct w:val="0"/>
              <w:spacing w:line="320" w:lineRule="exact"/>
              <w:ind w:right="103" w:rightChars="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11月</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株洲海关</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(稽核科）</w:t>
            </w:r>
          </w:p>
        </w:tc>
        <w:tc>
          <w:tcPr>
            <w:tcW w:w="577" w:type="pct"/>
            <w:vAlign w:val="center"/>
          </w:tcPr>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市市场监管局（食品生产</w:t>
            </w:r>
          </w:p>
          <w:p>
            <w:pPr>
              <w:pageBreakBefore w:val="0"/>
              <w:wordWrap/>
              <w:overflowPunct/>
              <w:topLinePunct w:val="0"/>
              <w:spacing w:line="320" w:lineRule="exact"/>
              <w:ind w:right="103" w:right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监管科）</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pgSz w:w="16838" w:h="11906" w:orient="landscape"/>
          <w:pgMar w:top="1531" w:right="2098" w:bottom="1531" w:left="1984" w:header="851" w:footer="992" w:gutter="0"/>
          <w:pgNumType w:fmt="numberInDash"/>
          <w:cols w:space="0" w:num="1"/>
          <w:rtlGutter w:val="0"/>
          <w:docGrid w:type="lines" w:linePitch="315" w:charSpace="0"/>
        </w:sect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371475</wp:posOffset>
                </wp:positionV>
                <wp:extent cx="5735320" cy="0"/>
                <wp:effectExtent l="0" t="0" r="0" b="0"/>
                <wp:wrapNone/>
                <wp:docPr id="3" name="直接连接符 3"/>
                <wp:cNvGraphicFramePr/>
                <a:graphic xmlns:a="http://schemas.openxmlformats.org/drawingml/2006/main">
                  <a:graphicData uri="http://schemas.microsoft.com/office/word/2010/wordprocessingShape">
                    <wps:wsp>
                      <wps:cNvCnPr/>
                      <wps:spPr>
                        <a:xfrm>
                          <a:off x="958850" y="937641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29.25pt;height:0pt;width:451.6pt;z-index:251659264;mso-width-relative:page;mso-height-relative:page;" filled="f" stroked="t" coordsize="21600,21600" o:gfxdata="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G4vx7TAAAABwEAAA8A&#10;AAAAAAAAAQAgAAAAIgAAAGRycy9kb3ducmV2LnhtbFBLAQIUABQAAAAIAIdO4kAr7YCE4wEAAKUD&#10;AAAOAAAAAAAAAAEAIAAAACIBAABkcnMvZTJvRG9jLnhtbFBLBQYAAAAABgAGAFkBAAB3BQAAAAA=&#10;">
                <v:fill on="f" focussize="0,0"/>
                <v:stroke color="#000000 [3213]"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spacing w:val="-34"/>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334010</wp:posOffset>
                </wp:positionV>
                <wp:extent cx="573532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6.3pt;height:0pt;width:451.6pt;z-index:251660288;mso-width-relative:page;mso-height-relative:page;" filled="f" stroked="t" coordsize="21600,21600" o:gfxdata="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boYk0wAAAAcBAAAPAAAAAAAAAAEAIAAA&#10;ACIAAABkcnMvZG93bnJldi54bWxQSwECFAAUAAAACACHTuJALspeKNgBAACaAwAADgAAAAAAAAAB&#10;ACAAAAAiAQAAZHJzL2Uyb0RvYy54bWxQSwUGAAAAAAYABgBZAQAAbAU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000000" w:themeColor="text1"/>
          <w:spacing w:val="-34"/>
          <w:kern w:val="0"/>
          <w:sz w:val="28"/>
          <w:szCs w:val="28"/>
          <w:lang w:val="en-US" w:eastAsia="zh-CN" w:bidi="ar-SA"/>
          <w14:textFill>
            <w14:solidFill>
              <w14:schemeClr w14:val="tx1"/>
            </w14:solidFill>
          </w14:textFill>
        </w:rPr>
        <w:t>株洲市市场监管领域部门联合“双随机、一公开”监管联席会议办公室</w:t>
      </w:r>
      <w:r>
        <w:rPr>
          <w:rFonts w:hint="eastAsia" w:ascii="仿宋_GB2312" w:hAnsi="仿宋_GB2312" w:eastAsia="仿宋_GB2312" w:cs="仿宋_GB2312"/>
          <w:color w:val="000000" w:themeColor="text1"/>
          <w:spacing w:val="-20"/>
          <w:kern w:val="0"/>
          <w:sz w:val="28"/>
          <w:szCs w:val="28"/>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28"/>
          <w:kern w:val="0"/>
          <w:sz w:val="28"/>
          <w:szCs w:val="28"/>
          <w:lang w:val="en-US" w:eastAsia="zh-CN" w:bidi="ar-SA"/>
          <w14:textFill>
            <w14:solidFill>
              <w14:schemeClr w14:val="tx1"/>
            </w14:solidFill>
          </w14:textFill>
        </w:rPr>
        <w:t>2022年4月18日印发</w:t>
      </w:r>
    </w:p>
    <w:sectPr>
      <w:footerReference r:id="rId5" w:type="default"/>
      <w:footerReference r:id="rId6" w:type="even"/>
      <w:pgSz w:w="11906" w:h="16838"/>
      <w:pgMar w:top="1701"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-205105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16.15pt;height:144pt;width:144pt;mso-position-horizontal:outside;mso-position-horizontal-relative:margin;mso-wrap-style:none;z-index:251660288;mso-width-relative:page;mso-height-relative:page;" filled="f" stroked="f" coordsize="21600,21600" o:gfxdata="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75FHvWAAAACAEAAA8AAAAAAAAAAQAgAAAAIgAA&#10;AGRycy9kb3ducmV2LnhtbFBLAQIUABQAAAAIAIdO4kBPRKV50QEAAJ4DAAAOAAAAAAAAAAEAIAAA&#10;ACUBAABkcnMvZTJvRG9jLnhtbFBLBQYAAAAABgAGAFkBAABo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-205105</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16.15pt;height:144pt;width:144pt;mso-position-horizontal:outside;mso-position-horizontal-relative:margin;mso-wrap-style:none;z-index:251660288;mso-width-relative:page;mso-height-relative:page;" filled="f" stroked="f" coordsize="21600,21600" o:gfxdata="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RR71gAAAAgBAAAPAAAAAAAAAAEAIAAAACIA&#10;AABkcnMvZG93bnJldi54bWxQSwECFAAUAAAACACHTuJAWzOh3tIBAACeAwAADgAAAAAAAAABACAA&#10;AAAlAQAAZHJzL2Uyb0RvYy54bWxQSwUGAAAAAAYABgBZAQAAa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07676"/>
    <w:rsid w:val="08D022F9"/>
    <w:rsid w:val="0F393301"/>
    <w:rsid w:val="11910454"/>
    <w:rsid w:val="141B3B83"/>
    <w:rsid w:val="16004C56"/>
    <w:rsid w:val="17FD6E5C"/>
    <w:rsid w:val="18D542DC"/>
    <w:rsid w:val="1D7D23A1"/>
    <w:rsid w:val="2013044B"/>
    <w:rsid w:val="21A65D4E"/>
    <w:rsid w:val="2342170A"/>
    <w:rsid w:val="25DA617D"/>
    <w:rsid w:val="26786016"/>
    <w:rsid w:val="2A6F2B7F"/>
    <w:rsid w:val="2D9B1FEF"/>
    <w:rsid w:val="33292B30"/>
    <w:rsid w:val="36DB67FF"/>
    <w:rsid w:val="3A2E188B"/>
    <w:rsid w:val="3EAC254D"/>
    <w:rsid w:val="43747266"/>
    <w:rsid w:val="45FB4417"/>
    <w:rsid w:val="47D47E98"/>
    <w:rsid w:val="48FF5C54"/>
    <w:rsid w:val="4FBC2B99"/>
    <w:rsid w:val="508127A9"/>
    <w:rsid w:val="55F62A2D"/>
    <w:rsid w:val="57200986"/>
    <w:rsid w:val="5CC66F35"/>
    <w:rsid w:val="609B1326"/>
    <w:rsid w:val="61840B64"/>
    <w:rsid w:val="61E544A6"/>
    <w:rsid w:val="62334C3B"/>
    <w:rsid w:val="6572553F"/>
    <w:rsid w:val="6C801C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after="0" w:line="240" w:lineRule="auto"/>
      <w:ind w:hanging="2090"/>
      <w:jc w:val="left"/>
      <w:outlineLvl w:val="1"/>
    </w:pPr>
    <w:rPr>
      <w:rFonts w:ascii="宋体" w:hAnsi="宋体" w:eastAsia="宋体" w:cs="宋体"/>
      <w:kern w:val="0"/>
      <w:sz w:val="44"/>
      <w:szCs w:val="44"/>
      <w:lang w:eastAsia="en-US"/>
    </w:rPr>
  </w:style>
  <w:style w:type="paragraph" w:styleId="4">
    <w:name w:val="heading 2"/>
    <w:basedOn w:val="1"/>
    <w:next w:val="1"/>
    <w:qFormat/>
    <w:uiPriority w:val="0"/>
    <w:pPr>
      <w:keepNext/>
      <w:keepLines/>
      <w:spacing w:line="560" w:lineRule="exact"/>
      <w:ind w:firstLine="880" w:firstLineChars="200"/>
      <w:outlineLvl w:val="1"/>
    </w:pPr>
    <w:rPr>
      <w:rFonts w:ascii="Cambria" w:hAnsi="Cambria" w:eastAsia="黑体" w:cs="Times New Roman"/>
      <w:bCs/>
      <w:sz w:val="32"/>
      <w:szCs w:val="32"/>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pPr>
    <w:rPr>
      <w:rFonts w:cs="宋体"/>
      <w:szCs w:val="20"/>
    </w:rPr>
  </w:style>
  <w:style w:type="paragraph" w:styleId="5">
    <w:name w:val="Body Text"/>
    <w:basedOn w:val="1"/>
    <w:qFormat/>
    <w:uiPriority w:val="0"/>
    <w:pPr>
      <w:spacing w:after="0" w:line="240" w:lineRule="auto"/>
      <w:ind w:left="113"/>
      <w:jc w:val="left"/>
    </w:pPr>
    <w:rPr>
      <w:rFonts w:ascii="宋体" w:hAnsi="宋体" w:eastAsia="宋体" w:cs="宋体"/>
      <w:kern w:val="0"/>
      <w:sz w:val="32"/>
      <w:szCs w:val="32"/>
      <w:lang w:eastAsia="en-US"/>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cs="Times New Roman"/>
    </w:rPr>
  </w:style>
  <w:style w:type="character" w:styleId="14">
    <w:name w:val="FollowedHyperlink"/>
    <w:basedOn w:val="12"/>
    <w:qFormat/>
    <w:uiPriority w:val="0"/>
    <w:rPr>
      <w:rFonts w:ascii="Calibri" w:hAnsi="Calibri" w:eastAsia="宋体" w:cs="Times New Roman"/>
      <w:color w:val="000000"/>
      <w:u w:val="none"/>
    </w:rPr>
  </w:style>
  <w:style w:type="character" w:styleId="15">
    <w:name w:val="Emphasis"/>
    <w:basedOn w:val="12"/>
    <w:qFormat/>
    <w:uiPriority w:val="0"/>
    <w:rPr>
      <w:rFonts w:ascii="Calibri" w:hAnsi="Calibri" w:eastAsia="宋体" w:cs="Times New Roman"/>
    </w:rPr>
  </w:style>
  <w:style w:type="character" w:styleId="16">
    <w:name w:val="Hyperlink"/>
    <w:basedOn w:val="12"/>
    <w:qFormat/>
    <w:uiPriority w:val="0"/>
    <w:rPr>
      <w:color w:val="0000FF"/>
      <w:u w:val="single"/>
    </w:rPr>
  </w:style>
  <w:style w:type="character" w:customStyle="1" w:styleId="17">
    <w:name w:val="Footer Char_683e57d7-8eac-4432-a74c-5acd59f11432"/>
    <w:basedOn w:val="12"/>
    <w:link w:val="6"/>
    <w:qFormat/>
    <w:uiPriority w:val="99"/>
    <w:rPr>
      <w:rFonts w:ascii="Calibri" w:hAnsi="Calibri" w:cs="Times New Roman"/>
      <w:sz w:val="18"/>
      <w:szCs w:val="18"/>
    </w:rPr>
  </w:style>
  <w:style w:type="table" w:customStyle="1" w:styleId="18">
    <w:name w:val="Table Normal"/>
    <w:qFormat/>
    <w:uiPriority w:val="2"/>
    <w:tblPr>
      <w:tblCellMar>
        <w:top w:w="0" w:type="dxa"/>
        <w:left w:w="0" w:type="dxa"/>
        <w:bottom w:w="0" w:type="dxa"/>
        <w:right w:w="0" w:type="dxa"/>
      </w:tblCellMar>
    </w:tblPr>
  </w:style>
  <w:style w:type="paragraph" w:styleId="19">
    <w:name w:val="List Paragraph"/>
    <w:basedOn w:val="1"/>
    <w:qFormat/>
    <w:uiPriority w:val="1"/>
    <w:pPr>
      <w:spacing w:after="0" w:line="240" w:lineRule="auto"/>
      <w:jc w:val="left"/>
    </w:pPr>
    <w:rPr>
      <w:rFonts w:ascii="Calibri" w:hAnsi="Calibri" w:eastAsia="Calibri" w:cs="宋体"/>
      <w:kern w:val="0"/>
      <w:sz w:val="22"/>
      <w:szCs w:val="22"/>
      <w:lang w:eastAsia="en-US"/>
    </w:rPr>
  </w:style>
  <w:style w:type="paragraph" w:customStyle="1" w:styleId="20">
    <w:name w:val="Table Paragraph"/>
    <w:basedOn w:val="1"/>
    <w:qFormat/>
    <w:uiPriority w:val="1"/>
    <w:pPr>
      <w:spacing w:after="0" w:line="240" w:lineRule="auto"/>
      <w:jc w:val="left"/>
    </w:pPr>
    <w:rPr>
      <w:rFonts w:ascii="Calibri" w:hAnsi="Calibri" w:eastAsia="Calibri" w:cs="宋体"/>
      <w:kern w:val="0"/>
      <w:sz w:val="22"/>
      <w:szCs w:val="22"/>
      <w:lang w:eastAsia="en-US"/>
    </w:rPr>
  </w:style>
  <w:style w:type="character" w:customStyle="1" w:styleId="21">
    <w:name w:val="15"/>
    <w:basedOn w:val="12"/>
    <w:qFormat/>
    <w:uiPriority w:val="0"/>
    <w:rPr>
      <w:rFonts w:hint="default" w:ascii="Times New Roman" w:hAnsi="Times New Roman" w:eastAsia="宋体" w:cs="Times New Roman"/>
      <w:b/>
      <w:bCs/>
    </w:rPr>
  </w:style>
  <w:style w:type="character" w:customStyle="1" w:styleId="22">
    <w:name w:val="hover11"/>
    <w:basedOn w:val="1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4892</Words>
  <Characters>5590</Characters>
  <Paragraphs>360</Paragraphs>
  <TotalTime>6</TotalTime>
  <ScaleCrop>false</ScaleCrop>
  <LinksUpToDate>false</LinksUpToDate>
  <CharactersWithSpaces>5650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2020-07-29T08:21:00Z</dcterms:created>
  <dc:creator>霜暮吟</dc:creator>
  <cp:lastModifiedBy>市场局文印室1910</cp:lastModifiedBy>
  <cp:lastPrinted>2022-04-18T07:19:38Z</cp:lastPrinted>
  <dcterms:modified xsi:type="dcterms:W3CDTF">2022-04-18T07:20:41Z</dcterms:modified>
  <dc:title>&lt;4D6963726F736F667420576F7264202D2032303230C4EAB6C8B3E9B2E9BCC6BBAEB5C4CDA8D6AA2D672E646F63&gt;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Created">
    <vt:filetime>2019-11-27T00:00:00Z</vt:filetime>
  </property>
  <property fmtid="{D5CDD505-2E9C-101B-9397-08002B2CF9AE}" pid="4" name="LastSaved">
    <vt:filetime>2019-12-04T00:00:00Z</vt:filetime>
  </property>
  <property fmtid="{D5CDD505-2E9C-101B-9397-08002B2CF9AE}" pid="5" name="ICV">
    <vt:lpwstr>054A97E86F954C5AAC79DD27AEC17ACE</vt:lpwstr>
  </property>
  <property fmtid="{D5CDD505-2E9C-101B-9397-08002B2CF9AE}" pid="6" name="KSOSaveFontToCloudKey">
    <vt:lpwstr>592964074_cloud</vt:lpwstr>
  </property>
</Properties>
</file>