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default" w:asciiTheme="majorEastAsia" w:hAnsiTheme="majorEastAsia" w:eastAsiaTheme="majorEastAsia" w:cstheme="majorEastAsia"/>
          <w:b/>
          <w:color w:val="auto"/>
          <w:sz w:val="72"/>
          <w:szCs w:val="72"/>
          <w:lang w:val="en-US" w:eastAsia="zh-CN"/>
        </w:rPr>
      </w:pPr>
      <w:r>
        <w:rPr>
          <w:rFonts w:hint="eastAsia" w:asciiTheme="majorEastAsia" w:hAnsiTheme="majorEastAsia" w:eastAsiaTheme="majorEastAsia" w:cstheme="majorEastAsia"/>
          <w:b/>
          <w:color w:val="auto"/>
          <w:sz w:val="72"/>
          <w:szCs w:val="72"/>
          <w:lang w:val="en-US" w:eastAsia="zh-CN"/>
        </w:rPr>
        <w:t xml:space="preserve">   </w:t>
      </w:r>
    </w:p>
    <w:p>
      <w:pPr>
        <w:pStyle w:val="12"/>
        <w:adjustRightInd w:val="0"/>
        <w:snapToGrid w:val="0"/>
        <w:spacing w:line="360" w:lineRule="auto"/>
        <w:jc w:val="center"/>
        <w:rPr>
          <w:rFonts w:hint="eastAsia" w:asciiTheme="majorEastAsia" w:hAnsiTheme="majorEastAsia" w:eastAsiaTheme="majorEastAsia" w:cstheme="majorEastAsia"/>
          <w:b/>
          <w:color w:val="auto"/>
          <w:sz w:val="84"/>
          <w:szCs w:val="84"/>
        </w:rPr>
      </w:pPr>
      <w:r>
        <w:rPr>
          <w:rFonts w:hint="eastAsia" w:asciiTheme="majorEastAsia" w:hAnsiTheme="majorEastAsia" w:eastAsiaTheme="majorEastAsia" w:cstheme="majorEastAsia"/>
          <w:b/>
          <w:color w:val="auto"/>
          <w:sz w:val="84"/>
          <w:szCs w:val="84"/>
        </w:rPr>
        <w:t>政府采购</w:t>
      </w:r>
    </w:p>
    <w:p>
      <w:pPr>
        <w:pStyle w:val="12"/>
        <w:tabs>
          <w:tab w:val="left" w:pos="7140"/>
        </w:tabs>
        <w:adjustRightInd w:val="0"/>
        <w:snapToGrid w:val="0"/>
        <w:spacing w:line="360" w:lineRule="auto"/>
        <w:jc w:val="cente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84"/>
          <w:szCs w:val="84"/>
        </w:rPr>
        <w:t>竞争性磋商文件</w:t>
      </w:r>
    </w:p>
    <w:p>
      <w:pPr>
        <w:pStyle w:val="12"/>
        <w:adjustRightInd w:val="0"/>
        <w:snapToGrid w:val="0"/>
        <w:spacing w:before="120" w:beforeLines="50" w:line="360" w:lineRule="auto"/>
        <w:jc w:val="center"/>
        <w:rPr>
          <w:rFonts w:hint="eastAsia" w:asciiTheme="majorEastAsia" w:hAnsiTheme="majorEastAsia" w:eastAsiaTheme="majorEastAsia" w:cstheme="majorEastAsia"/>
          <w:b/>
          <w:color w:val="auto"/>
          <w:sz w:val="32"/>
          <w:szCs w:val="32"/>
        </w:rPr>
      </w:pPr>
    </w:p>
    <w:p>
      <w:pPr>
        <w:pStyle w:val="12"/>
        <w:adjustRightInd w:val="0"/>
        <w:snapToGrid w:val="0"/>
        <w:spacing w:before="120" w:beforeLines="50" w:line="360" w:lineRule="auto"/>
        <w:jc w:val="center"/>
        <w:rPr>
          <w:rFonts w:hint="eastAsia" w:asciiTheme="majorEastAsia" w:hAnsiTheme="majorEastAsia" w:eastAsiaTheme="majorEastAsia" w:cstheme="majorEastAsia"/>
          <w:b/>
          <w:color w:val="auto"/>
          <w:sz w:val="32"/>
          <w:szCs w:val="32"/>
        </w:rPr>
      </w:pPr>
    </w:p>
    <w:p>
      <w:pPr>
        <w:pStyle w:val="12"/>
        <w:adjustRightInd w:val="0"/>
        <w:snapToGrid w:val="0"/>
        <w:spacing w:line="480" w:lineRule="auto"/>
        <w:ind w:left="2278" w:leftChars="85" w:hanging="2100" w:hangingChars="700"/>
        <w:rPr>
          <w:rFonts w:hint="eastAsia" w:asciiTheme="majorEastAsia" w:hAnsiTheme="majorEastAsia" w:eastAsiaTheme="majorEastAsia" w:cstheme="majorEastAsia"/>
          <w:snapToGrid w:val="0"/>
          <w:color w:val="auto"/>
          <w:sz w:val="30"/>
          <w:szCs w:val="30"/>
          <w:u w:val="single"/>
          <w:lang w:val="en-US" w:eastAsia="zh-CN"/>
        </w:rPr>
      </w:pPr>
      <w:r>
        <w:rPr>
          <w:rFonts w:hint="eastAsia" w:asciiTheme="majorEastAsia" w:hAnsiTheme="majorEastAsia" w:eastAsiaTheme="majorEastAsia" w:cstheme="majorEastAsia"/>
          <w:snapToGrid w:val="0"/>
          <w:color w:val="auto"/>
          <w:sz w:val="30"/>
          <w:szCs w:val="30"/>
          <w:u w:val="none"/>
          <w:lang w:eastAsia="zh-CN"/>
        </w:rPr>
        <w:t>采购项目名称</w:t>
      </w:r>
      <w:r>
        <w:rPr>
          <w:rFonts w:hint="eastAsia" w:asciiTheme="majorEastAsia" w:hAnsiTheme="majorEastAsia" w:eastAsiaTheme="majorEastAsia" w:cstheme="majorEastAsia"/>
          <w:color w:val="auto"/>
          <w:sz w:val="30"/>
          <w:szCs w:val="30"/>
          <w:lang w:eastAsia="zh-CN"/>
        </w:rPr>
        <w:t>：</w:t>
      </w:r>
      <w:r>
        <w:rPr>
          <w:rFonts w:hint="eastAsia" w:asciiTheme="majorEastAsia" w:hAnsiTheme="majorEastAsia" w:eastAsiaTheme="majorEastAsia" w:cstheme="majorEastAsia"/>
          <w:color w:val="auto"/>
          <w:sz w:val="30"/>
          <w:szCs w:val="30"/>
          <w:u w:val="single"/>
          <w:lang w:val="en-US" w:eastAsia="zh-CN"/>
        </w:rPr>
        <w:t>茶陵县秩堂镇马吉村红色美丽村庄建设项目户外高清P6全彩显示屏采购项目</w:t>
      </w:r>
    </w:p>
    <w:p>
      <w:pPr>
        <w:pStyle w:val="12"/>
        <w:adjustRightInd w:val="0"/>
        <w:snapToGrid w:val="0"/>
        <w:spacing w:line="480" w:lineRule="auto"/>
        <w:ind w:left="178" w:leftChars="85"/>
        <w:rPr>
          <w:rFonts w:hint="eastAsia" w:asciiTheme="majorEastAsia" w:hAnsiTheme="majorEastAsia" w:eastAsiaTheme="majorEastAsia" w:cstheme="majorEastAsia"/>
          <w:color w:val="auto"/>
          <w:sz w:val="30"/>
          <w:szCs w:val="30"/>
          <w:u w:val="single"/>
          <w:lang w:val="en-US" w:eastAsia="zh-CN"/>
        </w:rPr>
      </w:pPr>
      <w:r>
        <w:rPr>
          <w:rFonts w:hint="eastAsia" w:asciiTheme="majorEastAsia" w:hAnsiTheme="majorEastAsia" w:eastAsiaTheme="majorEastAsia" w:cstheme="majorEastAsia"/>
          <w:snapToGrid w:val="0"/>
          <w:color w:val="auto"/>
          <w:sz w:val="30"/>
          <w:szCs w:val="30"/>
          <w:u w:val="none"/>
          <w:lang w:eastAsia="zh-CN"/>
        </w:rPr>
        <w:t>采   购   人</w:t>
      </w:r>
      <w:r>
        <w:rPr>
          <w:rFonts w:hint="eastAsia" w:asciiTheme="majorEastAsia" w:hAnsiTheme="majorEastAsia" w:eastAsiaTheme="majorEastAsia" w:cstheme="majorEastAsia"/>
          <w:color w:val="auto"/>
          <w:sz w:val="30"/>
          <w:szCs w:val="30"/>
          <w:lang w:eastAsia="zh-CN"/>
        </w:rPr>
        <w:t>：</w:t>
      </w:r>
      <w:r>
        <w:rPr>
          <w:rFonts w:hint="eastAsia" w:asciiTheme="majorEastAsia" w:hAnsiTheme="majorEastAsia" w:eastAsiaTheme="majorEastAsia" w:cstheme="majorEastAsia"/>
          <w:color w:val="auto"/>
          <w:sz w:val="30"/>
          <w:szCs w:val="30"/>
          <w:u w:val="single"/>
          <w:lang w:val="en-US" w:eastAsia="zh-CN"/>
        </w:rPr>
        <w:t>茶陵县秩堂镇马吉村村民委员会</w:t>
      </w:r>
    </w:p>
    <w:p>
      <w:pPr>
        <w:pStyle w:val="12"/>
        <w:adjustRightInd w:val="0"/>
        <w:snapToGrid w:val="0"/>
        <w:spacing w:line="480" w:lineRule="auto"/>
        <w:ind w:left="178" w:leftChars="85"/>
        <w:rPr>
          <w:rFonts w:hint="default" w:asciiTheme="majorEastAsia" w:hAnsiTheme="majorEastAsia" w:eastAsiaTheme="majorEastAsia" w:cstheme="majorEastAsia"/>
          <w:color w:val="auto"/>
          <w:sz w:val="30"/>
          <w:szCs w:val="30"/>
          <w:lang w:val="en-US" w:eastAsia="zh-CN"/>
        </w:rPr>
      </w:pPr>
      <w:r>
        <w:rPr>
          <w:rFonts w:hint="eastAsia" w:asciiTheme="majorEastAsia" w:hAnsiTheme="majorEastAsia" w:eastAsiaTheme="majorEastAsia" w:cstheme="majorEastAsia"/>
          <w:color w:val="auto"/>
          <w:sz w:val="30"/>
          <w:szCs w:val="30"/>
        </w:rPr>
        <w:t>委托代理编号:</w:t>
      </w:r>
      <w:r>
        <w:rPr>
          <w:rFonts w:hint="eastAsia" w:asciiTheme="majorEastAsia" w:hAnsiTheme="majorEastAsia" w:eastAsiaTheme="majorEastAsia" w:cstheme="majorEastAsia"/>
          <w:color w:val="auto"/>
          <w:sz w:val="30"/>
          <w:szCs w:val="30"/>
          <w:lang w:eastAsia="zh-CN"/>
        </w:rPr>
        <w:t xml:space="preserve"> HNJST-CL-2022-001</w:t>
      </w:r>
    </w:p>
    <w:p>
      <w:pPr>
        <w:pStyle w:val="12"/>
        <w:adjustRightInd w:val="0"/>
        <w:snapToGrid w:val="0"/>
        <w:spacing w:line="480" w:lineRule="auto"/>
        <w:ind w:left="178" w:leftChars="85"/>
        <w:rPr>
          <w:rFonts w:hint="eastAsia" w:asciiTheme="majorEastAsia" w:hAnsiTheme="majorEastAsia" w:eastAsiaTheme="majorEastAsia" w:cstheme="majorEastAsia"/>
          <w:color w:val="auto"/>
          <w:sz w:val="30"/>
          <w:szCs w:val="30"/>
          <w:lang w:val="en-US" w:eastAsia="zh-CN"/>
        </w:rPr>
      </w:pPr>
      <w:r>
        <w:rPr>
          <w:rFonts w:hint="eastAsia" w:asciiTheme="majorEastAsia" w:hAnsiTheme="majorEastAsia" w:eastAsiaTheme="majorEastAsia" w:cstheme="majorEastAsia"/>
          <w:color w:val="auto"/>
          <w:sz w:val="30"/>
          <w:szCs w:val="30"/>
        </w:rPr>
        <w:t>采购代理机构:</w:t>
      </w:r>
      <w:r>
        <w:rPr>
          <w:rFonts w:hint="eastAsia" w:asciiTheme="majorEastAsia" w:hAnsiTheme="majorEastAsia" w:eastAsiaTheme="majorEastAsia" w:cstheme="majorEastAsia"/>
          <w:color w:val="auto"/>
          <w:sz w:val="30"/>
          <w:szCs w:val="30"/>
          <w:u w:val="none"/>
        </w:rPr>
        <w:t xml:space="preserve"> </w:t>
      </w:r>
      <w:r>
        <w:rPr>
          <w:rFonts w:hint="eastAsia" w:asciiTheme="majorEastAsia" w:hAnsiTheme="majorEastAsia" w:eastAsiaTheme="majorEastAsia" w:cstheme="majorEastAsia"/>
          <w:color w:val="auto"/>
          <w:sz w:val="30"/>
          <w:szCs w:val="30"/>
          <w:u w:val="single"/>
          <w:lang w:val="en-US" w:eastAsia="zh-CN"/>
        </w:rPr>
        <w:t>湖南精算堂工程项目管理有限公司</w:t>
      </w:r>
    </w:p>
    <w:p>
      <w:pPr>
        <w:pStyle w:val="12"/>
        <w:adjustRightInd w:val="0"/>
        <w:snapToGrid w:val="0"/>
        <w:spacing w:line="360" w:lineRule="auto"/>
        <w:rPr>
          <w:rFonts w:hint="eastAsia" w:asciiTheme="majorEastAsia" w:hAnsiTheme="majorEastAsia" w:eastAsiaTheme="majorEastAsia" w:cstheme="majorEastAsia"/>
          <w:b/>
          <w:color w:val="auto"/>
          <w:sz w:val="32"/>
        </w:rPr>
      </w:pPr>
    </w:p>
    <w:p>
      <w:pPr>
        <w:pStyle w:val="12"/>
        <w:adjustRightInd w:val="0"/>
        <w:snapToGrid w:val="0"/>
        <w:spacing w:line="360" w:lineRule="auto"/>
        <w:jc w:val="center"/>
        <w:rPr>
          <w:rFonts w:hint="eastAsia" w:asciiTheme="majorEastAsia" w:hAnsiTheme="majorEastAsia" w:eastAsiaTheme="majorEastAsia" w:cstheme="majorEastAsia"/>
          <w:b/>
          <w:color w:val="auto"/>
          <w:sz w:val="32"/>
        </w:rPr>
      </w:pPr>
    </w:p>
    <w:p>
      <w:pPr>
        <w:pStyle w:val="12"/>
        <w:adjustRightInd w:val="0"/>
        <w:snapToGrid w:val="0"/>
        <w:spacing w:line="360" w:lineRule="auto"/>
        <w:jc w:val="center"/>
        <w:rPr>
          <w:rFonts w:hint="eastAsia" w:asciiTheme="majorEastAsia" w:hAnsiTheme="majorEastAsia" w:eastAsiaTheme="majorEastAsia" w:cstheme="majorEastAsia"/>
          <w:b/>
          <w:color w:val="auto"/>
          <w:sz w:val="32"/>
        </w:rPr>
      </w:pPr>
    </w:p>
    <w:p>
      <w:pPr>
        <w:pStyle w:val="12"/>
        <w:adjustRightInd w:val="0"/>
        <w:snapToGrid w:val="0"/>
        <w:spacing w:line="360" w:lineRule="auto"/>
        <w:jc w:val="center"/>
        <w:rPr>
          <w:rFonts w:hint="eastAsia" w:asciiTheme="majorEastAsia" w:hAnsiTheme="majorEastAsia" w:eastAsiaTheme="majorEastAsia" w:cstheme="majorEastAsia"/>
          <w:b/>
          <w:color w:val="auto"/>
          <w:sz w:val="32"/>
        </w:rPr>
        <w:sectPr>
          <w:footerReference r:id="rId3" w:type="first"/>
          <w:pgSz w:w="11906" w:h="16838"/>
          <w:pgMar w:top="1474" w:right="1531" w:bottom="1474" w:left="1531" w:header="851" w:footer="992" w:gutter="0"/>
          <w:pgNumType w:fmt="decimal" w:start="1"/>
          <w:cols w:space="720" w:num="1"/>
          <w:titlePg/>
          <w:docGrid w:linePitch="312" w:charSpace="0"/>
        </w:sectPr>
      </w:pPr>
      <w:r>
        <w:rPr>
          <w:rFonts w:hint="eastAsia" w:asciiTheme="majorEastAsia" w:hAnsiTheme="majorEastAsia" w:eastAsiaTheme="majorEastAsia" w:cstheme="majorEastAsia"/>
          <w:b/>
          <w:color w:val="auto"/>
          <w:sz w:val="32"/>
        </w:rPr>
        <w:t>20</w:t>
      </w:r>
      <w:r>
        <w:rPr>
          <w:rFonts w:hint="eastAsia" w:asciiTheme="majorEastAsia" w:hAnsiTheme="majorEastAsia" w:eastAsiaTheme="majorEastAsia" w:cstheme="majorEastAsia"/>
          <w:b/>
          <w:color w:val="auto"/>
          <w:sz w:val="32"/>
          <w:lang w:val="en-US" w:eastAsia="zh-CN"/>
        </w:rPr>
        <w:t>22</w:t>
      </w:r>
      <w:r>
        <w:rPr>
          <w:rFonts w:hint="eastAsia" w:asciiTheme="majorEastAsia" w:hAnsiTheme="majorEastAsia" w:eastAsiaTheme="majorEastAsia" w:cstheme="majorEastAsia"/>
          <w:b/>
          <w:color w:val="auto"/>
          <w:sz w:val="32"/>
        </w:rPr>
        <w:t>年</w:t>
      </w:r>
      <w:r>
        <w:rPr>
          <w:rFonts w:hint="eastAsia" w:asciiTheme="majorEastAsia" w:hAnsiTheme="majorEastAsia" w:eastAsiaTheme="majorEastAsia" w:cstheme="majorEastAsia"/>
          <w:b/>
          <w:color w:val="auto"/>
          <w:sz w:val="32"/>
          <w:lang w:val="en-US" w:eastAsia="zh-CN"/>
        </w:rPr>
        <w:t>3月</w:t>
      </w:r>
    </w:p>
    <w:p>
      <w:pPr>
        <w:pStyle w:val="12"/>
        <w:adjustRightInd w:val="0"/>
        <w:snapToGrid w:val="0"/>
        <w:spacing w:line="360" w:lineRule="auto"/>
        <w:jc w:val="center"/>
        <w:rPr>
          <w:rFonts w:hint="eastAsia" w:asciiTheme="majorEastAsia" w:hAnsiTheme="majorEastAsia" w:eastAsiaTheme="majorEastAsia" w:cstheme="majorEastAsia"/>
          <w:b/>
          <w:color w:val="auto"/>
          <w:sz w:val="32"/>
        </w:rPr>
        <w:sectPr>
          <w:footerReference r:id="rId5" w:type="first"/>
          <w:footerReference r:id="rId4" w:type="default"/>
          <w:pgSz w:w="11906" w:h="16838"/>
          <w:pgMar w:top="1474" w:right="1531" w:bottom="1474" w:left="1531" w:header="851" w:footer="992" w:gutter="0"/>
          <w:pgNumType w:fmt="decimal" w:start="1"/>
          <w:cols w:space="720" w:num="1"/>
          <w:titlePg/>
          <w:docGrid w:linePitch="312" w:charSpace="0"/>
        </w:sectPr>
      </w:pPr>
    </w:p>
    <w:p>
      <w:pPr>
        <w:spacing w:line="360" w:lineRule="exact"/>
        <w:rPr>
          <w:rFonts w:hint="eastAsia" w:asciiTheme="majorEastAsia" w:hAnsiTheme="majorEastAsia" w:eastAsiaTheme="majorEastAsia" w:cstheme="majorEastAsia"/>
          <w:b/>
          <w:color w:val="auto"/>
          <w:sz w:val="24"/>
        </w:rPr>
      </w:pPr>
    </w:p>
    <w:sdt>
      <w:sdtPr>
        <w:rPr>
          <w:rFonts w:ascii="宋体" w:hAnsi="宋体" w:eastAsia="宋体" w:cs="Times New Roman"/>
          <w:color w:val="auto"/>
          <w:kern w:val="2"/>
          <w:sz w:val="21"/>
          <w:szCs w:val="24"/>
          <w:lang w:val="en-US" w:eastAsia="zh-CN" w:bidi="ar-SA"/>
        </w:rPr>
        <w:id w:val="147466035"/>
        <w15:color w:val="DBDBDB"/>
        <w:docPartObj>
          <w:docPartGallery w:val="Table of Contents"/>
          <w:docPartUnique/>
        </w:docPartObj>
      </w:sdtPr>
      <w:sdtEndPr>
        <w:rPr>
          <w:rFonts w:hint="eastAsia" w:asciiTheme="majorEastAsia" w:hAnsiTheme="majorEastAsia" w:eastAsiaTheme="majorEastAsia" w:cstheme="majorEastAsia"/>
          <w:b/>
          <w:color w:val="auto"/>
          <w:kern w:val="2"/>
          <w:sz w:val="21"/>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color w:val="auto"/>
              <w:sz w:val="24"/>
              <w:szCs w:val="24"/>
            </w:rPr>
          </w:pPr>
          <w:r>
            <w:rPr>
              <w:rFonts w:hint="eastAsia" w:ascii="黑体" w:hAnsi="黑体" w:eastAsia="黑体" w:cs="黑体"/>
              <w:color w:val="auto"/>
              <w:sz w:val="32"/>
              <w:szCs w:val="32"/>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录</w:t>
          </w:r>
        </w:p>
        <w:p>
          <w:pPr>
            <w:pStyle w:val="16"/>
            <w:tabs>
              <w:tab w:val="right" w:leader="dot" w:pos="8844"/>
            </w:tabs>
          </w:pPr>
          <w:r>
            <w:rPr>
              <w:rFonts w:hint="eastAsia" w:asciiTheme="majorEastAsia" w:hAnsiTheme="majorEastAsia" w:eastAsiaTheme="majorEastAsia" w:cstheme="majorEastAsia"/>
              <w:b/>
              <w:color w:val="auto"/>
              <w:sz w:val="24"/>
              <w:szCs w:val="24"/>
            </w:rPr>
            <w:fldChar w:fldCharType="begin"/>
          </w:r>
          <w:r>
            <w:rPr>
              <w:rFonts w:hint="eastAsia" w:asciiTheme="majorEastAsia" w:hAnsiTheme="majorEastAsia" w:eastAsiaTheme="majorEastAsia" w:cstheme="majorEastAsia"/>
              <w:b/>
              <w:color w:val="auto"/>
              <w:sz w:val="24"/>
              <w:szCs w:val="24"/>
            </w:rPr>
            <w:instrText xml:space="preserve">TOC \o "1-2" \h \u </w:instrText>
          </w:r>
          <w:r>
            <w:rPr>
              <w:rFonts w:hint="eastAsia" w:asciiTheme="majorEastAsia" w:hAnsiTheme="majorEastAsia" w:eastAsiaTheme="majorEastAsia" w:cstheme="majorEastAsia"/>
              <w:b/>
              <w:color w:val="auto"/>
              <w:sz w:val="24"/>
              <w:szCs w:val="24"/>
            </w:rPr>
            <w:fldChar w:fldCharType="separate"/>
          </w: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_Toc31191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32"/>
              <w:lang w:eastAsia="zh-CN"/>
            </w:rPr>
            <w:t>第一章</w:t>
          </w:r>
          <w:r>
            <w:rPr>
              <w:rFonts w:hint="eastAsia" w:asciiTheme="majorEastAsia" w:hAnsiTheme="majorEastAsia" w:eastAsiaTheme="majorEastAsia" w:cstheme="majorEastAsia"/>
              <w:szCs w:val="32"/>
            </w:rPr>
            <w:t xml:space="preserve">  磋商通知</w:t>
          </w:r>
          <w:r>
            <w:tab/>
          </w:r>
          <w:r>
            <w:rPr>
              <w:rFonts w:hint="eastAsia"/>
              <w:lang w:val="en-US" w:eastAsia="zh-CN"/>
            </w:rPr>
            <w:t>1</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_Toc2301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一、项目概况</w:t>
          </w:r>
          <w:r>
            <w:tab/>
          </w:r>
          <w:r>
            <w:rPr>
              <w:rFonts w:hint="eastAsia"/>
              <w:lang w:val="en-US" w:eastAsia="zh-CN"/>
            </w:rPr>
            <w:t>1</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_Toc14955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二、采购项目标的、数量及预算</w:t>
          </w:r>
          <w:r>
            <w:tab/>
          </w:r>
          <w:r>
            <w:rPr>
              <w:rFonts w:hint="eastAsia"/>
              <w:lang w:val="en-US" w:eastAsia="zh-CN"/>
            </w:rPr>
            <w:t>1</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_Toc3120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三、供应商资质要求</w:t>
          </w:r>
          <w:r>
            <w:tab/>
          </w:r>
          <w:r>
            <w:rPr>
              <w:rFonts w:hint="eastAsia"/>
              <w:lang w:val="en-US" w:eastAsia="zh-CN"/>
            </w:rPr>
            <w:t>1</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_Toc7336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四、获取磋商文件的时间、地点及方式</w:t>
          </w:r>
          <w:r>
            <w:tab/>
          </w:r>
          <w:r>
            <w:rPr>
              <w:rFonts w:hint="eastAsia"/>
              <w:lang w:val="en-US" w:eastAsia="zh-CN"/>
            </w:rPr>
            <w:t>2</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_Toc29207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五、响应文件提交的截止时间、开启时间及地点</w:t>
          </w:r>
          <w:r>
            <w:tab/>
          </w:r>
          <w:r>
            <w:rPr>
              <w:rFonts w:hint="eastAsia"/>
              <w:lang w:val="en-US" w:eastAsia="zh-CN"/>
            </w:rPr>
            <w:t>2</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_Toc21686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六、公告期限</w:t>
          </w:r>
          <w:r>
            <w:tab/>
          </w:r>
          <w:r>
            <w:rPr>
              <w:rFonts w:hint="eastAsia"/>
              <w:lang w:val="en-US" w:eastAsia="zh-CN"/>
            </w:rPr>
            <w:t>2</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_Toc24008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七、疑问及质疑</w:t>
          </w:r>
          <w:r>
            <w:tab/>
          </w:r>
          <w:r>
            <w:rPr>
              <w:rFonts w:hint="eastAsia"/>
              <w:lang w:val="en-US" w:eastAsia="zh-CN"/>
            </w:rPr>
            <w:t>2</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_Toc25265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八、联系方式</w:t>
          </w:r>
          <w:r>
            <w:tab/>
          </w:r>
          <w:r>
            <w:rPr>
              <w:rFonts w:hint="eastAsia"/>
              <w:lang w:val="en-US" w:eastAsia="zh-CN"/>
            </w:rPr>
            <w:t>2</w:t>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_Toc6856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九、其他补充事项</w:t>
          </w:r>
          <w:r>
            <w:tab/>
          </w:r>
          <w:r>
            <w:rPr>
              <w:rFonts w:hint="eastAsia"/>
              <w:lang w:val="en-US" w:eastAsia="zh-CN"/>
            </w:rPr>
            <w:t>3</w:t>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_Toc26756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32"/>
            </w:rPr>
            <w:t>第二章 磋商须知</w:t>
          </w:r>
          <w:r>
            <w:tab/>
          </w:r>
          <w:r>
            <w:fldChar w:fldCharType="begin"/>
          </w:r>
          <w:r>
            <w:instrText xml:space="preserve"> PAGEREF _Toc26756 \h </w:instrText>
          </w:r>
          <w:r>
            <w:fldChar w:fldCharType="separate"/>
          </w:r>
          <w:r>
            <w:t>4</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_Toc32254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24"/>
            </w:rPr>
            <w:t>磋商须知前附表</w:t>
          </w:r>
          <w:r>
            <w:tab/>
          </w:r>
          <w:r>
            <w:fldChar w:fldCharType="begin"/>
          </w:r>
          <w:r>
            <w:instrText xml:space="preserve"> PAGEREF _Toc32254 \h </w:instrText>
          </w:r>
          <w:r>
            <w:fldChar w:fldCharType="separate"/>
          </w:r>
          <w:r>
            <w:t>4</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_Toc24434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28"/>
            </w:rPr>
            <w:t>磋商须知正文</w:t>
          </w:r>
          <w:r>
            <w:tab/>
          </w:r>
          <w:r>
            <w:fldChar w:fldCharType="begin"/>
          </w:r>
          <w:r>
            <w:instrText xml:space="preserve"> PAGEREF _Toc24434 \h </w:instrText>
          </w:r>
          <w:r>
            <w:fldChar w:fldCharType="separate"/>
          </w:r>
          <w:r>
            <w:t>20</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_Toc15259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32"/>
              <w:lang w:val="en-US" w:eastAsia="zh-CN"/>
            </w:rPr>
            <w:t>第三章 资格审查</w:t>
          </w:r>
          <w:r>
            <w:tab/>
          </w:r>
          <w:r>
            <w:fldChar w:fldCharType="begin"/>
          </w:r>
          <w:r>
            <w:instrText xml:space="preserve"> PAGEREF _Toc15259 \h </w:instrText>
          </w:r>
          <w:r>
            <w:fldChar w:fldCharType="separate"/>
          </w:r>
          <w:r>
            <w:t>32</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_Toc13057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1.</w:t>
          </w:r>
          <w:r>
            <w:rPr>
              <w:rFonts w:hint="eastAsia" w:asciiTheme="majorEastAsia" w:hAnsiTheme="majorEastAsia" w:eastAsiaTheme="majorEastAsia" w:cstheme="majorEastAsia"/>
              <w:bCs/>
              <w:lang w:eastAsia="zh-CN"/>
            </w:rPr>
            <w:t>资格审查主体</w:t>
          </w:r>
          <w:r>
            <w:tab/>
          </w:r>
          <w:r>
            <w:fldChar w:fldCharType="begin"/>
          </w:r>
          <w:r>
            <w:instrText xml:space="preserve"> PAGEREF _Toc13057 \h </w:instrText>
          </w:r>
          <w:r>
            <w:fldChar w:fldCharType="separate"/>
          </w:r>
          <w:r>
            <w:t>32</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_Toc16601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2.</w:t>
          </w:r>
          <w:r>
            <w:rPr>
              <w:rFonts w:hint="eastAsia" w:asciiTheme="majorEastAsia" w:hAnsiTheme="majorEastAsia" w:eastAsiaTheme="majorEastAsia" w:cstheme="majorEastAsia"/>
              <w:bCs/>
            </w:rPr>
            <w:t>资格审查</w:t>
          </w:r>
          <w:r>
            <w:tab/>
          </w:r>
          <w:r>
            <w:fldChar w:fldCharType="begin"/>
          </w:r>
          <w:r>
            <w:instrText xml:space="preserve"> PAGEREF _Toc16601 \h </w:instrText>
          </w:r>
          <w:r>
            <w:fldChar w:fldCharType="separate"/>
          </w:r>
          <w:r>
            <w:t>32</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_Toc13351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3.资格审查结果</w:t>
          </w:r>
          <w:r>
            <w:tab/>
          </w:r>
          <w:r>
            <w:fldChar w:fldCharType="begin"/>
          </w:r>
          <w:r>
            <w:instrText xml:space="preserve"> PAGEREF _Toc13351 \h </w:instrText>
          </w:r>
          <w:r>
            <w:fldChar w:fldCharType="separate"/>
          </w:r>
          <w:r>
            <w:t>32</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_Toc22770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lang w:val="en-US" w:eastAsia="zh-CN"/>
            </w:rPr>
            <w:t>4.其他</w:t>
          </w:r>
          <w:r>
            <w:tab/>
          </w:r>
          <w:r>
            <w:fldChar w:fldCharType="begin"/>
          </w:r>
          <w:r>
            <w:instrText xml:space="preserve"> PAGEREF _Toc22770 \h </w:instrText>
          </w:r>
          <w:r>
            <w:fldChar w:fldCharType="separate"/>
          </w:r>
          <w:r>
            <w:t>32</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_Toc12000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32"/>
            </w:rPr>
            <w:t>第</w:t>
          </w:r>
          <w:r>
            <w:rPr>
              <w:rFonts w:hint="eastAsia" w:asciiTheme="majorEastAsia" w:hAnsiTheme="majorEastAsia" w:eastAsiaTheme="majorEastAsia" w:cstheme="majorEastAsia"/>
              <w:bCs/>
              <w:szCs w:val="32"/>
              <w:lang w:eastAsia="zh-CN"/>
            </w:rPr>
            <w:t>四</w:t>
          </w:r>
          <w:r>
            <w:rPr>
              <w:rFonts w:hint="eastAsia" w:asciiTheme="majorEastAsia" w:hAnsiTheme="majorEastAsia" w:eastAsiaTheme="majorEastAsia" w:cstheme="majorEastAsia"/>
              <w:bCs/>
              <w:szCs w:val="32"/>
            </w:rPr>
            <w:t>章 评审办法及标准</w:t>
          </w:r>
          <w:r>
            <w:tab/>
          </w:r>
          <w:r>
            <w:fldChar w:fldCharType="begin"/>
          </w:r>
          <w:r>
            <w:instrText xml:space="preserve"> PAGEREF _Toc12000 \h </w:instrText>
          </w:r>
          <w:r>
            <w:fldChar w:fldCharType="separate"/>
          </w:r>
          <w:r>
            <w:t>36</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_Toc24277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21"/>
            </w:rPr>
            <w:t>1.磋商小组</w:t>
          </w:r>
          <w:r>
            <w:tab/>
          </w:r>
          <w:r>
            <w:fldChar w:fldCharType="begin"/>
          </w:r>
          <w:r>
            <w:instrText xml:space="preserve"> PAGEREF _Toc24277 \h </w:instrText>
          </w:r>
          <w:r>
            <w:fldChar w:fldCharType="separate"/>
          </w:r>
          <w:r>
            <w:t>36</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_Toc32167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21"/>
            </w:rPr>
            <w:t>2.</w:t>
          </w:r>
          <w:r>
            <w:rPr>
              <w:rFonts w:hint="eastAsia" w:asciiTheme="majorEastAsia" w:hAnsiTheme="majorEastAsia" w:eastAsiaTheme="majorEastAsia" w:cstheme="majorEastAsia"/>
              <w:szCs w:val="21"/>
            </w:rPr>
            <w:t>评审方法</w:t>
          </w:r>
          <w:r>
            <w:tab/>
          </w:r>
          <w:r>
            <w:fldChar w:fldCharType="begin"/>
          </w:r>
          <w:r>
            <w:instrText xml:space="preserve"> PAGEREF _Toc32167 \h </w:instrText>
          </w:r>
          <w:r>
            <w:fldChar w:fldCharType="separate"/>
          </w:r>
          <w:r>
            <w:t>36</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_Toc2387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21"/>
            </w:rPr>
            <w:t>3.比较与评价</w:t>
          </w:r>
          <w:r>
            <w:tab/>
          </w:r>
          <w:r>
            <w:fldChar w:fldCharType="begin"/>
          </w:r>
          <w:r>
            <w:instrText xml:space="preserve"> PAGEREF _Toc2387 \h </w:instrText>
          </w:r>
          <w:r>
            <w:fldChar w:fldCharType="separate"/>
          </w:r>
          <w:r>
            <w:t>36</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_Toc4441 </w:instrText>
          </w:r>
          <w:r>
            <w:rPr>
              <w:rFonts w:hint="eastAsia" w:asciiTheme="majorEastAsia" w:hAnsiTheme="majorEastAsia" w:eastAsiaTheme="majorEastAsia" w:cstheme="majorEastAsia"/>
              <w:szCs w:val="24"/>
            </w:rPr>
            <w:fldChar w:fldCharType="separate"/>
          </w:r>
          <w:r>
            <w:rPr>
              <w:rFonts w:hint="eastAsia" w:ascii="宋体" w:hAnsi="宋体" w:eastAsia="宋体" w:cs="宋体"/>
              <w:szCs w:val="20"/>
            </w:rPr>
            <w:t>4.推荐成交候选人名单</w:t>
          </w:r>
          <w:r>
            <w:tab/>
          </w:r>
          <w:r>
            <w:fldChar w:fldCharType="begin"/>
          </w:r>
          <w:r>
            <w:instrText xml:space="preserve"> PAGEREF _Toc4441 \h </w:instrText>
          </w:r>
          <w:r>
            <w:fldChar w:fldCharType="separate"/>
          </w:r>
          <w:r>
            <w:t>38</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_Toc3546 </w:instrText>
          </w:r>
          <w:r>
            <w:rPr>
              <w:rFonts w:hint="eastAsia" w:asciiTheme="majorEastAsia" w:hAnsiTheme="majorEastAsia" w:eastAsiaTheme="majorEastAsia" w:cstheme="majorEastAsia"/>
              <w:szCs w:val="24"/>
            </w:rPr>
            <w:fldChar w:fldCharType="separate"/>
          </w:r>
          <w:r>
            <w:rPr>
              <w:rFonts w:hint="eastAsia" w:ascii="宋体" w:hAnsi="宋体" w:eastAsia="宋体" w:cs="宋体"/>
              <w:szCs w:val="32"/>
              <w:lang w:eastAsia="zh-CN"/>
            </w:rPr>
            <w:t>第五章</w:t>
          </w:r>
          <w:r>
            <w:rPr>
              <w:rFonts w:hint="eastAsia" w:ascii="宋体" w:hAnsi="宋体" w:eastAsia="宋体" w:cs="宋体"/>
              <w:szCs w:val="32"/>
              <w:lang w:val="en-US" w:eastAsia="zh-CN"/>
            </w:rPr>
            <w:t xml:space="preserve">  </w:t>
          </w:r>
          <w:r>
            <w:rPr>
              <w:rFonts w:hint="eastAsia" w:ascii="宋体" w:hAnsi="宋体" w:eastAsia="宋体" w:cs="宋体"/>
              <w:szCs w:val="32"/>
              <w:lang w:eastAsia="zh-CN"/>
            </w:rPr>
            <w:t>政府采购合同格式</w:t>
          </w:r>
          <w:r>
            <w:tab/>
          </w:r>
          <w:r>
            <w:fldChar w:fldCharType="begin"/>
          </w:r>
          <w:r>
            <w:instrText xml:space="preserve"> PAGEREF _Toc3546 \h </w:instrText>
          </w:r>
          <w:r>
            <w:fldChar w:fldCharType="separate"/>
          </w:r>
          <w:r>
            <w:t>41</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_Toc22924 </w:instrText>
          </w:r>
          <w:r>
            <w:rPr>
              <w:rFonts w:hint="eastAsia" w:asciiTheme="majorEastAsia" w:hAnsiTheme="majorEastAsia" w:eastAsiaTheme="majorEastAsia" w:cstheme="majorEastAsia"/>
              <w:szCs w:val="24"/>
            </w:rPr>
            <w:fldChar w:fldCharType="separate"/>
          </w:r>
          <w:r>
            <w:rPr>
              <w:rFonts w:hint="eastAsia" w:ascii="宋体" w:hAnsi="宋体" w:cs="宋体"/>
              <w:szCs w:val="32"/>
              <w:lang w:eastAsia="zh-CN"/>
            </w:rPr>
            <w:t>第一节</w:t>
          </w:r>
          <w:r>
            <w:rPr>
              <w:rFonts w:hint="eastAsia" w:ascii="宋体" w:hAnsi="宋体" w:cs="宋体"/>
              <w:szCs w:val="32"/>
              <w:lang w:val="en-US" w:eastAsia="zh-CN"/>
            </w:rPr>
            <w:t xml:space="preserve"> </w:t>
          </w:r>
          <w:r>
            <w:rPr>
              <w:rFonts w:hint="eastAsia" w:ascii="宋体" w:hAnsi="宋体" w:cs="宋体"/>
              <w:szCs w:val="32"/>
            </w:rPr>
            <w:t>政府采购合同协议书</w:t>
          </w:r>
          <w:r>
            <w:tab/>
          </w:r>
          <w:r>
            <w:fldChar w:fldCharType="begin"/>
          </w:r>
          <w:r>
            <w:instrText xml:space="preserve"> PAGEREF _Toc22924 \h </w:instrText>
          </w:r>
          <w:r>
            <w:fldChar w:fldCharType="separate"/>
          </w:r>
          <w:r>
            <w:t>41</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_Toc30211 </w:instrText>
          </w:r>
          <w:r>
            <w:rPr>
              <w:rFonts w:hint="eastAsia" w:asciiTheme="majorEastAsia" w:hAnsiTheme="majorEastAsia" w:eastAsiaTheme="majorEastAsia" w:cstheme="majorEastAsia"/>
              <w:szCs w:val="24"/>
            </w:rPr>
            <w:fldChar w:fldCharType="separate"/>
          </w:r>
          <w:r>
            <w:rPr>
              <w:rFonts w:hint="eastAsia" w:ascii="宋体" w:hAnsi="宋体" w:cs="宋体"/>
              <w:szCs w:val="32"/>
              <w:lang w:eastAsia="zh-CN"/>
            </w:rPr>
            <w:t>第二节</w:t>
          </w:r>
          <w:r>
            <w:rPr>
              <w:rFonts w:hint="eastAsia" w:ascii="宋体" w:hAnsi="宋体" w:cs="宋体"/>
              <w:szCs w:val="32"/>
              <w:lang w:val="en-US" w:eastAsia="zh-CN"/>
            </w:rPr>
            <w:t xml:space="preserve"> </w:t>
          </w:r>
          <w:r>
            <w:rPr>
              <w:rFonts w:hint="eastAsia" w:ascii="宋体" w:hAnsi="宋体" w:eastAsia="宋体" w:cs="宋体"/>
              <w:szCs w:val="32"/>
              <w:lang w:eastAsia="zh-CN"/>
            </w:rPr>
            <w:t>合同</w:t>
          </w:r>
          <w:r>
            <w:rPr>
              <w:rFonts w:hint="eastAsia" w:ascii="宋体" w:hAnsi="宋体" w:eastAsia="宋体" w:cs="宋体"/>
              <w:szCs w:val="32"/>
            </w:rPr>
            <w:t>条款</w:t>
          </w:r>
          <w:r>
            <w:tab/>
          </w:r>
          <w:r>
            <w:fldChar w:fldCharType="begin"/>
          </w:r>
          <w:r>
            <w:instrText xml:space="preserve"> PAGEREF _Toc30211 \h </w:instrText>
          </w:r>
          <w:r>
            <w:fldChar w:fldCharType="separate"/>
          </w:r>
          <w:r>
            <w:t>43</w:t>
          </w:r>
          <w:r>
            <w:fldChar w:fldCharType="end"/>
          </w:r>
          <w:r>
            <w:rPr>
              <w:rFonts w:hint="eastAsia" w:asciiTheme="majorEastAsia" w:hAnsiTheme="majorEastAsia" w:eastAsiaTheme="majorEastAsia" w:cstheme="majorEastAsia"/>
              <w:color w:val="auto"/>
              <w:szCs w:val="24"/>
            </w:rPr>
            <w:fldChar w:fldCharType="end"/>
          </w:r>
        </w:p>
        <w:p>
          <w:pPr>
            <w:pStyle w:val="16"/>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_Toc6253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szCs w:val="32"/>
              <w:lang w:eastAsia="zh-CN"/>
            </w:rPr>
            <w:t>第六章</w:t>
          </w:r>
          <w:r>
            <w:rPr>
              <w:rFonts w:hint="eastAsia" w:asciiTheme="majorEastAsia" w:hAnsiTheme="majorEastAsia" w:eastAsiaTheme="majorEastAsia" w:cstheme="majorEastAsia"/>
              <w:szCs w:val="32"/>
              <w:lang w:val="en-US" w:eastAsia="zh-CN"/>
            </w:rPr>
            <w:t xml:space="preserve"> </w:t>
          </w:r>
          <w:r>
            <w:rPr>
              <w:rFonts w:hint="eastAsia" w:asciiTheme="majorEastAsia" w:hAnsiTheme="majorEastAsia" w:eastAsiaTheme="majorEastAsia" w:cstheme="majorEastAsia"/>
              <w:szCs w:val="32"/>
            </w:rPr>
            <w:t>采购需求</w:t>
          </w:r>
          <w:r>
            <w:tab/>
          </w:r>
          <w:r>
            <w:fldChar w:fldCharType="begin"/>
          </w:r>
          <w:r>
            <w:instrText xml:space="preserve"> PAGEREF _Toc6253 \h </w:instrText>
          </w:r>
          <w:r>
            <w:fldChar w:fldCharType="separate"/>
          </w:r>
          <w:r>
            <w:t>44</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_Toc9839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21"/>
            </w:rPr>
            <w:t>一、项目概况</w:t>
          </w:r>
          <w:r>
            <w:tab/>
          </w:r>
          <w:r>
            <w:fldChar w:fldCharType="begin"/>
          </w:r>
          <w:r>
            <w:instrText xml:space="preserve"> PAGEREF _Toc9839 \h </w:instrText>
          </w:r>
          <w:r>
            <w:fldChar w:fldCharType="separate"/>
          </w:r>
          <w:r>
            <w:t>44</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_Toc18068 </w:instrText>
          </w:r>
          <w:r>
            <w:rPr>
              <w:rFonts w:hint="eastAsia" w:asciiTheme="majorEastAsia" w:hAnsiTheme="majorEastAsia" w:eastAsiaTheme="majorEastAsia" w:cstheme="majorEastAsia"/>
              <w:szCs w:val="24"/>
            </w:rPr>
            <w:fldChar w:fldCharType="separate"/>
          </w:r>
          <w:r>
            <w:rPr>
              <w:rFonts w:hint="eastAsia" w:ascii="宋体" w:hAnsi="宋体" w:eastAsia="宋体" w:cs="宋体"/>
              <w:bCs/>
              <w:szCs w:val="21"/>
              <w:highlight w:val="none"/>
              <w:lang w:eastAsia="zh-CN"/>
            </w:rPr>
            <w:t>二、实施要求</w:t>
          </w:r>
          <w:r>
            <w:tab/>
          </w:r>
          <w:r>
            <w:fldChar w:fldCharType="begin"/>
          </w:r>
          <w:r>
            <w:instrText xml:space="preserve"> PAGEREF _Toc18068 \h </w:instrText>
          </w:r>
          <w:r>
            <w:fldChar w:fldCharType="separate"/>
          </w:r>
          <w:r>
            <w:t>44</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_Toc18902 </w:instrText>
          </w:r>
          <w:r>
            <w:rPr>
              <w:rFonts w:hint="eastAsia" w:asciiTheme="majorEastAsia" w:hAnsiTheme="majorEastAsia" w:eastAsiaTheme="majorEastAsia" w:cstheme="majorEastAsia"/>
              <w:szCs w:val="24"/>
            </w:rPr>
            <w:fldChar w:fldCharType="separate"/>
          </w:r>
          <w:r>
            <w:rPr>
              <w:rFonts w:hint="eastAsia" w:asciiTheme="majorEastAsia" w:hAnsiTheme="majorEastAsia" w:eastAsiaTheme="majorEastAsia" w:cstheme="majorEastAsia"/>
              <w:bCs/>
              <w:szCs w:val="21"/>
              <w:lang w:eastAsia="zh-CN"/>
            </w:rPr>
            <w:t>三</w:t>
          </w:r>
          <w:r>
            <w:rPr>
              <w:rFonts w:hint="eastAsia" w:asciiTheme="majorEastAsia" w:hAnsiTheme="majorEastAsia" w:eastAsiaTheme="majorEastAsia" w:cstheme="majorEastAsia"/>
              <w:bCs/>
              <w:szCs w:val="21"/>
            </w:rPr>
            <w:t>、</w:t>
          </w:r>
          <w:r>
            <w:rPr>
              <w:rFonts w:hint="eastAsia" w:asciiTheme="majorEastAsia" w:hAnsiTheme="majorEastAsia" w:eastAsiaTheme="majorEastAsia" w:cstheme="majorEastAsia"/>
              <w:bCs/>
              <w:szCs w:val="21"/>
              <w:lang w:val="en-US" w:eastAsia="zh-CN"/>
            </w:rPr>
            <w:t>采购标的的技术规格与参数要求及数量</w:t>
          </w:r>
          <w:r>
            <w:tab/>
          </w:r>
          <w:r>
            <w:fldChar w:fldCharType="begin"/>
          </w:r>
          <w:r>
            <w:instrText xml:space="preserve"> PAGEREF _Toc18902 \h </w:instrText>
          </w:r>
          <w:r>
            <w:fldChar w:fldCharType="separate"/>
          </w:r>
          <w:r>
            <w:t>44</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_Toc10540 </w:instrText>
          </w:r>
          <w:r>
            <w:rPr>
              <w:rFonts w:hint="eastAsia" w:asciiTheme="majorEastAsia" w:hAnsiTheme="majorEastAsia" w:eastAsiaTheme="majorEastAsia" w:cstheme="majorEastAsia"/>
              <w:szCs w:val="24"/>
            </w:rPr>
            <w:fldChar w:fldCharType="separate"/>
          </w:r>
          <w:r>
            <w:rPr>
              <w:rFonts w:hint="eastAsia" w:ascii="宋体" w:hAnsi="宋体"/>
              <w:bCs/>
              <w:szCs w:val="21"/>
              <w:highlight w:val="none"/>
              <w:lang w:val="en-US" w:eastAsia="zh-CN"/>
            </w:rPr>
            <w:t>四、其他规定</w:t>
          </w:r>
          <w:r>
            <w:tab/>
          </w:r>
          <w:r>
            <w:fldChar w:fldCharType="begin"/>
          </w:r>
          <w:r>
            <w:instrText xml:space="preserve"> PAGEREF _Toc10540 \h </w:instrText>
          </w:r>
          <w:r>
            <w:fldChar w:fldCharType="separate"/>
          </w:r>
          <w:r>
            <w:t>48</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_Toc25671 </w:instrText>
          </w:r>
          <w:r>
            <w:rPr>
              <w:rFonts w:hint="eastAsia" w:asciiTheme="majorEastAsia" w:hAnsiTheme="majorEastAsia" w:eastAsiaTheme="majorEastAsia" w:cstheme="majorEastAsia"/>
              <w:szCs w:val="24"/>
            </w:rPr>
            <w:fldChar w:fldCharType="separate"/>
          </w:r>
          <w:r>
            <w:rPr>
              <w:rFonts w:hint="eastAsia" w:ascii="黑体" w:eastAsia="黑体"/>
              <w:spacing w:val="-3"/>
            </w:rPr>
            <w:t>第一部分 资格证明文件</w:t>
          </w:r>
          <w:r>
            <w:tab/>
          </w:r>
          <w:r>
            <w:fldChar w:fldCharType="begin"/>
          </w:r>
          <w:r>
            <w:instrText xml:space="preserve"> PAGEREF _Toc25671 \h </w:instrText>
          </w:r>
          <w:r>
            <w:fldChar w:fldCharType="separate"/>
          </w:r>
          <w:r>
            <w:t>50</w:t>
          </w:r>
          <w:r>
            <w:fldChar w:fldCharType="end"/>
          </w:r>
          <w:r>
            <w:rPr>
              <w:rFonts w:hint="eastAsia" w:asciiTheme="majorEastAsia" w:hAnsiTheme="majorEastAsia" w:eastAsiaTheme="majorEastAsia" w:cstheme="majorEastAsia"/>
              <w:color w:val="auto"/>
              <w:szCs w:val="24"/>
            </w:rPr>
            <w:fldChar w:fldCharType="end"/>
          </w:r>
        </w:p>
        <w:p>
          <w:pPr>
            <w:pStyle w:val="17"/>
            <w:tabs>
              <w:tab w:val="right" w:leader="dot" w:pos="8844"/>
            </w:tabs>
          </w:pPr>
          <w:r>
            <w:rPr>
              <w:rFonts w:hint="eastAsia" w:asciiTheme="majorEastAsia" w:hAnsiTheme="majorEastAsia" w:eastAsiaTheme="majorEastAsia" w:cstheme="majorEastAsia"/>
              <w:color w:val="auto"/>
              <w:szCs w:val="24"/>
            </w:rPr>
            <w:fldChar w:fldCharType="begin"/>
          </w:r>
          <w:r>
            <w:rPr>
              <w:rFonts w:hint="eastAsia" w:asciiTheme="majorEastAsia" w:hAnsiTheme="majorEastAsia" w:eastAsiaTheme="majorEastAsia" w:cstheme="majorEastAsia"/>
              <w:szCs w:val="24"/>
            </w:rPr>
            <w:instrText xml:space="preserve"> HYPERLINK \l _Toc581 </w:instrText>
          </w:r>
          <w:r>
            <w:rPr>
              <w:rFonts w:hint="eastAsia" w:asciiTheme="majorEastAsia" w:hAnsiTheme="majorEastAsia" w:eastAsiaTheme="majorEastAsia" w:cstheme="majorEastAsia"/>
              <w:szCs w:val="24"/>
            </w:rPr>
            <w:fldChar w:fldCharType="separate"/>
          </w:r>
          <w:r>
            <w:rPr>
              <w:rFonts w:hint="eastAsia" w:ascii="黑体" w:hAnsi="黑体" w:eastAsia="黑体"/>
              <w:szCs w:val="44"/>
            </w:rPr>
            <w:t>第二部分 商务技术文件</w:t>
          </w:r>
          <w:r>
            <w:tab/>
          </w:r>
          <w:r>
            <w:fldChar w:fldCharType="begin"/>
          </w:r>
          <w:r>
            <w:instrText xml:space="preserve"> PAGEREF _Toc581 \h </w:instrText>
          </w:r>
          <w:r>
            <w:fldChar w:fldCharType="separate"/>
          </w:r>
          <w:r>
            <w:t>65</w:t>
          </w:r>
          <w:r>
            <w:fldChar w:fldCharType="end"/>
          </w:r>
          <w:r>
            <w:rPr>
              <w:rFonts w:hint="eastAsia" w:asciiTheme="majorEastAsia" w:hAnsiTheme="majorEastAsia" w:eastAsiaTheme="majorEastAsia" w:cstheme="majorEastAsia"/>
              <w:color w:val="auto"/>
              <w:szCs w:val="24"/>
            </w:rPr>
            <w:fldChar w:fldCharType="end"/>
          </w:r>
        </w:p>
        <w:p>
          <w:pPr>
            <w:numPr>
              <w:ilvl w:val="0"/>
              <w:numId w:val="0"/>
            </w:numPr>
            <w:spacing w:before="240" w:beforeLines="100" w:after="120" w:afterLines="50" w:line="360" w:lineRule="exact"/>
            <w:jc w:val="both"/>
            <w:rPr>
              <w:rFonts w:hint="eastAsia" w:asciiTheme="majorEastAsia" w:hAnsiTheme="majorEastAsia" w:eastAsiaTheme="majorEastAsia" w:cstheme="majorEastAsia"/>
              <w:b/>
              <w:color w:val="auto"/>
              <w:sz w:val="32"/>
              <w:szCs w:val="32"/>
            </w:rPr>
            <w:sectPr>
              <w:footerReference r:id="rId6" w:type="default"/>
              <w:pgSz w:w="11906" w:h="16838"/>
              <w:pgMar w:top="1474" w:right="1531" w:bottom="1474" w:left="1531" w:header="851" w:footer="992" w:gutter="0"/>
              <w:pgNumType w:fmt="decimal" w:start="1"/>
              <w:cols w:space="720" w:num="1"/>
              <w:docGrid w:linePitch="312" w:charSpace="0"/>
            </w:sectPr>
          </w:pPr>
          <w:r>
            <w:rPr>
              <w:rFonts w:hint="eastAsia" w:asciiTheme="majorEastAsia" w:hAnsiTheme="majorEastAsia" w:eastAsiaTheme="majorEastAsia" w:cstheme="majorEastAsia"/>
              <w:color w:val="auto"/>
              <w:szCs w:val="24"/>
            </w:rPr>
            <w:fldChar w:fldCharType="end"/>
          </w:r>
        </w:p>
      </w:sdtContent>
    </w:sdt>
    <w:p>
      <w:pPr>
        <w:numPr>
          <w:ilvl w:val="0"/>
          <w:numId w:val="0"/>
        </w:numPr>
        <w:spacing w:before="240" w:beforeLines="100" w:after="120" w:afterLines="50" w:line="360" w:lineRule="exact"/>
        <w:jc w:val="center"/>
        <w:outlineLvl w:val="0"/>
        <w:rPr>
          <w:rFonts w:hint="eastAsia" w:asciiTheme="majorEastAsia" w:hAnsiTheme="majorEastAsia" w:eastAsiaTheme="majorEastAsia" w:cstheme="majorEastAsia"/>
          <w:b/>
          <w:color w:val="auto"/>
          <w:sz w:val="32"/>
          <w:szCs w:val="32"/>
          <w:lang w:eastAsia="zh-CN"/>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numPr>
          <w:ilvl w:val="0"/>
          <w:numId w:val="0"/>
        </w:numPr>
        <w:spacing w:before="240" w:beforeLines="100" w:after="120" w:afterLines="50" w:line="360" w:lineRule="exact"/>
        <w:jc w:val="center"/>
        <w:outlineLvl w:val="0"/>
        <w:rPr>
          <w:rFonts w:hint="eastAsia" w:asciiTheme="majorEastAsia" w:hAnsiTheme="majorEastAsia" w:eastAsiaTheme="majorEastAsia" w:cstheme="majorEastAsia"/>
          <w:b/>
          <w:color w:val="auto"/>
          <w:sz w:val="32"/>
          <w:szCs w:val="32"/>
        </w:rPr>
      </w:pPr>
      <w:bookmarkStart w:id="0" w:name="_Toc31191"/>
      <w:r>
        <w:rPr>
          <w:rFonts w:hint="eastAsia" w:asciiTheme="majorEastAsia" w:hAnsiTheme="majorEastAsia" w:eastAsiaTheme="majorEastAsia" w:cstheme="majorEastAsia"/>
          <w:b/>
          <w:color w:val="auto"/>
          <w:sz w:val="32"/>
          <w:szCs w:val="32"/>
          <w:lang w:eastAsia="zh-CN"/>
        </w:rPr>
        <w:t>第一章</w:t>
      </w:r>
      <w:r>
        <w:rPr>
          <w:rFonts w:hint="eastAsia" w:asciiTheme="majorEastAsia" w:hAnsiTheme="majorEastAsia" w:eastAsiaTheme="majorEastAsia" w:cstheme="majorEastAsia"/>
          <w:b/>
          <w:color w:val="auto"/>
          <w:sz w:val="32"/>
          <w:szCs w:val="32"/>
        </w:rPr>
        <w:t xml:space="preserve">  磋商通知</w:t>
      </w:r>
      <w:bookmarkEnd w:id="0"/>
    </w:p>
    <w:p>
      <w:pPr>
        <w:pStyle w:val="2"/>
        <w:numPr>
          <w:ilvl w:val="0"/>
          <w:numId w:val="0"/>
        </w:numPr>
        <w:ind w:leftChars="400"/>
        <w:rPr>
          <w:rFonts w:hint="eastAsia" w:asciiTheme="majorEastAsia" w:hAnsiTheme="majorEastAsia" w:eastAsiaTheme="majorEastAsia" w:cstheme="majorEastAsia"/>
          <w:color w:val="auto"/>
        </w:rPr>
      </w:pP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bookmarkStart w:id="1" w:name="_Toc18907"/>
      <w:r>
        <w:rPr>
          <w:rFonts w:hint="eastAsia" w:asciiTheme="majorEastAsia" w:hAnsiTheme="majorEastAsia" w:eastAsiaTheme="majorEastAsia" w:cstheme="majorEastAsia"/>
          <w:color w:val="auto"/>
          <w:lang w:val="en-US" w:eastAsia="zh-CN"/>
        </w:rPr>
        <w:t>茶陵县秩堂镇马吉村村民委员会的茶陵县秩堂镇马吉村红色美丽村庄建设项目户外高清P6全彩显示屏采购项目进行竞争性磋商采购，现采用发布公告方式，邀请符合资格条件的供应商参与竞争性磋商采购活动。</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2" w:name="_Toc30767"/>
      <w:r>
        <w:rPr>
          <w:rFonts w:hint="eastAsia" w:asciiTheme="majorEastAsia" w:hAnsiTheme="majorEastAsia" w:eastAsiaTheme="majorEastAsia" w:cstheme="majorEastAsia"/>
          <w:b/>
          <w:bCs/>
          <w:color w:val="auto"/>
          <w:lang w:val="en-US" w:eastAsia="zh-CN"/>
        </w:rPr>
        <w:t>一、项目概况</w:t>
      </w:r>
      <w:bookmarkEnd w:id="2"/>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1、采购项目名称：茶陵县秩堂镇马吉村红色美丽村庄建设项目户外高清P6全彩显示屏采购项目</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2、采购代理编号：HNJST-CL-2022-001</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3" w:name="_Toc1697"/>
      <w:r>
        <w:rPr>
          <w:rFonts w:hint="eastAsia" w:asciiTheme="majorEastAsia" w:hAnsiTheme="majorEastAsia" w:eastAsiaTheme="majorEastAsia" w:cstheme="majorEastAsia"/>
          <w:b/>
          <w:bCs/>
          <w:color w:val="auto"/>
          <w:lang w:val="en-US" w:eastAsia="zh-CN"/>
        </w:rPr>
        <w:t>二、采购项目标的、数量及预算</w:t>
      </w:r>
      <w:bookmarkEnd w:id="3"/>
    </w:p>
    <w:tbl>
      <w:tblPr>
        <w:tblStyle w:val="2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25"/>
        <w:gridCol w:w="1830"/>
        <w:gridCol w:w="870"/>
        <w:gridCol w:w="1920"/>
        <w:gridCol w:w="1785"/>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825"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序号</w:t>
            </w:r>
          </w:p>
        </w:tc>
        <w:tc>
          <w:tcPr>
            <w:tcW w:w="183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包名称</w:t>
            </w:r>
          </w:p>
        </w:tc>
        <w:tc>
          <w:tcPr>
            <w:tcW w:w="87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数量</w:t>
            </w:r>
          </w:p>
        </w:tc>
        <w:tc>
          <w:tcPr>
            <w:tcW w:w="192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采购项目预算</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（元人民币）</w:t>
            </w:r>
          </w:p>
        </w:tc>
        <w:tc>
          <w:tcPr>
            <w:tcW w:w="1785"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最高限价</w:t>
            </w:r>
          </w:p>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（元人民币）</w:t>
            </w:r>
          </w:p>
        </w:tc>
        <w:tc>
          <w:tcPr>
            <w:tcW w:w="177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b/>
                <w:bCs/>
                <w:color w:val="auto"/>
                <w:lang w:val="en-US" w:eastAsia="zh-CN"/>
              </w:rPr>
              <w:t>代理服务收费最高限价(元）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444" w:hRule="atLeast"/>
          <w:jc w:val="center"/>
        </w:trPr>
        <w:tc>
          <w:tcPr>
            <w:tcW w:w="825"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210" w:firstLineChars="1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01</w:t>
            </w:r>
          </w:p>
        </w:tc>
        <w:tc>
          <w:tcPr>
            <w:tcW w:w="183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茶陵县秩堂镇马吉村红色美丽村庄建设项目户外高清P6全彩显示屏采购项目</w:t>
            </w:r>
          </w:p>
        </w:tc>
        <w:tc>
          <w:tcPr>
            <w:tcW w:w="87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1项</w:t>
            </w:r>
          </w:p>
        </w:tc>
        <w:tc>
          <w:tcPr>
            <w:tcW w:w="192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432000.00</w:t>
            </w:r>
          </w:p>
        </w:tc>
        <w:tc>
          <w:tcPr>
            <w:tcW w:w="1785"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431000.00</w:t>
            </w:r>
          </w:p>
        </w:tc>
        <w:tc>
          <w:tcPr>
            <w:tcW w:w="1770" w:type="dxa"/>
            <w:shd w:val="clear" w:color="auto" w:fill="auto"/>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both"/>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10000.00</w:t>
            </w:r>
          </w:p>
        </w:tc>
      </w:tr>
    </w:tbl>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1、采购项目需要落实的政府采购政</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（1）预留采购份额：本项目为专门面向中小企业。</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（2）价格评审优惠：政府采购促进中小企业发展（包括政府采购支持监狱企业发展、政府采购促进残疾人就业）。</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4" w:name="_Toc7261"/>
      <w:r>
        <w:rPr>
          <w:rFonts w:hint="eastAsia" w:asciiTheme="majorEastAsia" w:hAnsiTheme="majorEastAsia" w:eastAsiaTheme="majorEastAsia" w:cstheme="majorEastAsia"/>
          <w:b/>
          <w:bCs/>
          <w:color w:val="auto"/>
          <w:lang w:val="en-US" w:eastAsia="zh-CN"/>
        </w:rPr>
        <w:t>三、供应商资质要求</w:t>
      </w:r>
      <w:bookmarkEnd w:id="4"/>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1、供应商的基本资格条件：供应商必须是在中华人民共和国境内注册登记的法人、其他组织或者自然人，且应当符合《政府采购法》第二十二条第一款的规定，即： </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（6）法律、行政法规规定的其他条件。</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2、采购项目的特定资格条件：</w:t>
      </w:r>
      <w:r>
        <w:rPr>
          <w:rFonts w:hint="eastAsia" w:asciiTheme="majorEastAsia" w:hAnsiTheme="majorEastAsia" w:eastAsiaTheme="majorEastAsia" w:cstheme="majorEastAsia"/>
          <w:b/>
          <w:bCs/>
          <w:color w:val="auto"/>
          <w:lang w:val="en-US" w:eastAsia="zh-CN"/>
        </w:rPr>
        <w:t>具有本采购项目的相关经营范围</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3、</w:t>
      </w:r>
      <w:r>
        <w:rPr>
          <w:rFonts w:hint="eastAsia"/>
          <w:color w:val="auto"/>
          <w:lang w:val="en-US" w:eastAsia="zh-CN"/>
        </w:rPr>
        <w:t>投标人通过“信用中国”网站（www.creditchina.gov.cn）和中国政府采购网（www.ccgp.gov.cn）、查询投标人主体的信用记录的截图的复印件</w:t>
      </w:r>
      <w:r>
        <w:rPr>
          <w:rFonts w:hint="eastAsia" w:asciiTheme="majorEastAsia" w:hAnsiTheme="majorEastAsia" w:eastAsiaTheme="majorEastAsia" w:cstheme="majorEastAsia"/>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4、单位负责人为同一人或者存在直接控股、管理关系的不同投标人，不得参加同一合同项下的政府采购活动。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5、为本采购项目提供整体设计、规范编制或者项目管理、监理、检测等服务的，不得再参加此项目的其他政府采购采购活动。</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6、列入失信被执行人、重大税收违法案件当事人名单，列入政府采购严重违法失信行为记录名单的，拒绝其参与政府采购活动。</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7、本次采购</w:t>
      </w:r>
      <w:r>
        <w:rPr>
          <w:rFonts w:hint="eastAsia" w:asciiTheme="majorEastAsia" w:hAnsiTheme="majorEastAsia" w:eastAsiaTheme="majorEastAsia" w:cstheme="majorEastAsia"/>
          <w:color w:val="auto"/>
          <w:u w:val="none"/>
          <w:lang w:val="en-US" w:eastAsia="zh-CN"/>
        </w:rPr>
        <w:t>不接受</w:t>
      </w:r>
      <w:r>
        <w:rPr>
          <w:rFonts w:hint="eastAsia" w:asciiTheme="majorEastAsia" w:hAnsiTheme="majorEastAsia" w:eastAsiaTheme="majorEastAsia" w:cstheme="majorEastAsia"/>
          <w:color w:val="auto"/>
          <w:lang w:val="en-US" w:eastAsia="zh-CN"/>
        </w:rPr>
        <w:t>联合体形式。</w:t>
      </w:r>
      <w:r>
        <w:rPr>
          <w:rFonts w:hint="eastAsia" w:ascii="宋体" w:hAnsi="宋体" w:cs="宋体"/>
          <w:color w:val="auto"/>
          <w:kern w:val="0"/>
          <w:szCs w:val="21"/>
          <w:highlight w:val="none"/>
          <w:lang w:eastAsia="zh-CN" w:bidi="ar"/>
        </w:rPr>
        <w:t>供应商</w:t>
      </w:r>
      <w:r>
        <w:rPr>
          <w:rFonts w:hint="eastAsia" w:ascii="宋体" w:hAnsi="宋体" w:eastAsia="宋体" w:cs="宋体"/>
          <w:color w:val="auto"/>
          <w:kern w:val="0"/>
          <w:szCs w:val="21"/>
          <w:highlight w:val="none"/>
          <w:lang w:bidi="ar"/>
        </w:rPr>
        <w:t>能满足本项目《磋商文件》规定的各项要求，以及法律、行政法规规定的其他条件。</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5" w:name="_Toc1828"/>
      <w:r>
        <w:rPr>
          <w:rFonts w:hint="eastAsia" w:asciiTheme="majorEastAsia" w:hAnsiTheme="majorEastAsia" w:eastAsiaTheme="majorEastAsia" w:cstheme="majorEastAsia"/>
          <w:b/>
          <w:bCs/>
          <w:color w:val="auto"/>
          <w:lang w:val="en-US" w:eastAsia="zh-CN"/>
        </w:rPr>
        <w:t>四、获取磋商文件的时间、地点及方式</w:t>
      </w:r>
      <w:bookmarkEnd w:id="5"/>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1、凡符合资格要求并有意参加投标者，请从</w:t>
      </w:r>
      <w:r>
        <w:rPr>
          <w:rFonts w:hint="eastAsia" w:asciiTheme="majorEastAsia" w:hAnsiTheme="majorEastAsia" w:eastAsiaTheme="majorEastAsia" w:cstheme="majorEastAsia"/>
          <w:b/>
          <w:bCs/>
          <w:color w:val="auto"/>
          <w:lang w:val="en-US" w:eastAsia="zh-CN"/>
        </w:rPr>
        <w:t>2022年3月30日至2022年4月6日</w:t>
      </w:r>
      <w:r>
        <w:rPr>
          <w:rFonts w:hint="eastAsia" w:asciiTheme="majorEastAsia" w:hAnsiTheme="majorEastAsia" w:eastAsiaTheme="majorEastAsia" w:cstheme="majorEastAsia"/>
          <w:color w:val="auto"/>
          <w:lang w:val="en-US" w:eastAsia="zh-CN"/>
        </w:rPr>
        <w:t>（北京时间，下同）登录</w:t>
      </w:r>
      <w:r>
        <w:rPr>
          <w:rFonts w:hint="eastAsia" w:ascii="宋体" w:hAnsi="宋体" w:eastAsia="宋体" w:cs="宋体"/>
          <w:b w:val="0"/>
          <w:i w:val="0"/>
          <w:caps w:val="0"/>
          <w:color w:val="auto"/>
          <w:spacing w:val="0"/>
          <w:sz w:val="21"/>
          <w:szCs w:val="21"/>
          <w:u w:val="none"/>
        </w:rPr>
        <w:t>茶陵县</w:t>
      </w:r>
      <w:r>
        <w:rPr>
          <w:rFonts w:hint="eastAsia" w:eastAsia="宋体" w:cs="宋体"/>
          <w:b w:val="0"/>
          <w:i w:val="0"/>
          <w:caps w:val="0"/>
          <w:color w:val="auto"/>
          <w:spacing w:val="0"/>
          <w:sz w:val="21"/>
          <w:szCs w:val="21"/>
          <w:u w:val="none"/>
          <w:lang w:eastAsia="zh-CN"/>
        </w:rPr>
        <w:t>人民政府网（http://www.chaling.gov.cn/）</w:t>
      </w:r>
      <w:r>
        <w:rPr>
          <w:rFonts w:hint="eastAsia" w:ascii="宋体" w:hAnsi="宋体" w:cs="宋体"/>
        </w:rPr>
        <w:t>或</w:t>
      </w:r>
      <w:r>
        <w:rPr>
          <w:rFonts w:hint="eastAsia" w:ascii="宋体" w:hAnsi="宋体" w:cs="宋体"/>
          <w:lang w:eastAsia="zh-CN"/>
        </w:rPr>
        <w:t>茶陵县发展和改革局（http://www.chaling.gov.cn/c11425/index.html）网上</w:t>
      </w:r>
      <w:r>
        <w:rPr>
          <w:rFonts w:hint="eastAsia" w:asciiTheme="majorEastAsia" w:hAnsiTheme="majorEastAsia" w:eastAsiaTheme="majorEastAsia" w:cstheme="majorEastAsia"/>
          <w:color w:val="auto"/>
          <w:lang w:val="en-US" w:eastAsia="zh-CN"/>
        </w:rPr>
        <w:t>下载/获取磋商文件及相关附件，通过网络下载的磋商文件资料与书面磋商文件资料具有同等法律效力。</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2、磋商文件售价400元/份，递交响应文件时缴纳(供应商需以现金形式缴纳，代理机构不接受其它任何形式缴纳的费用），售后不退。</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3、磋商文件及澄清答疑采用网上发布方式。采购人对磋商文件、磋商文件的澄清答疑均采用在</w:t>
      </w:r>
      <w:r>
        <w:rPr>
          <w:rFonts w:hint="eastAsia" w:ascii="宋体" w:hAnsi="宋体" w:eastAsia="宋体" w:cs="宋体"/>
          <w:b w:val="0"/>
          <w:i w:val="0"/>
          <w:caps w:val="0"/>
          <w:color w:val="auto"/>
          <w:spacing w:val="0"/>
          <w:sz w:val="21"/>
          <w:szCs w:val="21"/>
          <w:u w:val="none"/>
        </w:rPr>
        <w:t>茶陵县</w:t>
      </w:r>
      <w:r>
        <w:rPr>
          <w:rFonts w:hint="eastAsia" w:eastAsia="宋体" w:cs="宋体"/>
          <w:b w:val="0"/>
          <w:i w:val="0"/>
          <w:caps w:val="0"/>
          <w:color w:val="auto"/>
          <w:spacing w:val="0"/>
          <w:sz w:val="21"/>
          <w:szCs w:val="21"/>
          <w:u w:val="none"/>
          <w:lang w:eastAsia="zh-CN"/>
        </w:rPr>
        <w:t>人民政府网</w:t>
      </w:r>
      <w:r>
        <w:rPr>
          <w:rFonts w:hint="eastAsia" w:ascii="宋体" w:hAnsi="宋体" w:cs="宋体"/>
        </w:rPr>
        <w:t>或</w:t>
      </w:r>
      <w:r>
        <w:rPr>
          <w:rFonts w:hint="eastAsia" w:ascii="宋体" w:hAnsi="宋体" w:cs="宋体"/>
          <w:lang w:eastAsia="zh-CN"/>
        </w:rPr>
        <w:t>茶陵县发展和改革局网上</w:t>
      </w:r>
      <w:r>
        <w:rPr>
          <w:rFonts w:hint="eastAsia" w:asciiTheme="majorEastAsia" w:hAnsiTheme="majorEastAsia" w:eastAsiaTheme="majorEastAsia" w:cstheme="majorEastAsia"/>
          <w:color w:val="auto"/>
          <w:lang w:val="en-US" w:eastAsia="zh-CN"/>
        </w:rPr>
        <w:t>发布，供应商自行下载。供应商应及时关注网上相关招标信息，如有遗漏（包括但不限于文件未下载或下载不完整），所造成的投标失败或损失由供应商自行负责。</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4、本项目采购文件公告期限为五个工作日，即</w:t>
      </w:r>
      <w:r>
        <w:rPr>
          <w:rFonts w:hint="eastAsia" w:asciiTheme="majorEastAsia" w:hAnsiTheme="majorEastAsia" w:eastAsiaTheme="majorEastAsia" w:cstheme="majorEastAsia"/>
          <w:b/>
          <w:bCs/>
          <w:color w:val="auto"/>
          <w:lang w:val="en-US" w:eastAsia="zh-CN"/>
        </w:rPr>
        <w:t>2022年3月30日至2022年4月6日</w:t>
      </w:r>
      <w:r>
        <w:rPr>
          <w:rFonts w:hint="eastAsia" w:asciiTheme="majorEastAsia" w:hAnsiTheme="majorEastAsia" w:eastAsiaTheme="majorEastAsia" w:cstheme="major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6" w:name="_Toc13649"/>
      <w:r>
        <w:rPr>
          <w:rFonts w:hint="eastAsia" w:asciiTheme="majorEastAsia" w:hAnsiTheme="majorEastAsia" w:eastAsiaTheme="majorEastAsia" w:cstheme="majorEastAsia"/>
          <w:b/>
          <w:bCs/>
          <w:color w:val="auto"/>
          <w:lang w:val="en-US" w:eastAsia="zh-CN"/>
        </w:rPr>
        <w:t>五、响应文件提交的截止时间、开启时间及地点</w:t>
      </w:r>
      <w:bookmarkEnd w:id="6"/>
    </w:p>
    <w:p>
      <w:pPr>
        <w:adjustRightInd w:val="0"/>
        <w:snapToGrid w:val="0"/>
        <w:spacing w:line="360" w:lineRule="exact"/>
        <w:ind w:firstLine="420" w:firstLineChars="200"/>
        <w:jc w:val="left"/>
        <w:rPr>
          <w:rFonts w:hint="eastAsia" w:ascii="宋体" w:hAnsi="宋体" w:cs="宋体"/>
          <w:b/>
          <w:bCs/>
          <w:color w:val="auto"/>
          <w:kern w:val="0"/>
          <w:szCs w:val="21"/>
          <w:lang w:bidi="ar"/>
        </w:rPr>
      </w:pPr>
      <w:r>
        <w:rPr>
          <w:rFonts w:hint="eastAsia" w:asciiTheme="majorEastAsia" w:hAnsiTheme="majorEastAsia" w:eastAsiaTheme="majorEastAsia" w:cstheme="majorEastAsia"/>
          <w:color w:val="auto"/>
          <w:lang w:val="en-US" w:eastAsia="zh-CN"/>
        </w:rPr>
        <w:t>1、首次响应文件的提交截止时间：</w:t>
      </w:r>
      <w:r>
        <w:rPr>
          <w:rFonts w:hint="eastAsia" w:asciiTheme="majorEastAsia" w:hAnsiTheme="majorEastAsia" w:eastAsiaTheme="majorEastAsia" w:cstheme="majorEastAsia"/>
          <w:b/>
          <w:bCs/>
          <w:color w:val="auto"/>
          <w:lang w:val="en-US" w:eastAsia="zh-CN"/>
        </w:rPr>
        <w:t>2022年4月13日9</w:t>
      </w:r>
      <w:r>
        <w:rPr>
          <w:rFonts w:hint="eastAsia" w:ascii="宋体" w:hAnsi="宋体" w:cs="宋体"/>
          <w:b/>
          <w:bCs/>
          <w:color w:val="auto"/>
          <w:kern w:val="0"/>
          <w:szCs w:val="21"/>
          <w:lang w:bidi="ar"/>
        </w:rPr>
        <w:t>时00分</w:t>
      </w:r>
    </w:p>
    <w:p>
      <w:pPr>
        <w:adjustRightInd w:val="0"/>
        <w:snapToGrid w:val="0"/>
        <w:spacing w:line="360" w:lineRule="exact"/>
        <w:ind w:firstLine="420" w:firstLineChars="200"/>
        <w:jc w:val="left"/>
        <w:rPr>
          <w:rFonts w:hint="eastAsia" w:ascii="宋体" w:hAnsi="宋体" w:cs="宋体"/>
          <w:b/>
          <w:bCs/>
          <w:color w:val="auto"/>
          <w:kern w:val="0"/>
          <w:szCs w:val="21"/>
          <w:lang w:bidi="ar"/>
        </w:rPr>
      </w:pPr>
      <w:r>
        <w:rPr>
          <w:rFonts w:hint="eastAsia" w:asciiTheme="majorEastAsia" w:hAnsiTheme="majorEastAsia" w:eastAsiaTheme="majorEastAsia" w:cstheme="majorEastAsia"/>
          <w:color w:val="auto"/>
          <w:lang w:val="en-US" w:eastAsia="zh-CN"/>
        </w:rPr>
        <w:t>首次响应文件的开启时间：</w:t>
      </w:r>
      <w:r>
        <w:rPr>
          <w:rFonts w:hint="eastAsia" w:asciiTheme="majorEastAsia" w:hAnsiTheme="majorEastAsia" w:eastAsiaTheme="majorEastAsia" w:cstheme="majorEastAsia"/>
          <w:b/>
          <w:bCs/>
          <w:color w:val="auto"/>
          <w:lang w:val="en-US" w:eastAsia="zh-CN"/>
        </w:rPr>
        <w:t>2022年4月13日9</w:t>
      </w:r>
      <w:r>
        <w:rPr>
          <w:rFonts w:hint="eastAsia" w:ascii="宋体" w:hAnsi="宋体" w:cs="宋体"/>
          <w:b/>
          <w:bCs/>
          <w:color w:val="auto"/>
          <w:kern w:val="0"/>
          <w:szCs w:val="21"/>
          <w:lang w:bidi="ar"/>
        </w:rPr>
        <w:t>时00分</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宋体" w:hAnsi="宋体" w:eastAsia="宋体" w:cs="宋体"/>
          <w:kern w:val="0"/>
          <w:sz w:val="21"/>
          <w:szCs w:val="21"/>
          <w:u w:val="none"/>
          <w:shd w:val="clear" w:color="auto" w:fill="FFFFFF"/>
          <w:lang w:val="en-US" w:eastAsia="zh-CN" w:bidi="ar"/>
        </w:rPr>
      </w:pPr>
      <w:r>
        <w:rPr>
          <w:rFonts w:hint="eastAsia" w:asciiTheme="majorEastAsia" w:hAnsiTheme="majorEastAsia" w:eastAsiaTheme="majorEastAsia" w:cstheme="majorEastAsia"/>
          <w:color w:val="auto"/>
          <w:lang w:val="ru-RU" w:eastAsia="zh-CN"/>
        </w:rPr>
        <w:t>开标地点：</w:t>
      </w:r>
      <w:r>
        <w:rPr>
          <w:rFonts w:hint="eastAsia" w:ascii="宋体" w:hAnsi="宋体" w:eastAsia="宋体" w:cs="宋体"/>
          <w:b/>
          <w:bCs/>
          <w:kern w:val="0"/>
          <w:sz w:val="21"/>
          <w:szCs w:val="21"/>
          <w:u w:val="none"/>
          <w:shd w:val="clear" w:color="auto" w:fill="FFFFFF"/>
          <w:lang w:val="en-US" w:eastAsia="zh-CN" w:bidi="ar"/>
        </w:rPr>
        <w:t>茶陵县公共资源交易管理委员会办公室四楼开标室</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2、逾期送达的或者未送达指定地点或未按要求密封的响应文件，或供应商未按本项目磋商通知第三款规定获取磋商文件的，采购人将不予受理。</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7" w:name="_Toc18418"/>
      <w:r>
        <w:rPr>
          <w:rFonts w:hint="eastAsia" w:asciiTheme="majorEastAsia" w:hAnsiTheme="majorEastAsia" w:eastAsiaTheme="majorEastAsia" w:cstheme="majorEastAsia"/>
          <w:b/>
          <w:bCs/>
          <w:color w:val="auto"/>
          <w:lang w:val="en-US" w:eastAsia="zh-CN"/>
        </w:rPr>
        <w:t>六、公告期限</w:t>
      </w:r>
      <w:bookmarkEnd w:id="7"/>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1、本招标公告在</w:t>
      </w:r>
      <w:r>
        <w:rPr>
          <w:rFonts w:hint="eastAsia" w:ascii="宋体" w:hAnsi="宋体" w:eastAsia="宋体" w:cs="宋体"/>
          <w:b w:val="0"/>
          <w:i w:val="0"/>
          <w:caps w:val="0"/>
          <w:color w:val="auto"/>
          <w:spacing w:val="0"/>
          <w:sz w:val="21"/>
          <w:szCs w:val="21"/>
          <w:u w:val="none"/>
        </w:rPr>
        <w:t>茶陵县</w:t>
      </w:r>
      <w:r>
        <w:rPr>
          <w:rFonts w:hint="eastAsia" w:eastAsia="宋体" w:cs="宋体"/>
          <w:b w:val="0"/>
          <w:i w:val="0"/>
          <w:caps w:val="0"/>
          <w:color w:val="auto"/>
          <w:spacing w:val="0"/>
          <w:sz w:val="21"/>
          <w:szCs w:val="21"/>
          <w:u w:val="none"/>
          <w:lang w:eastAsia="zh-CN"/>
        </w:rPr>
        <w:t>人民政府网</w:t>
      </w:r>
      <w:r>
        <w:rPr>
          <w:rFonts w:hint="eastAsia" w:ascii="宋体" w:hAnsi="宋体" w:cs="宋体"/>
        </w:rPr>
        <w:t>或</w:t>
      </w:r>
      <w:r>
        <w:rPr>
          <w:rFonts w:hint="eastAsia" w:ascii="宋体" w:hAnsi="宋体" w:cs="宋体"/>
          <w:lang w:eastAsia="zh-CN"/>
        </w:rPr>
        <w:t>茶陵县发展和改革局网上</w:t>
      </w:r>
      <w:r>
        <w:rPr>
          <w:rFonts w:hint="eastAsia" w:asciiTheme="majorEastAsia" w:hAnsiTheme="majorEastAsia" w:eastAsiaTheme="majorEastAsia" w:cstheme="majorEastAsia"/>
          <w:color w:val="auto"/>
          <w:lang w:val="en-US" w:eastAsia="zh-CN"/>
        </w:rPr>
        <w:t>发布。公告期限从本招标公告发布之日起5个工作日。</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2、在其他媒体发布的招标公告，公告内容以本招标公告指定媒体发布的公告为准；公告期限自本招标公告指定媒体最先发布公告之日起算。</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8" w:name="_Toc16005"/>
      <w:r>
        <w:rPr>
          <w:rFonts w:hint="eastAsia" w:asciiTheme="majorEastAsia" w:hAnsiTheme="majorEastAsia" w:eastAsiaTheme="majorEastAsia" w:cstheme="majorEastAsia"/>
          <w:b/>
          <w:bCs/>
          <w:color w:val="auto"/>
          <w:lang w:val="en-US" w:eastAsia="zh-CN"/>
        </w:rPr>
        <w:t>七、疑问及质疑</w:t>
      </w:r>
      <w:bookmarkEnd w:id="8"/>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1、潜在供应商对政府采购活动事项如有疑问的，可以向采购人或采购代理机构提出询问。采购人或采购代理机构将在3个工作日内作出答复。</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2、潜在供应商认为招标文件或招标公告使自己的合法权益受到损害的，可以在收到招标文件之日或招标公告期限届满之日起7个工作日内，以书面形式向采购人、采购代理机构提出质疑。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9" w:name="_Toc32153"/>
      <w:r>
        <w:rPr>
          <w:rFonts w:hint="eastAsia" w:asciiTheme="majorEastAsia" w:hAnsiTheme="majorEastAsia" w:eastAsiaTheme="majorEastAsia" w:cstheme="majorEastAsia"/>
          <w:b/>
          <w:bCs/>
          <w:color w:val="auto"/>
          <w:lang w:val="en-US" w:eastAsia="zh-CN"/>
        </w:rPr>
        <w:t>八、联系方式</w:t>
      </w:r>
      <w:bookmarkEnd w:id="9"/>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采 购 人：茶陵县秩堂镇马吉村村民委员会</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联 系 人：刘先生                    </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default"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电    话：13974129378</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地    址：茶陵县秩堂镇马吉村</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采购代理机构：湖南精算堂工程项目管理有限公司</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联 系 人：陈婷、汤庆庆、朱小龙</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电    话：0731-25696784</w:t>
      </w:r>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地    址：茶陵县炎帝南路日升大楼四楼</w:t>
      </w:r>
    </w:p>
    <w:p>
      <w:pPr>
        <w:keepNext w:val="0"/>
        <w:keepLines w:val="0"/>
        <w:pageBreakBefore w:val="0"/>
        <w:widowControl w:val="0"/>
        <w:kinsoku/>
        <w:wordWrap/>
        <w:overflowPunct/>
        <w:topLinePunct w:val="0"/>
        <w:autoSpaceDE/>
        <w:autoSpaceDN/>
        <w:bidi w:val="0"/>
        <w:adjustRightInd w:val="0"/>
        <w:snapToGrid w:val="0"/>
        <w:spacing w:line="336" w:lineRule="auto"/>
        <w:ind w:firstLine="422" w:firstLineChars="200"/>
        <w:jc w:val="left"/>
        <w:textAlignment w:val="auto"/>
        <w:outlineLvl w:val="1"/>
        <w:rPr>
          <w:rFonts w:hint="eastAsia" w:asciiTheme="majorEastAsia" w:hAnsiTheme="majorEastAsia" w:eastAsiaTheme="majorEastAsia" w:cstheme="majorEastAsia"/>
          <w:b/>
          <w:bCs/>
          <w:color w:val="auto"/>
          <w:lang w:val="en-US" w:eastAsia="zh-CN"/>
        </w:rPr>
      </w:pPr>
      <w:bookmarkStart w:id="10" w:name="_Toc3427"/>
      <w:r>
        <w:rPr>
          <w:rFonts w:hint="eastAsia" w:asciiTheme="majorEastAsia" w:hAnsiTheme="majorEastAsia" w:eastAsiaTheme="majorEastAsia" w:cstheme="majorEastAsia"/>
          <w:b/>
          <w:bCs/>
          <w:color w:val="auto"/>
          <w:lang w:val="en-US" w:eastAsia="zh-CN"/>
        </w:rPr>
        <w:t>九、其他补充事项</w:t>
      </w:r>
      <w:bookmarkEnd w:id="10"/>
    </w:p>
    <w:p>
      <w:pPr>
        <w:keepNext w:val="0"/>
        <w:keepLines w:val="0"/>
        <w:pageBreakBefore w:val="0"/>
        <w:widowControl w:val="0"/>
        <w:kinsoku/>
        <w:wordWrap/>
        <w:overflowPunct/>
        <w:topLinePunct w:val="0"/>
        <w:autoSpaceDE/>
        <w:autoSpaceDN/>
        <w:bidi w:val="0"/>
        <w:adjustRightInd w:val="0"/>
        <w:snapToGrid w:val="0"/>
        <w:spacing w:line="336" w:lineRule="auto"/>
        <w:ind w:firstLine="420" w:firstLineChars="200"/>
        <w:jc w:val="left"/>
        <w:textAlignment w:val="auto"/>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color w:val="auto"/>
          <w:lang w:val="en-US" w:eastAsia="zh-CN"/>
        </w:rPr>
        <w:t>1、磋商保证金额：人民币</w:t>
      </w:r>
      <w:r>
        <w:rPr>
          <w:rFonts w:hint="eastAsia" w:asciiTheme="majorEastAsia" w:hAnsiTheme="majorEastAsia" w:eastAsiaTheme="majorEastAsia" w:cstheme="majorEastAsia"/>
          <w:b/>
          <w:bCs/>
          <w:color w:val="auto"/>
          <w:lang w:val="en-US" w:eastAsia="zh-CN"/>
        </w:rPr>
        <w:t>伍仟元整</w:t>
      </w:r>
    </w:p>
    <w:bookmarkEnd w:id="1"/>
    <w:p>
      <w:pPr>
        <w:keepNext w:val="0"/>
        <w:keepLines w:val="0"/>
        <w:pageBreakBefore w:val="0"/>
        <w:widowControl/>
        <w:kinsoku/>
        <w:wordWrap w:val="0"/>
        <w:overflowPunct/>
        <w:topLinePunct w:val="0"/>
        <w:autoSpaceDE/>
        <w:autoSpaceDN w:val="0"/>
        <w:bidi w:val="0"/>
        <w:spacing w:line="336" w:lineRule="auto"/>
        <w:ind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w:t>
      </w:r>
      <w:r>
        <w:rPr>
          <w:rFonts w:hint="eastAsia" w:ascii="宋体" w:hAnsi="宋体" w:cs="宋体"/>
          <w:color w:val="auto"/>
          <w:szCs w:val="21"/>
          <w:lang w:val="ru-RU" w:eastAsia="zh-CN"/>
        </w:rPr>
        <w:t>响应保证金必须是从投标人的账户转入磋商文件指定账户。采购人不接受以其他方式提交的投标保证金。</w:t>
      </w:r>
      <w:r>
        <w:rPr>
          <w:rFonts w:hint="eastAsia" w:ascii="宋体" w:hAnsi="宋体" w:cs="宋体"/>
          <w:color w:val="auto"/>
          <w:szCs w:val="21"/>
          <w:lang w:val="en-US" w:eastAsia="zh-CN"/>
        </w:rPr>
        <w:t>)</w:t>
      </w:r>
    </w:p>
    <w:p>
      <w:pPr>
        <w:keepNext w:val="0"/>
        <w:keepLines w:val="0"/>
        <w:pageBreakBefore w:val="0"/>
        <w:shd w:val="clear" w:color="auto" w:fill="auto"/>
        <w:kinsoku/>
        <w:overflowPunct/>
        <w:topLinePunct w:val="0"/>
        <w:autoSpaceDE/>
        <w:bidi w:val="0"/>
        <w:adjustRightInd w:val="0"/>
        <w:snapToGrid w:val="0"/>
        <w:spacing w:line="360" w:lineRule="exact"/>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 xml:space="preserve">投标保证金缴纳支持以下形式（打“√”项为本项目支持形式）： </w:t>
      </w:r>
    </w:p>
    <w:p>
      <w:pPr>
        <w:keepNext w:val="0"/>
        <w:keepLines w:val="0"/>
        <w:pageBreakBefore w:val="0"/>
        <w:shd w:val="clear" w:color="auto" w:fill="auto"/>
        <w:kinsoku/>
        <w:overflowPunct/>
        <w:topLinePunct w:val="0"/>
        <w:autoSpaceDE/>
        <w:bidi w:val="0"/>
        <w:adjustRightInd w:val="0"/>
        <w:snapToGrid w:val="0"/>
        <w:spacing w:line="360" w:lineRule="exact"/>
        <w:ind w:firstLine="420" w:firstLineChars="200"/>
        <w:textAlignment w:val="auto"/>
        <w:rPr>
          <w:rFonts w:hint="eastAsia"/>
          <w:lang w:val="en-US" w:eastAsia="zh-CN"/>
        </w:rPr>
      </w:pPr>
      <w:r>
        <w:rPr>
          <w:rFonts w:hint="eastAsia" w:ascii="宋体" w:hAnsi="宋体" w:eastAsia="宋体"/>
          <w:color w:val="auto"/>
          <w:szCs w:val="21"/>
          <w:highlight w:val="none"/>
          <w:lang w:val="en-US" w:eastAsia="zh-CN"/>
        </w:rPr>
        <w:t>□电子保函    √转账     □纸质保函    □其他</w:t>
      </w:r>
    </w:p>
    <w:p>
      <w:pPr>
        <w:keepNext w:val="0"/>
        <w:keepLines w:val="0"/>
        <w:pageBreakBefore w:val="0"/>
        <w:widowControl/>
        <w:shd w:val="clear" w:color="auto" w:fill="auto"/>
        <w:kinsoku/>
        <w:wordWrap w:val="0"/>
        <w:overflowPunct/>
        <w:topLinePunct w:val="0"/>
        <w:autoSpaceDE/>
        <w:autoSpaceDN w:val="0"/>
        <w:bidi w:val="0"/>
        <w:spacing w:line="36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开户机构：中国建设银行股份有限公司茶陵支行 </w:t>
      </w:r>
    </w:p>
    <w:p>
      <w:pPr>
        <w:keepNext w:val="0"/>
        <w:keepLines w:val="0"/>
        <w:pageBreakBefore w:val="0"/>
        <w:widowControl/>
        <w:shd w:val="clear" w:color="auto" w:fill="auto"/>
        <w:kinsoku/>
        <w:wordWrap w:val="0"/>
        <w:overflowPunct/>
        <w:topLinePunct w:val="0"/>
        <w:autoSpaceDE/>
        <w:autoSpaceDN w:val="0"/>
        <w:bidi w:val="0"/>
        <w:spacing w:line="36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 xml:space="preserve">账户名称：茶陵县发展和改革局公共资源交易保证金专户  </w:t>
      </w:r>
    </w:p>
    <w:p>
      <w:pPr>
        <w:keepNext w:val="0"/>
        <w:keepLines w:val="0"/>
        <w:pageBreakBefore w:val="0"/>
        <w:widowControl/>
        <w:shd w:val="clear" w:color="auto" w:fill="auto"/>
        <w:kinsoku/>
        <w:wordWrap w:val="0"/>
        <w:overflowPunct/>
        <w:topLinePunct w:val="0"/>
        <w:autoSpaceDE/>
        <w:autoSpaceDN w:val="0"/>
        <w:bidi w:val="0"/>
        <w:spacing w:line="36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账号：43050162733600000246</w:t>
      </w:r>
    </w:p>
    <w:p>
      <w:pPr>
        <w:keepNext w:val="0"/>
        <w:keepLines w:val="0"/>
        <w:pageBreakBefore w:val="0"/>
        <w:widowControl/>
        <w:shd w:val="clear" w:color="auto" w:fill="auto"/>
        <w:kinsoku/>
        <w:wordWrap w:val="0"/>
        <w:overflowPunct/>
        <w:topLinePunct w:val="0"/>
        <w:autoSpaceDE/>
        <w:autoSpaceDN w:val="0"/>
        <w:bidi w:val="0"/>
        <w:spacing w:line="360" w:lineRule="exact"/>
        <w:ind w:firstLine="422" w:firstLineChars="200"/>
        <w:jc w:val="lef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开户机构号:430627336</w:t>
      </w:r>
    </w:p>
    <w:p>
      <w:pPr>
        <w:keepNext w:val="0"/>
        <w:keepLines w:val="0"/>
        <w:pageBreakBefore w:val="0"/>
        <w:widowControl w:val="0"/>
        <w:kinsoku/>
        <w:overflowPunct/>
        <w:topLinePunct w:val="0"/>
        <w:autoSpaceDE/>
        <w:autoSpaceDN/>
        <w:bidi w:val="0"/>
        <w:adjustRightInd w:val="0"/>
        <w:snapToGrid w:val="0"/>
        <w:spacing w:line="336" w:lineRule="auto"/>
        <w:ind w:firstLine="420" w:firstLineChars="20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（请在用途栏中注明“ （项目名称+包号） 投标保证金”。（如“项目名称”字符过多，用途栏处填写不下的，则“取‘项目名称’前面字符”填入。）</w:t>
      </w:r>
    </w:p>
    <w:p>
      <w:pPr>
        <w:keepNext w:val="0"/>
        <w:keepLines w:val="0"/>
        <w:pageBreakBefore w:val="0"/>
        <w:widowControl w:val="0"/>
        <w:kinsoku/>
        <w:overflowPunct/>
        <w:topLinePunct w:val="0"/>
        <w:autoSpaceDE/>
        <w:autoSpaceDN/>
        <w:bidi w:val="0"/>
        <w:adjustRightInd w:val="0"/>
        <w:snapToGrid w:val="0"/>
        <w:spacing w:line="336" w:lineRule="auto"/>
        <w:ind w:firstLine="420" w:firstLineChars="200"/>
        <w:jc w:val="left"/>
        <w:textAlignment w:val="auto"/>
        <w:rPr>
          <w:rFonts w:hint="eastAsia" w:ascii="宋体" w:hAnsi="宋体" w:eastAsia="宋体" w:cs="宋体"/>
          <w:b w:val="0"/>
          <w:bCs w:val="0"/>
          <w:color w:val="auto"/>
          <w:kern w:val="0"/>
          <w:szCs w:val="21"/>
          <w:lang w:val="en-US" w:eastAsia="zh-CN"/>
        </w:rPr>
      </w:pPr>
    </w:p>
    <w:p/>
    <w:p>
      <w:pPr>
        <w:keepNext w:val="0"/>
        <w:keepLines w:val="0"/>
        <w:pageBreakBefore w:val="0"/>
        <w:widowControl w:val="0"/>
        <w:kinsoku/>
        <w:overflowPunct/>
        <w:topLinePunct w:val="0"/>
        <w:autoSpaceDE/>
        <w:autoSpaceDN/>
        <w:bidi w:val="0"/>
        <w:adjustRightInd w:val="0"/>
        <w:snapToGrid w:val="0"/>
        <w:spacing w:line="336" w:lineRule="auto"/>
        <w:ind w:firstLine="420" w:firstLineChars="200"/>
        <w:jc w:val="left"/>
        <w:textAlignment w:val="auto"/>
        <w:rPr>
          <w:rFonts w:hint="eastAsia" w:ascii="宋体" w:hAnsi="宋体" w:eastAsia="宋体" w:cs="宋体"/>
          <w:b w:val="0"/>
          <w:bCs w:val="0"/>
          <w:color w:val="auto"/>
          <w:kern w:val="0"/>
          <w:szCs w:val="21"/>
          <w:lang w:val="en-US" w:eastAsia="zh-CN"/>
        </w:rPr>
      </w:pPr>
    </w:p>
    <w:p>
      <w:pPr>
        <w:pStyle w:val="2"/>
        <w:rPr>
          <w:rFonts w:hint="eastAsia" w:ascii="宋体" w:hAnsi="宋体" w:eastAsia="宋体" w:cs="宋体"/>
          <w:b w:val="0"/>
          <w:bCs w:val="0"/>
          <w:color w:val="auto"/>
          <w:kern w:val="0"/>
          <w:szCs w:val="21"/>
          <w:lang w:val="en-US" w:eastAsia="zh-CN"/>
        </w:rPr>
      </w:pPr>
    </w:p>
    <w:p>
      <w:pPr>
        <w:rPr>
          <w:rFonts w:hint="eastAsia" w:ascii="宋体" w:hAnsi="宋体" w:eastAsia="宋体" w:cs="宋体"/>
          <w:b w:val="0"/>
          <w:bCs w:val="0"/>
          <w:color w:val="auto"/>
          <w:kern w:val="0"/>
          <w:szCs w:val="21"/>
          <w:lang w:val="en-US" w:eastAsia="zh-CN"/>
        </w:rPr>
      </w:pPr>
    </w:p>
    <w:p>
      <w:pPr>
        <w:pStyle w:val="2"/>
        <w:rPr>
          <w:rFonts w:hint="eastAsia" w:ascii="宋体" w:hAnsi="宋体" w:eastAsia="宋体" w:cs="宋体"/>
          <w:b w:val="0"/>
          <w:bCs w:val="0"/>
          <w:color w:val="auto"/>
          <w:kern w:val="0"/>
          <w:szCs w:val="21"/>
          <w:lang w:val="en-US" w:eastAsia="zh-CN"/>
        </w:rPr>
      </w:pPr>
    </w:p>
    <w:p>
      <w:pPr>
        <w:rPr>
          <w:rFonts w:hint="eastAsia" w:ascii="宋体" w:hAnsi="宋体" w:eastAsia="宋体" w:cs="宋体"/>
          <w:b w:val="0"/>
          <w:bCs w:val="0"/>
          <w:color w:val="auto"/>
          <w:kern w:val="0"/>
          <w:szCs w:val="21"/>
          <w:lang w:val="en-US" w:eastAsia="zh-CN"/>
        </w:rPr>
      </w:pPr>
    </w:p>
    <w:p>
      <w:pPr>
        <w:pStyle w:val="2"/>
        <w:rPr>
          <w:rFonts w:hint="eastAsia" w:ascii="宋体" w:hAnsi="宋体" w:eastAsia="宋体" w:cs="宋体"/>
          <w:b w:val="0"/>
          <w:bCs w:val="0"/>
          <w:color w:val="auto"/>
          <w:kern w:val="0"/>
          <w:szCs w:val="21"/>
          <w:lang w:val="en-US" w:eastAsia="zh-CN"/>
        </w:rPr>
      </w:pPr>
    </w:p>
    <w:p>
      <w:pPr>
        <w:rPr>
          <w:rFonts w:hint="eastAsia" w:ascii="宋体" w:hAnsi="宋体" w:eastAsia="宋体" w:cs="宋体"/>
          <w:b w:val="0"/>
          <w:bCs w:val="0"/>
          <w:color w:val="auto"/>
          <w:kern w:val="0"/>
          <w:szCs w:val="21"/>
          <w:lang w:val="en-US" w:eastAsia="zh-CN"/>
        </w:rPr>
      </w:pPr>
    </w:p>
    <w:p>
      <w:pPr>
        <w:pStyle w:val="2"/>
        <w:rPr>
          <w:rFonts w:hint="eastAsia" w:ascii="宋体" w:hAnsi="宋体" w:eastAsia="宋体" w:cs="宋体"/>
          <w:b w:val="0"/>
          <w:bCs w:val="0"/>
          <w:color w:val="auto"/>
          <w:kern w:val="0"/>
          <w:szCs w:val="21"/>
          <w:lang w:val="en-US" w:eastAsia="zh-CN"/>
        </w:rPr>
      </w:pPr>
    </w:p>
    <w:p>
      <w:pPr>
        <w:rPr>
          <w:rFonts w:hint="eastAsia" w:ascii="宋体" w:hAnsi="宋体" w:eastAsia="宋体" w:cs="宋体"/>
          <w:b w:val="0"/>
          <w:bCs w:val="0"/>
          <w:color w:val="auto"/>
          <w:kern w:val="0"/>
          <w:szCs w:val="21"/>
          <w:lang w:val="en-US" w:eastAsia="zh-CN"/>
        </w:rPr>
      </w:pPr>
    </w:p>
    <w:p>
      <w:pPr>
        <w:pStyle w:val="2"/>
        <w:rPr>
          <w:rFonts w:hint="eastAsia" w:ascii="宋体" w:hAnsi="宋体" w:eastAsia="宋体" w:cs="宋体"/>
          <w:b w:val="0"/>
          <w:bCs w:val="0"/>
          <w:color w:val="auto"/>
          <w:kern w:val="0"/>
          <w:szCs w:val="21"/>
          <w:lang w:val="en-US" w:eastAsia="zh-CN"/>
        </w:rPr>
      </w:pPr>
    </w:p>
    <w:p>
      <w:pPr>
        <w:rPr>
          <w:rFonts w:hint="eastAsia" w:ascii="宋体" w:hAnsi="宋体" w:eastAsia="宋体" w:cs="宋体"/>
          <w:b w:val="0"/>
          <w:bCs w:val="0"/>
          <w:color w:val="auto"/>
          <w:kern w:val="0"/>
          <w:szCs w:val="21"/>
          <w:lang w:val="en-US" w:eastAsia="zh-CN"/>
        </w:rPr>
      </w:pPr>
    </w:p>
    <w:p>
      <w:pPr>
        <w:pStyle w:val="2"/>
        <w:rPr>
          <w:rFonts w:hint="eastAsia" w:ascii="宋体" w:hAnsi="宋体" w:eastAsia="宋体" w:cs="宋体"/>
          <w:b w:val="0"/>
          <w:bCs w:val="0"/>
          <w:color w:val="auto"/>
          <w:kern w:val="0"/>
          <w:szCs w:val="21"/>
          <w:lang w:val="en-US" w:eastAsia="zh-CN"/>
        </w:rPr>
      </w:pPr>
    </w:p>
    <w:p>
      <w:pPr>
        <w:rPr>
          <w:rFonts w:hint="eastAsia"/>
          <w:lang w:val="en-US" w:eastAsia="zh-CN"/>
        </w:rPr>
      </w:pPr>
    </w:p>
    <w:p>
      <w:pPr>
        <w:rPr>
          <w:color w:val="auto"/>
        </w:rPr>
      </w:pPr>
    </w:p>
    <w:p>
      <w:pPr>
        <w:jc w:val="center"/>
        <w:outlineLvl w:val="0"/>
        <w:rPr>
          <w:rFonts w:hint="eastAsia" w:asciiTheme="majorEastAsia" w:hAnsiTheme="majorEastAsia" w:eastAsiaTheme="majorEastAsia" w:cstheme="majorEastAsia"/>
          <w:b/>
          <w:color w:val="auto"/>
          <w:sz w:val="32"/>
          <w:szCs w:val="32"/>
        </w:rPr>
      </w:pPr>
    </w:p>
    <w:p>
      <w:pPr>
        <w:jc w:val="center"/>
        <w:outlineLvl w:val="0"/>
        <w:rPr>
          <w:rFonts w:hint="eastAsia" w:asciiTheme="majorEastAsia" w:hAnsiTheme="majorEastAsia" w:eastAsiaTheme="majorEastAsia" w:cstheme="majorEastAsia"/>
          <w:b/>
          <w:color w:val="auto"/>
          <w:sz w:val="32"/>
          <w:szCs w:val="32"/>
        </w:rPr>
      </w:pPr>
    </w:p>
    <w:p>
      <w:pPr>
        <w:jc w:val="center"/>
        <w:outlineLvl w:val="0"/>
        <w:rPr>
          <w:rFonts w:hint="eastAsia" w:asciiTheme="majorEastAsia" w:hAnsiTheme="majorEastAsia" w:eastAsiaTheme="majorEastAsia" w:cstheme="majorEastAsia"/>
          <w:b/>
          <w:color w:val="auto"/>
          <w:sz w:val="32"/>
          <w:szCs w:val="32"/>
        </w:rPr>
      </w:pPr>
    </w:p>
    <w:p>
      <w:pPr>
        <w:jc w:val="center"/>
        <w:outlineLvl w:val="0"/>
        <w:rPr>
          <w:rFonts w:hint="eastAsia" w:asciiTheme="majorEastAsia" w:hAnsiTheme="majorEastAsia" w:eastAsiaTheme="majorEastAsia" w:cstheme="majorEastAsia"/>
          <w:b/>
          <w:color w:val="auto"/>
          <w:sz w:val="32"/>
          <w:szCs w:val="32"/>
        </w:rPr>
      </w:pPr>
    </w:p>
    <w:p>
      <w:pPr>
        <w:jc w:val="center"/>
        <w:outlineLvl w:val="0"/>
        <w:rPr>
          <w:rFonts w:hint="eastAsia" w:asciiTheme="majorEastAsia" w:hAnsiTheme="majorEastAsia" w:eastAsiaTheme="majorEastAsia" w:cstheme="majorEastAsia"/>
          <w:b/>
          <w:color w:val="auto"/>
          <w:sz w:val="32"/>
          <w:szCs w:val="32"/>
        </w:rPr>
      </w:pPr>
    </w:p>
    <w:p>
      <w:pPr>
        <w:jc w:val="center"/>
        <w:outlineLvl w:val="0"/>
        <w:rPr>
          <w:rFonts w:hint="eastAsia" w:asciiTheme="majorEastAsia" w:hAnsiTheme="majorEastAsia" w:eastAsiaTheme="majorEastAsia" w:cstheme="majorEastAsia"/>
          <w:b/>
          <w:color w:val="auto"/>
          <w:sz w:val="32"/>
          <w:szCs w:val="32"/>
        </w:rPr>
      </w:pPr>
      <w:bookmarkStart w:id="11" w:name="_Toc26756"/>
      <w:r>
        <w:rPr>
          <w:rFonts w:hint="eastAsia" w:asciiTheme="majorEastAsia" w:hAnsiTheme="majorEastAsia" w:eastAsiaTheme="majorEastAsia" w:cstheme="majorEastAsia"/>
          <w:b/>
          <w:color w:val="auto"/>
          <w:sz w:val="32"/>
          <w:szCs w:val="32"/>
        </w:rPr>
        <w:t>第二章 磋商须知</w:t>
      </w:r>
      <w:bookmarkEnd w:id="11"/>
    </w:p>
    <w:p>
      <w:pPr>
        <w:pStyle w:val="12"/>
        <w:jc w:val="center"/>
        <w:rPr>
          <w:rFonts w:hint="eastAsia" w:asciiTheme="majorEastAsia" w:hAnsiTheme="majorEastAsia" w:eastAsiaTheme="majorEastAsia" w:cstheme="majorEastAsia"/>
          <w:b/>
          <w:color w:val="auto"/>
          <w:sz w:val="24"/>
          <w:szCs w:val="24"/>
        </w:rPr>
      </w:pPr>
    </w:p>
    <w:p>
      <w:pPr>
        <w:pStyle w:val="12"/>
        <w:jc w:val="center"/>
        <w:outlineLvl w:val="1"/>
        <w:rPr>
          <w:rFonts w:hint="eastAsia" w:asciiTheme="majorEastAsia" w:hAnsiTheme="majorEastAsia" w:eastAsiaTheme="majorEastAsia" w:cstheme="majorEastAsia"/>
          <w:b/>
          <w:color w:val="auto"/>
          <w:sz w:val="24"/>
          <w:szCs w:val="24"/>
        </w:rPr>
      </w:pPr>
      <w:bookmarkStart w:id="12" w:name="_Toc32254"/>
      <w:r>
        <w:rPr>
          <w:rFonts w:hint="eastAsia" w:asciiTheme="majorEastAsia" w:hAnsiTheme="majorEastAsia" w:eastAsiaTheme="majorEastAsia" w:cstheme="majorEastAsia"/>
          <w:b/>
          <w:color w:val="auto"/>
          <w:sz w:val="24"/>
          <w:szCs w:val="24"/>
        </w:rPr>
        <w:t>磋商须知前附表</w:t>
      </w:r>
      <w:bookmarkEnd w:id="12"/>
    </w:p>
    <w:tbl>
      <w:tblPr>
        <w:tblStyle w:val="20"/>
        <w:tblW w:w="968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11"/>
        <w:gridCol w:w="1431"/>
        <w:gridCol w:w="850"/>
        <w:gridCol w:w="1977"/>
        <w:gridCol w:w="1738"/>
        <w:gridCol w:w="18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1811" w:type="dxa"/>
            <w:noWrap w:val="0"/>
            <w:vAlign w:val="center"/>
          </w:tcPr>
          <w:p>
            <w:pPr>
              <w:shd w:val="clear" w:color="auto" w:fill="auto"/>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81" w:type="dxa"/>
            <w:gridSpan w:val="2"/>
            <w:noWrap w:val="0"/>
            <w:vAlign w:val="center"/>
          </w:tcPr>
          <w:p>
            <w:pPr>
              <w:shd w:val="clear" w:color="auto" w:fill="auto"/>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595" w:type="dxa"/>
            <w:gridSpan w:val="3"/>
            <w:noWrap w:val="0"/>
            <w:vAlign w:val="center"/>
          </w:tcPr>
          <w:p>
            <w:pPr>
              <w:shd w:val="clear" w:color="auto" w:fill="auto"/>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9687" w:type="dxa"/>
            <w:gridSpan w:val="6"/>
            <w:noWrap w:val="0"/>
            <w:vAlign w:val="center"/>
          </w:tcPr>
          <w:p>
            <w:pPr>
              <w:shd w:val="clear" w:color="auto" w:fill="auto"/>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第二章 磋商须知（前附表）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第1.1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5595" w:type="dxa"/>
            <w:gridSpan w:val="3"/>
            <w:noWrap w:val="0"/>
            <w:vAlign w:val="center"/>
          </w:tcPr>
          <w:p>
            <w:pPr>
              <w:adjustRightInd w:val="0"/>
              <w:snapToGrid w:val="0"/>
              <w:spacing w:beforeLines="50" w:line="360" w:lineRule="auto"/>
              <w:rPr>
                <w:rFonts w:hint="eastAsia" w:ascii="宋体" w:hAnsi="宋体" w:eastAsia="宋体" w:cs="宋体"/>
                <w:color w:val="auto"/>
                <w:szCs w:val="21"/>
                <w:highlight w:val="none"/>
              </w:rPr>
            </w:pPr>
            <w:r>
              <w:rPr>
                <w:rFonts w:hint="eastAsia" w:asciiTheme="majorEastAsia" w:hAnsiTheme="majorEastAsia" w:eastAsiaTheme="majorEastAsia" w:cstheme="majorEastAsia"/>
                <w:color w:val="auto"/>
                <w:lang w:val="en-US" w:eastAsia="zh-CN"/>
              </w:rPr>
              <w:t>茶陵县秩堂镇马吉村红色美丽村庄建设项目户外高清P6全彩显示屏采购项目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default"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采 购 人：茶陵县秩堂镇马吉村村民委员会</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联 系 人：刘先生             </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电   话：13974129378</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bidi="ar"/>
              </w:rPr>
              <w:t>地   址：茶陵县秩堂镇马吉村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第二章第2.2</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采购代理机构：湖南精算堂工程项目管理有限公司</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联 系 人：陈婷、汤庆庆、朱小龙</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电    话：0731-25696784</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bidi="ar"/>
              </w:rPr>
              <w:t>地    址：茶陵县炎帝南路日升大楼四楼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第二章第2.3款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0"/>
                <w:szCs w:val="21"/>
                <w:highlight w:val="none"/>
              </w:rPr>
              <w:t>供应商的</w:t>
            </w:r>
            <w:r>
              <w:rPr>
                <w:rFonts w:hint="eastAsia" w:ascii="宋体" w:hAnsi="宋体" w:eastAsia="宋体" w:cs="宋体"/>
                <w:color w:val="auto"/>
                <w:szCs w:val="21"/>
                <w:highlight w:val="none"/>
              </w:rPr>
              <w:t>邀请方式</w:t>
            </w:r>
          </w:p>
        </w:tc>
        <w:tc>
          <w:tcPr>
            <w:tcW w:w="5595" w:type="dxa"/>
            <w:gridSpan w:val="3"/>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olor w:val="auto"/>
                <w:szCs w:val="21"/>
                <w:highlight w:val="none"/>
              </w:rPr>
            </w:pPr>
            <w:r>
              <w:rPr>
                <w:rFonts w:hint="eastAsia"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val="en-US" w:eastAsia="zh-CN"/>
              </w:rPr>
              <w:t xml:space="preserve"> </w:t>
            </w:r>
            <w:r>
              <w:rPr>
                <w:rFonts w:hint="eastAsia" w:ascii="宋体" w:hAnsi="宋体"/>
                <w:color w:val="auto"/>
                <w:szCs w:val="21"/>
                <w:highlight w:val="none"/>
              </w:rPr>
              <w:t>发布邀请公告</w:t>
            </w:r>
          </w:p>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 xml:space="preserve"> </w:t>
            </w:r>
            <w:r>
              <w:rPr>
                <w:rFonts w:hint="eastAsia" w:ascii="宋体" w:hAnsi="宋体"/>
                <w:color w:val="auto"/>
                <w:szCs w:val="21"/>
                <w:highlight w:val="none"/>
              </w:rPr>
              <w:t>从省级以上财政部门建立的供应商库中随机抽取</w:t>
            </w:r>
          </w:p>
          <w:p>
            <w:pPr>
              <w:pStyle w:val="19"/>
              <w:keepNext w:val="0"/>
              <w:keepLines w:val="0"/>
              <w:pageBreakBefore w:val="0"/>
              <w:shd w:val="clear" w:color="auto" w:fill="auto"/>
              <w:kinsoku/>
              <w:wordWrap/>
              <w:overflowPunct/>
              <w:topLinePunct w:val="0"/>
              <w:autoSpaceDE/>
              <w:autoSpaceDN/>
              <w:bidi w:val="0"/>
              <w:adjustRightInd w:val="0"/>
              <w:snapToGrid w:val="0"/>
              <w:spacing w:before="0" w:beforeAutospacing="0" w:after="0" w:afterAutospacing="0"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cs="Times New Roman"/>
                <w:color w:val="auto"/>
                <w:sz w:val="21"/>
                <w:szCs w:val="21"/>
                <w:highlight w:val="none"/>
              </w:rPr>
              <w:t>□ 采购人和评审专家分别书面推荐的方式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spacing w:line="320" w:lineRule="exact"/>
              <w:jc w:val="center"/>
              <w:rPr>
                <w:rFonts w:hAnsi="宋体"/>
                <w:color w:val="auto"/>
                <w:szCs w:val="21"/>
                <w:highlight w:val="none"/>
              </w:rPr>
            </w:pPr>
            <w:r>
              <w:rPr>
                <w:rFonts w:hint="eastAsia" w:hAnsi="宋体"/>
                <w:color w:val="auto"/>
                <w:szCs w:val="21"/>
                <w:highlight w:val="none"/>
              </w:rPr>
              <w:t>专门面向中小企业</w:t>
            </w:r>
          </w:p>
          <w:p>
            <w:pPr>
              <w:shd w:val="clear" w:color="auto" w:fill="auto"/>
              <w:adjustRightInd w:val="0"/>
              <w:snapToGrid w:val="0"/>
              <w:jc w:val="center"/>
              <w:rPr>
                <w:rFonts w:hint="eastAsia" w:ascii="宋体" w:hAnsi="宋体" w:eastAsia="宋体" w:cs="宋体"/>
                <w:color w:val="auto"/>
                <w:kern w:val="0"/>
                <w:szCs w:val="21"/>
                <w:highlight w:val="none"/>
              </w:rPr>
            </w:pPr>
            <w:r>
              <w:rPr>
                <w:rFonts w:hint="eastAsia" w:hAnsi="宋体"/>
                <w:color w:val="auto"/>
                <w:szCs w:val="21"/>
                <w:highlight w:val="none"/>
              </w:rPr>
              <w:t>采购</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color w:val="auto"/>
                <w:highlight w:val="none"/>
                <w:lang w:eastAsia="zh-CN"/>
              </w:rPr>
            </w:pPr>
            <w:r>
              <w:rPr>
                <w:rFonts w:hint="eastAsia"/>
                <w:color w:val="auto"/>
                <w:highlight w:val="none"/>
                <w:lang w:eastAsia="zh-CN"/>
              </w:rPr>
              <w:t>本项目为：</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color w:val="auto"/>
                <w:highlight w:val="none"/>
                <w:lang w:eastAsia="zh-CN"/>
              </w:rPr>
            </w:pPr>
            <w:r>
              <w:rPr>
                <w:rFonts w:hint="eastAsia"/>
                <w:color w:val="auto"/>
                <w:highlight w:val="none"/>
              </w:rPr>
              <w:t xml:space="preserve">■ </w:t>
            </w:r>
            <w:r>
              <w:rPr>
                <w:rFonts w:hint="eastAsia"/>
                <w:color w:val="auto"/>
                <w:highlight w:val="none"/>
                <w:lang w:eastAsia="zh-CN"/>
              </w:rPr>
              <w:t>专门面向中小企业或者小型、微型企业采购</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color w:val="auto"/>
                <w:highlight w:val="none"/>
                <w:lang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非专门面向中小企业</w:t>
            </w:r>
            <w:r>
              <w:rPr>
                <w:rFonts w:hint="eastAsia"/>
                <w:color w:val="auto"/>
                <w:highlight w:val="none"/>
                <w:lang w:eastAsia="zh-CN"/>
              </w:rPr>
              <w:t>或者小型、微型企业采购：</w:t>
            </w:r>
          </w:p>
          <w:p>
            <w:pPr>
              <w:pStyle w:val="19"/>
              <w:keepNext w:val="0"/>
              <w:keepLines w:val="0"/>
              <w:pageBreakBefore w:val="0"/>
              <w:shd w:val="clear" w:color="auto" w:fill="auto"/>
              <w:kinsoku/>
              <w:wordWrap/>
              <w:overflowPunct/>
              <w:topLinePunct w:val="0"/>
              <w:autoSpaceDE/>
              <w:autoSpaceDN/>
              <w:bidi w:val="0"/>
              <w:adjustRightInd w:val="0"/>
              <w:snapToGrid w:val="0"/>
              <w:spacing w:before="0" w:beforeAutospacing="0" w:after="0" w:afterAutospacing="0" w:line="400" w:lineRule="exact"/>
              <w:textAlignment w:val="auto"/>
              <w:rPr>
                <w:rFonts w:hint="eastAsia" w:cs="Times New Roman"/>
                <w:color w:val="auto"/>
                <w:sz w:val="21"/>
                <w:szCs w:val="21"/>
                <w:highlight w:val="none"/>
              </w:rPr>
            </w:pP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color w:val="auto"/>
                <w:sz w:val="21"/>
                <w:szCs w:val="21"/>
                <w:highlight w:val="none"/>
                <w:u w:val="single"/>
                <w:lang w:val="en-US" w:eastAsia="zh-CN"/>
              </w:rPr>
              <w:t>（预留采购份额）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资格条件</w:t>
            </w:r>
          </w:p>
        </w:tc>
        <w:tc>
          <w:tcPr>
            <w:tcW w:w="5595" w:type="dxa"/>
            <w:gridSpan w:val="3"/>
            <w:noWrap w:val="0"/>
            <w:vAlign w:val="center"/>
          </w:tcPr>
          <w:p>
            <w:pPr>
              <w:keepNext w:val="0"/>
              <w:keepLines w:val="0"/>
              <w:pageBreakBefore w:val="0"/>
              <w:widowControl w:val="0"/>
              <w:shd w:val="clear" w:color="auto" w:fill="auto"/>
              <w:kinsoku/>
              <w:overflowPunct/>
              <w:topLinePunct w:val="0"/>
              <w:autoSpaceDE/>
              <w:autoSpaceDN/>
              <w:bidi w:val="0"/>
              <w:adjustRightInd w:val="0"/>
              <w:snapToGrid w:val="0"/>
              <w:spacing w:line="360" w:lineRule="exact"/>
              <w:jc w:val="left"/>
              <w:textAlignment w:val="auto"/>
              <w:rPr>
                <w:rFonts w:hint="eastAsia"/>
                <w:color w:val="auto"/>
                <w:highlight w:val="none"/>
              </w:rPr>
            </w:pPr>
            <w:r>
              <w:rPr>
                <w:rFonts w:hint="eastAsia"/>
                <w:b/>
                <w:bCs/>
                <w:color w:val="auto"/>
                <w:highlight w:val="none"/>
                <w:lang w:val="en-US" w:eastAsia="zh-CN"/>
              </w:rPr>
              <w:t>1、</w:t>
            </w:r>
            <w:r>
              <w:rPr>
                <w:rFonts w:hint="eastAsia"/>
                <w:b/>
                <w:bCs/>
                <w:color w:val="auto"/>
                <w:highlight w:val="none"/>
              </w:rPr>
              <w:t>供应商基本资格条件：</w:t>
            </w:r>
            <w:r>
              <w:rPr>
                <w:rFonts w:hint="eastAsia"/>
                <w:color w:val="auto"/>
                <w:highlight w:val="none"/>
                <w:lang w:val="en-US" w:eastAsia="zh-CN"/>
              </w:rPr>
              <w:t>供应商</w:t>
            </w:r>
            <w:r>
              <w:rPr>
                <w:rFonts w:hint="eastAsia"/>
                <w:color w:val="auto"/>
                <w:highlight w:val="none"/>
              </w:rPr>
              <w:t>必须是在中华人民共和国境内注册登记的法人、非法人组织或者自然人，且应当符合《政府采购法》第二十二条规定的供应商条件，即：</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（1）具有独立承担民事责任的能力；</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（2）具有良好的商业信誉和健全的财务会计制度；</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（3）具有履行合同所必需的设备和专业技术能力；</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（4）有依法缴纳税收和社会保障资金的良好记录；</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（5）参加政府采购活动前三年内，在经营活动中没有重大违法记录；</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ind w:firstLine="420" w:firstLineChars="200"/>
              <w:jc w:val="left"/>
              <w:textAlignment w:val="auto"/>
              <w:rPr>
                <w:rFonts w:hint="eastAsia"/>
                <w:color w:val="auto"/>
                <w:highlight w:val="none"/>
                <w:lang w:eastAsia="zh-CN"/>
              </w:rPr>
            </w:pPr>
            <w:r>
              <w:rPr>
                <w:rFonts w:hint="eastAsia"/>
                <w:color w:val="auto"/>
                <w:highlight w:val="none"/>
                <w:lang w:eastAsia="zh-CN"/>
              </w:rPr>
              <w:t>（6）法律、行政法规规定的其他条件。</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jc w:val="left"/>
              <w:textAlignment w:val="auto"/>
              <w:rPr>
                <w:rFonts w:hint="eastAsia" w:asciiTheme="majorEastAsia" w:hAnsiTheme="majorEastAsia" w:eastAsiaTheme="majorEastAsia" w:cstheme="majorEastAsia"/>
                <w:color w:val="auto"/>
                <w:lang w:val="en-US" w:eastAsia="zh-CN"/>
              </w:rPr>
            </w:pPr>
            <w:r>
              <w:rPr>
                <w:rFonts w:hint="eastAsia" w:ascii="Times New Roman" w:hAnsi="Times New Roman" w:eastAsia="宋体" w:cs="Times New Roman"/>
                <w:b/>
                <w:bCs/>
                <w:color w:val="auto"/>
                <w:highlight w:val="none"/>
                <w:lang w:eastAsia="zh-CN"/>
              </w:rPr>
              <w:t>2、供应商特定资格条件：</w:t>
            </w:r>
            <w:r>
              <w:rPr>
                <w:rFonts w:hint="eastAsia" w:asciiTheme="majorEastAsia" w:hAnsiTheme="majorEastAsia" w:eastAsiaTheme="majorEastAsia" w:cstheme="majorEastAsia"/>
                <w:b/>
                <w:bCs/>
                <w:color w:val="auto"/>
                <w:lang w:val="en-US" w:eastAsia="zh-CN"/>
              </w:rPr>
              <w:t>具有本采购项目的相关经营范围</w:t>
            </w:r>
            <w:r>
              <w:rPr>
                <w:rFonts w:hint="eastAsia" w:asciiTheme="majorEastAsia" w:hAnsiTheme="majorEastAsia" w:eastAsiaTheme="majorEastAsia" w:cstheme="majorEastAsia"/>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3、</w:t>
            </w:r>
            <w:r>
              <w:rPr>
                <w:rFonts w:hint="eastAsia"/>
                <w:color w:val="auto"/>
                <w:lang w:val="en-US" w:eastAsia="zh-CN"/>
              </w:rPr>
              <w:t>投标人通过“信用中国”网站（www.creditchina.gov.cn）和中国政府采购网（www.ccgp.gov.cn）、查询投标人主体的信用记录的截图的复印件</w:t>
            </w:r>
            <w:r>
              <w:rPr>
                <w:rFonts w:hint="eastAsia" w:asciiTheme="majorEastAsia" w:hAnsiTheme="majorEastAsia" w:eastAsiaTheme="majorEastAsia" w:cstheme="majorEastAsia"/>
                <w:color w:val="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4、单位负责人为同一人或者存在直接控股、管理关系的不同投标人，不得参加同一合同项下的政府采购活动。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36" w:lineRule="auto"/>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5、为本采购项目提供整体设计、规范编制或者项目管理、监理、检测等服务的，不得再参加此项目的其他政府采购采购活动。</w:t>
            </w:r>
          </w:p>
          <w:p>
            <w:pPr>
              <w:keepNext w:val="0"/>
              <w:keepLines w:val="0"/>
              <w:pageBreakBefore w:val="0"/>
              <w:widowControl w:val="0"/>
              <w:kinsoku/>
              <w:wordWrap/>
              <w:overflowPunct/>
              <w:topLinePunct w:val="0"/>
              <w:autoSpaceDE/>
              <w:autoSpaceDN/>
              <w:bidi w:val="0"/>
              <w:adjustRightInd w:val="0"/>
              <w:snapToGrid w:val="0"/>
              <w:spacing w:line="336" w:lineRule="auto"/>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6、列入失信被执行人、重大税收违法案件当事人名单，列入政府采购严重违法失信行为记录名单的，拒绝其参与政府采购活动。</w:t>
            </w:r>
          </w:p>
          <w:p>
            <w:pPr>
              <w:keepNext w:val="0"/>
              <w:keepLines w:val="0"/>
              <w:pageBreakBefore w:val="0"/>
              <w:widowControl w:val="0"/>
              <w:shd w:val="clear" w:color="auto" w:fill="auto"/>
              <w:kinsoku/>
              <w:overflowPunct/>
              <w:topLinePunct w:val="0"/>
              <w:autoSpaceDE/>
              <w:autoSpaceDN/>
              <w:bidi w:val="0"/>
              <w:adjustRightInd w:val="0"/>
              <w:snapToGrid w:val="0"/>
              <w:spacing w:line="360" w:lineRule="exact"/>
              <w:jc w:val="left"/>
              <w:textAlignment w:val="auto"/>
              <w:rPr>
                <w:rFonts w:hint="eastAsia"/>
                <w:color w:val="auto"/>
                <w:highlight w:val="none"/>
              </w:rPr>
            </w:pPr>
            <w:r>
              <w:rPr>
                <w:rFonts w:hint="eastAsia" w:asciiTheme="majorEastAsia" w:hAnsiTheme="majorEastAsia" w:eastAsiaTheme="majorEastAsia" w:cstheme="majorEastAsia"/>
                <w:color w:val="auto"/>
                <w:lang w:val="en-US" w:eastAsia="zh-CN"/>
              </w:rPr>
              <w:t>7、本次采购</w:t>
            </w:r>
            <w:r>
              <w:rPr>
                <w:rFonts w:hint="eastAsia" w:asciiTheme="majorEastAsia" w:hAnsiTheme="majorEastAsia" w:eastAsiaTheme="majorEastAsia" w:cstheme="majorEastAsia"/>
                <w:color w:val="auto"/>
                <w:u w:val="none"/>
                <w:lang w:val="en-US" w:eastAsia="zh-CN"/>
              </w:rPr>
              <w:t>不接受</w:t>
            </w:r>
            <w:r>
              <w:rPr>
                <w:rFonts w:hint="eastAsia" w:asciiTheme="majorEastAsia" w:hAnsiTheme="majorEastAsia" w:eastAsiaTheme="majorEastAsia" w:cstheme="majorEastAsia"/>
                <w:color w:val="auto"/>
                <w:lang w:val="en-US" w:eastAsia="zh-CN"/>
              </w:rPr>
              <w:t>联合体形式。</w:t>
            </w:r>
            <w:r>
              <w:rPr>
                <w:rFonts w:hint="eastAsia" w:ascii="宋体" w:hAnsi="宋体" w:cs="宋体"/>
                <w:color w:val="auto"/>
                <w:kern w:val="0"/>
                <w:szCs w:val="21"/>
                <w:highlight w:val="none"/>
                <w:lang w:eastAsia="zh-CN" w:bidi="ar"/>
              </w:rPr>
              <w:t>供应商</w:t>
            </w:r>
            <w:r>
              <w:rPr>
                <w:rFonts w:hint="eastAsia" w:ascii="宋体" w:hAnsi="宋体" w:eastAsia="宋体" w:cs="宋体"/>
                <w:color w:val="auto"/>
                <w:kern w:val="0"/>
                <w:szCs w:val="21"/>
                <w:highlight w:val="none"/>
                <w:lang w:bidi="ar"/>
              </w:rPr>
              <w:t>能满足本项目《磋商文件》规定的各项要求，以及法律、行政法规规定的其他条件。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第二章第6.1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联合体磋商</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不</w:t>
            </w:r>
            <w:r>
              <w:rPr>
                <w:rFonts w:hint="eastAsia" w:ascii="宋体" w:hAnsi="宋体" w:eastAsia="宋体" w:cs="宋体"/>
                <w:color w:val="auto"/>
                <w:szCs w:val="21"/>
                <w:highlight w:val="none"/>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0" w:hRule="atLeast"/>
          <w:jc w:val="center"/>
        </w:trPr>
        <w:tc>
          <w:tcPr>
            <w:tcW w:w="1811" w:type="dxa"/>
            <w:noWrap w:val="0"/>
            <w:vAlign w:val="center"/>
          </w:tcPr>
          <w:p>
            <w:pPr>
              <w:shd w:val="clear" w:color="auto" w:fill="auto"/>
              <w:adjustRightInd w:val="0"/>
              <w:snapToGrid w:val="0"/>
              <w:spacing w:line="28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第二章第7.1款</w:t>
            </w:r>
          </w:p>
        </w:tc>
        <w:tc>
          <w:tcPr>
            <w:tcW w:w="2281" w:type="dxa"/>
            <w:gridSpan w:val="2"/>
            <w:noWrap w:val="0"/>
            <w:vAlign w:val="center"/>
          </w:tcPr>
          <w:p>
            <w:pPr>
              <w:shd w:val="clear" w:color="auto" w:fill="auto"/>
              <w:adjustRightInd w:val="0"/>
              <w:snapToGrid w:val="0"/>
              <w:spacing w:line="28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现场勘察</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1、供应商自行组织现场勘察。</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2、勘察现场的费用由供应商自己承担，勘察期间所发生的人身伤害及财产损失由供应商自己负责。</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3、采购人不对供应商据此而做出的推论、理解和结论负责。一旦成交，供应商不得以任何借口，而提出额外补偿，或延长合同期限的要求。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第二章第8.1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采购进口产品</w:t>
            </w:r>
          </w:p>
        </w:tc>
        <w:tc>
          <w:tcPr>
            <w:tcW w:w="5595" w:type="dxa"/>
            <w:gridSpan w:val="3"/>
            <w:noWrap w:val="0"/>
            <w:vAlign w:val="top"/>
          </w:tcPr>
          <w:p>
            <w:pPr>
              <w:shd w:val="clear" w:color="auto" w:fill="auto"/>
              <w:adjustRightInd w:val="0"/>
              <w:snapToGrid w:val="0"/>
              <w:spacing w:line="360" w:lineRule="exact"/>
              <w:rPr>
                <w:rFonts w:hint="eastAsia" w:ascii="宋体" w:hAnsi="宋体" w:eastAsia="宋体" w:cs="宋体"/>
                <w:snapToGrid w:val="0"/>
                <w:color w:val="auto"/>
                <w:kern w:val="0"/>
                <w:szCs w:val="21"/>
                <w:highlight w:val="none"/>
                <w:shd w:val="clear" w:color="auto" w:fill="FFFFFF"/>
              </w:rPr>
            </w:pPr>
            <w:r>
              <w:rPr>
                <w:rFonts w:hint="eastAsia" w:ascii="宋体" w:hAnsi="宋体" w:eastAsia="宋体" w:cs="宋体"/>
                <w:color w:val="auto"/>
                <w:kern w:val="2"/>
                <w:sz w:val="21"/>
                <w:szCs w:val="21"/>
                <w:highlight w:val="none"/>
              </w:rPr>
              <w:t>■</w:t>
            </w:r>
            <w:r>
              <w:rPr>
                <w:rFonts w:hint="eastAsia" w:ascii="宋体" w:hAnsi="宋体" w:cs="宋体"/>
                <w:color w:val="auto"/>
                <w:kern w:val="2"/>
                <w:sz w:val="21"/>
                <w:szCs w:val="21"/>
                <w:highlight w:val="none"/>
                <w:lang w:val="en-US" w:eastAsia="zh-CN"/>
              </w:rPr>
              <w:t xml:space="preserve"> </w:t>
            </w:r>
            <w:r>
              <w:rPr>
                <w:rFonts w:hint="eastAsia" w:ascii="宋体" w:hAnsi="宋体" w:eastAsia="宋体" w:cs="宋体"/>
                <w:snapToGrid w:val="0"/>
                <w:color w:val="auto"/>
                <w:kern w:val="0"/>
                <w:szCs w:val="21"/>
                <w:highlight w:val="none"/>
                <w:shd w:val="clear" w:color="auto" w:fill="FFFFFF"/>
              </w:rPr>
              <w:t>本采购项目拒绝进口产品参加投标。</w:t>
            </w:r>
          </w:p>
          <w:p>
            <w:pPr>
              <w:shd w:val="clear" w:color="auto" w:fill="auto"/>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w:t>
            </w:r>
            <w:r>
              <w:rPr>
                <w:rFonts w:hint="eastAsia" w:ascii="宋体" w:hAnsi="宋体" w:eastAsia="宋体" w:cs="宋体"/>
                <w:snapToGrid w:val="0"/>
                <w:color w:val="auto"/>
                <w:kern w:val="0"/>
                <w:szCs w:val="21"/>
                <w:highlight w:val="none"/>
                <w:shd w:val="clear" w:color="auto" w:fill="FFFFFF"/>
              </w:rPr>
              <w:t>本采购项目已经财政部门审核同意购买进口产品。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.3款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磋商文件的可能实质性变动内容</w:t>
            </w:r>
          </w:p>
        </w:tc>
        <w:tc>
          <w:tcPr>
            <w:tcW w:w="5595" w:type="dxa"/>
            <w:gridSpan w:val="3"/>
            <w:noWrap w:val="0"/>
            <w:vAlign w:val="center"/>
          </w:tcPr>
          <w:p>
            <w:pPr>
              <w:shd w:val="clear" w:color="auto" w:fill="auto"/>
              <w:adjustRightInd w:val="0"/>
              <w:snapToGrid w:val="0"/>
              <w:spacing w:line="280" w:lineRule="exact"/>
              <w:rPr>
                <w:rFonts w:hint="eastAsia" w:ascii="宋体" w:hAnsi="宋体" w:eastAsia="宋体" w:cs="宋体"/>
                <w:color w:val="auto"/>
                <w:szCs w:val="21"/>
                <w:highlight w:val="none"/>
              </w:rPr>
            </w:pPr>
            <w:r>
              <w:rPr>
                <w:rFonts w:hint="eastAsia" w:ascii="宋体" w:hAnsi="宋体"/>
                <w:color w:val="auto"/>
                <w:szCs w:val="21"/>
                <w:highlight w:val="none"/>
              </w:rPr>
              <w:t>1、技术要求；2、服务要求；3、合同条款；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10.1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提交首次响应文件的截止时间</w:t>
            </w:r>
          </w:p>
        </w:tc>
        <w:tc>
          <w:tcPr>
            <w:tcW w:w="5595" w:type="dxa"/>
            <w:gridSpan w:val="3"/>
            <w:noWrap w:val="0"/>
            <w:vAlign w:val="center"/>
          </w:tcPr>
          <w:p>
            <w:pPr>
              <w:shd w:val="clear" w:color="auto" w:fill="auto"/>
              <w:adjustRightInd w:val="0"/>
              <w:snapToGrid w:val="0"/>
              <w:jc w:val="left"/>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20</w:t>
            </w:r>
            <w:r>
              <w:rPr>
                <w:rFonts w:hint="eastAsia" w:ascii="宋体" w:hAnsi="宋体" w:cs="宋体"/>
                <w:b w:val="0"/>
                <w:bCs w:val="0"/>
                <w:color w:val="auto"/>
                <w:szCs w:val="21"/>
                <w:highlight w:val="none"/>
                <w:u w:val="none"/>
                <w:lang w:val="en-US" w:eastAsia="zh-CN"/>
              </w:rPr>
              <w:t>22</w:t>
            </w:r>
            <w:r>
              <w:rPr>
                <w:rFonts w:hint="eastAsia" w:ascii="宋体" w:hAnsi="宋体" w:eastAsia="宋体" w:cs="宋体"/>
                <w:b w:val="0"/>
                <w:bCs w:val="0"/>
                <w:color w:val="auto"/>
                <w:szCs w:val="21"/>
                <w:highlight w:val="none"/>
                <w:u w:val="none"/>
              </w:rPr>
              <w:t>年</w:t>
            </w:r>
            <w:r>
              <w:rPr>
                <w:rFonts w:hint="eastAsia" w:ascii="宋体" w:hAnsi="宋体" w:cs="宋体"/>
                <w:b w:val="0"/>
                <w:bCs w:val="0"/>
                <w:color w:val="auto"/>
                <w:szCs w:val="21"/>
                <w:highlight w:val="none"/>
                <w:u w:val="none"/>
                <w:lang w:val="en-US" w:eastAsia="zh-CN"/>
              </w:rPr>
              <w:t>4</w:t>
            </w:r>
            <w:r>
              <w:rPr>
                <w:rFonts w:hint="eastAsia" w:ascii="宋体" w:hAnsi="宋体" w:eastAsia="宋体" w:cs="宋体"/>
                <w:b w:val="0"/>
                <w:bCs w:val="0"/>
                <w:color w:val="auto"/>
                <w:szCs w:val="21"/>
                <w:highlight w:val="none"/>
                <w:u w:val="none"/>
              </w:rPr>
              <w:t>月</w:t>
            </w:r>
            <w:r>
              <w:rPr>
                <w:rFonts w:hint="eastAsia" w:ascii="宋体" w:hAnsi="宋体" w:cs="宋体"/>
                <w:b w:val="0"/>
                <w:bCs w:val="0"/>
                <w:color w:val="auto"/>
                <w:szCs w:val="21"/>
                <w:highlight w:val="none"/>
                <w:u w:val="none"/>
                <w:lang w:val="en-US" w:eastAsia="zh-CN"/>
              </w:rPr>
              <w:t>13</w:t>
            </w:r>
            <w:r>
              <w:rPr>
                <w:rFonts w:hint="eastAsia" w:ascii="宋体" w:hAnsi="宋体" w:eastAsia="宋体" w:cs="宋体"/>
                <w:b w:val="0"/>
                <w:bCs w:val="0"/>
                <w:color w:val="auto"/>
                <w:szCs w:val="21"/>
                <w:highlight w:val="none"/>
                <w:u w:val="none"/>
              </w:rPr>
              <w:t>日</w:t>
            </w:r>
            <w:r>
              <w:rPr>
                <w:rFonts w:hint="eastAsia" w:ascii="宋体" w:hAnsi="宋体" w:cs="宋体"/>
                <w:b w:val="0"/>
                <w:bCs w:val="0"/>
                <w:color w:val="auto"/>
                <w:szCs w:val="21"/>
                <w:highlight w:val="none"/>
                <w:u w:val="none"/>
                <w:lang w:val="en-US" w:eastAsia="zh-CN"/>
              </w:rPr>
              <w:t>09</w:t>
            </w:r>
            <w:r>
              <w:rPr>
                <w:rFonts w:hint="eastAsia" w:ascii="宋体" w:hAnsi="宋体" w:eastAsia="宋体" w:cs="宋体"/>
                <w:b w:val="0"/>
                <w:bCs w:val="0"/>
                <w:color w:val="auto"/>
                <w:szCs w:val="21"/>
                <w:highlight w:val="none"/>
                <w:u w:val="none"/>
              </w:rPr>
              <w:t>时</w:t>
            </w:r>
            <w:r>
              <w:rPr>
                <w:rFonts w:hint="eastAsia" w:ascii="宋体" w:hAnsi="宋体" w:cs="宋体"/>
                <w:b w:val="0"/>
                <w:bCs w:val="0"/>
                <w:color w:val="auto"/>
                <w:szCs w:val="21"/>
                <w:highlight w:val="none"/>
                <w:u w:val="none"/>
                <w:lang w:val="en-US" w:eastAsia="zh-CN"/>
              </w:rPr>
              <w:t>00</w:t>
            </w:r>
            <w:r>
              <w:rPr>
                <w:rFonts w:hint="eastAsia" w:ascii="宋体" w:hAnsi="宋体" w:eastAsia="宋体" w:cs="宋体"/>
                <w:b w:val="0"/>
                <w:bCs w:val="0"/>
                <w:color w:val="auto"/>
                <w:szCs w:val="21"/>
                <w:highlight w:val="none"/>
                <w:u w:val="none"/>
              </w:rPr>
              <w:t>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三、响应文件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14.4</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采</w:t>
            </w:r>
            <w:r>
              <w:rPr>
                <w:rFonts w:hint="eastAsia" w:ascii="宋体" w:hAnsi="宋体" w:eastAsia="宋体" w:cs="宋体"/>
                <w:color w:val="auto"/>
                <w:szCs w:val="21"/>
                <w:highlight w:val="none"/>
              </w:rPr>
              <w:t>购项目预算</w:t>
            </w:r>
            <w:r>
              <w:rPr>
                <w:rFonts w:hint="eastAsia" w:ascii="宋体" w:hAnsi="宋体" w:cs="宋体"/>
                <w:color w:val="auto"/>
                <w:szCs w:val="21"/>
                <w:highlight w:val="none"/>
                <w:lang w:val="en-US" w:eastAsia="zh-CN"/>
              </w:rPr>
              <w:t>/最高限价</w:t>
            </w:r>
          </w:p>
        </w:tc>
        <w:tc>
          <w:tcPr>
            <w:tcW w:w="5595" w:type="dxa"/>
            <w:gridSpan w:val="3"/>
            <w:noWrap w:val="0"/>
            <w:vAlign w:val="center"/>
          </w:tcPr>
          <w:p>
            <w:pPr>
              <w:keepNext w:val="0"/>
              <w:keepLines w:val="0"/>
              <w:pageBreakBefore w:val="0"/>
              <w:widowControl w:val="0"/>
              <w:shd w:val="clear" w:color="auto" w:fill="auto"/>
              <w:kinsoku/>
              <w:wordWrap/>
              <w:overflowPunct/>
              <w:topLinePunct w:val="0"/>
              <w:bidi w:val="0"/>
              <w:adjustRightInd w:val="0"/>
              <w:snapToGrid w:val="0"/>
              <w:spacing w:line="360" w:lineRule="exact"/>
              <w:textAlignment w:val="auto"/>
              <w:rPr>
                <w:rFonts w:hint="eastAsia" w:ascii="宋体" w:hAnsi="宋体" w:cs="宋体"/>
                <w:b/>
                <w:bCs/>
                <w:color w:val="auto"/>
                <w:szCs w:val="21"/>
                <w:highlight w:val="none"/>
                <w:lang w:eastAsia="zh-CN"/>
              </w:rPr>
            </w:pPr>
            <w:r>
              <w:rPr>
                <w:rFonts w:hint="eastAsia" w:ascii="宋体" w:hAnsi="宋体" w:cs="宋体"/>
                <w:b w:val="0"/>
                <w:bCs w:val="0"/>
                <w:color w:val="auto"/>
                <w:szCs w:val="21"/>
                <w:highlight w:val="none"/>
                <w:lang w:eastAsia="zh-CN"/>
              </w:rPr>
              <w:t>采购项目预算：</w:t>
            </w:r>
            <w:r>
              <w:rPr>
                <w:rFonts w:hint="eastAsia" w:ascii="宋体" w:hAnsi="宋体" w:cs="宋体"/>
                <w:b/>
                <w:bCs/>
                <w:color w:val="auto"/>
                <w:szCs w:val="21"/>
                <w:highlight w:val="none"/>
                <w:lang w:eastAsia="zh-CN"/>
              </w:rPr>
              <w:t>￥</w:t>
            </w:r>
            <w:r>
              <w:rPr>
                <w:rFonts w:hint="eastAsia" w:asciiTheme="majorEastAsia" w:hAnsiTheme="majorEastAsia" w:eastAsiaTheme="majorEastAsia" w:cstheme="majorEastAsia"/>
                <w:b/>
                <w:bCs/>
                <w:color w:val="auto"/>
                <w:lang w:val="en-US" w:eastAsia="zh-CN"/>
              </w:rPr>
              <w:t>432000.00</w:t>
            </w:r>
            <w:r>
              <w:rPr>
                <w:rFonts w:hint="eastAsia" w:ascii="宋体" w:hAnsi="宋体" w:cs="宋体"/>
                <w:b/>
                <w:bCs/>
                <w:color w:val="auto"/>
                <w:szCs w:val="21"/>
                <w:highlight w:val="none"/>
                <w:lang w:val="en-US" w:eastAsia="zh-CN"/>
              </w:rPr>
              <w:t>元</w:t>
            </w:r>
            <w:r>
              <w:rPr>
                <w:rFonts w:hint="eastAsia" w:ascii="宋体" w:hAnsi="宋体" w:cs="宋体"/>
                <w:b/>
                <w:bCs/>
                <w:color w:val="auto"/>
                <w:szCs w:val="21"/>
                <w:highlight w:val="none"/>
                <w:lang w:eastAsia="zh-CN"/>
              </w:rPr>
              <w:t>；</w:t>
            </w:r>
          </w:p>
          <w:p>
            <w:pPr>
              <w:keepNext w:val="0"/>
              <w:keepLines w:val="0"/>
              <w:pageBreakBefore w:val="0"/>
              <w:widowControl w:val="0"/>
              <w:shd w:val="clear" w:color="auto" w:fill="auto"/>
              <w:kinsoku/>
              <w:wordWrap/>
              <w:overflowPunct/>
              <w:topLinePunct w:val="0"/>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eastAsia="zh-CN"/>
              </w:rPr>
              <w:t>最高限价</w:t>
            </w:r>
            <w:r>
              <w:rPr>
                <w:rFonts w:hint="eastAsia" w:ascii="宋体" w:hAnsi="宋体" w:cs="宋体"/>
                <w:b w:val="0"/>
                <w:bCs w:val="0"/>
                <w:color w:val="auto"/>
                <w:szCs w:val="21"/>
                <w:highlight w:val="none"/>
                <w:lang w:eastAsia="zh-CN"/>
              </w:rPr>
              <w:t>：</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431000.00元</w:t>
            </w:r>
            <w:r>
              <w:rPr>
                <w:rFonts w:hint="eastAsia" w:ascii="宋体" w:hAnsi="宋体" w:cs="宋体"/>
                <w:b/>
                <w:bCs/>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16.1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保证金</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color w:val="auto"/>
              </w:rPr>
            </w:pPr>
            <w:r>
              <w:rPr>
                <w:rFonts w:hint="eastAsia"/>
                <w:color w:val="auto"/>
              </w:rPr>
              <w:t>□不要求提供</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left="0" w:leftChars="0" w:right="0" w:rightChars="0" w:firstLine="0" w:firstLineChars="0"/>
              <w:textAlignment w:val="auto"/>
              <w:outlineLvl w:val="9"/>
              <w:rPr>
                <w:rFonts w:hint="eastAsia"/>
                <w:b/>
                <w:bCs/>
                <w:color w:val="auto"/>
              </w:rPr>
            </w:pPr>
            <w:r>
              <w:rPr>
                <w:rFonts w:hint="eastAsia"/>
                <w:color w:val="auto"/>
              </w:rPr>
              <w:t>■</w:t>
            </w:r>
            <w:r>
              <w:rPr>
                <w:rFonts w:hint="eastAsia"/>
                <w:color w:val="auto"/>
                <w:lang w:val="en-US" w:eastAsia="zh-CN"/>
              </w:rPr>
              <w:t xml:space="preserve"> </w:t>
            </w:r>
            <w:r>
              <w:rPr>
                <w:rFonts w:hint="eastAsia"/>
                <w:color w:val="auto"/>
              </w:rPr>
              <w:t>要求提供，数额为：</w:t>
            </w:r>
            <w:r>
              <w:rPr>
                <w:rFonts w:hint="eastAsia"/>
                <w:color w:val="auto"/>
                <w:lang w:val="en-US" w:eastAsia="zh-CN"/>
              </w:rPr>
              <w:t>人民币</w:t>
            </w:r>
            <w:r>
              <w:rPr>
                <w:rFonts w:hint="eastAsia"/>
                <w:b/>
                <w:bCs/>
                <w:color w:val="auto"/>
                <w:lang w:val="en-US" w:eastAsia="zh-CN"/>
              </w:rPr>
              <w:t>伍仟元整</w:t>
            </w:r>
          </w:p>
          <w:p>
            <w:pPr>
              <w:keepNext w:val="0"/>
              <w:keepLines w:val="0"/>
              <w:pageBreakBefore w:val="0"/>
              <w:widowControl w:val="0"/>
              <w:shd w:val="clear" w:color="auto" w:fill="auto"/>
              <w:tabs>
                <w:tab w:val="left" w:pos="142"/>
              </w:tabs>
              <w:kinsoku/>
              <w:wordWrap/>
              <w:overflowPunct/>
              <w:topLinePunct w:val="0"/>
              <w:bidi w:val="0"/>
              <w:adjustRightInd w:val="0"/>
              <w:snapToGrid w:val="0"/>
              <w:spacing w:line="360" w:lineRule="exact"/>
              <w:textAlignment w:val="auto"/>
              <w:rPr>
                <w:rFonts w:hint="eastAsia"/>
                <w:color w:val="auto"/>
              </w:rPr>
            </w:pPr>
            <w:r>
              <w:rPr>
                <w:rFonts w:hint="eastAsia"/>
                <w:color w:val="auto"/>
              </w:rPr>
              <w:t>递交方式：投标保证金必须从投标人单位</w:t>
            </w:r>
            <w:r>
              <w:rPr>
                <w:rFonts w:hint="eastAsia"/>
                <w:color w:val="auto"/>
                <w:lang w:eastAsia="zh-CN"/>
              </w:rPr>
              <w:t>基本</w:t>
            </w:r>
            <w:r>
              <w:rPr>
                <w:rFonts w:hint="eastAsia"/>
                <w:color w:val="auto"/>
              </w:rPr>
              <w:t>账户转（汇）入投标保证金的托管账户管理，以现金方式和非投标人单位账户提交的投标保证金无效；投标保证金托管账户如下：</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b/>
                <w:bCs/>
                <w:color w:val="auto"/>
              </w:rPr>
            </w:pPr>
            <w:r>
              <w:rPr>
                <w:rFonts w:hint="eastAsia"/>
                <w:b/>
                <w:bCs/>
                <w:color w:val="auto"/>
              </w:rPr>
              <w:t xml:space="preserve">开户机构：中国建设银行股份有限公司茶陵支行 </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b/>
                <w:bCs/>
                <w:color w:val="auto"/>
              </w:rPr>
            </w:pPr>
            <w:r>
              <w:rPr>
                <w:rFonts w:hint="eastAsia"/>
                <w:b/>
                <w:bCs/>
                <w:color w:val="auto"/>
              </w:rPr>
              <w:t xml:space="preserve">账户名称：茶陵县发展和改革局公共资源交易保证金专户  </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b/>
                <w:bCs/>
                <w:color w:val="auto"/>
              </w:rPr>
            </w:pPr>
            <w:r>
              <w:rPr>
                <w:rFonts w:hint="eastAsia"/>
                <w:b/>
                <w:bCs/>
                <w:color w:val="auto"/>
              </w:rPr>
              <w:t>账号：43050162733600000246</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b/>
                <w:bCs/>
                <w:color w:val="auto"/>
              </w:rPr>
            </w:pPr>
            <w:r>
              <w:rPr>
                <w:rFonts w:hint="eastAsia"/>
                <w:b/>
                <w:bCs/>
                <w:color w:val="auto"/>
              </w:rPr>
              <w:t>开户机构号:430627336</w:t>
            </w:r>
          </w:p>
          <w:p>
            <w:pPr>
              <w:keepNext w:val="0"/>
              <w:keepLines w:val="0"/>
              <w:pageBreakBefore w:val="0"/>
              <w:shd w:val="clear" w:color="auto" w:fill="auto"/>
              <w:kinsoku/>
              <w:overflowPunct/>
              <w:topLinePunct w:val="0"/>
              <w:autoSpaceDE/>
              <w:bidi w:val="0"/>
              <w:adjustRightInd w:val="0"/>
              <w:snapToGrid w:val="0"/>
              <w:spacing w:line="360" w:lineRule="exact"/>
              <w:textAlignment w:val="auto"/>
              <w:rPr>
                <w:rFonts w:hint="eastAsia"/>
                <w:color w:val="auto"/>
              </w:rPr>
            </w:pPr>
            <w:r>
              <w:rPr>
                <w:rFonts w:hint="eastAsia"/>
                <w:color w:val="auto"/>
              </w:rPr>
              <w:t xml:space="preserve">（请在用途栏中注明“ </w:t>
            </w:r>
            <w:r>
              <w:rPr>
                <w:rFonts w:hint="eastAsia"/>
                <w:color w:val="auto"/>
                <w:lang w:val="en-US" w:eastAsia="zh-CN"/>
              </w:rPr>
              <w:t xml:space="preserve">   </w:t>
            </w:r>
            <w:r>
              <w:rPr>
                <w:rFonts w:hint="eastAsia"/>
                <w:color w:val="auto"/>
              </w:rPr>
              <w:t>（</w:t>
            </w:r>
            <w:r>
              <w:rPr>
                <w:rFonts w:hint="eastAsia"/>
                <w:color w:val="auto"/>
                <w:lang w:eastAsia="zh-CN"/>
              </w:rPr>
              <w:t>项</w:t>
            </w:r>
            <w:r>
              <w:rPr>
                <w:rFonts w:hint="eastAsia"/>
                <w:color w:val="auto"/>
              </w:rPr>
              <w:t>目名称</w:t>
            </w:r>
            <w:r>
              <w:rPr>
                <w:rFonts w:hint="eastAsia"/>
                <w:color w:val="auto"/>
                <w:lang w:eastAsia="zh-CN"/>
              </w:rPr>
              <w:t>）</w:t>
            </w:r>
            <w:r>
              <w:rPr>
                <w:rFonts w:hint="eastAsia"/>
                <w:color w:val="auto"/>
                <w:lang w:val="en-US" w:eastAsia="zh-CN"/>
              </w:rPr>
              <w:t xml:space="preserve">  </w:t>
            </w:r>
            <w:r>
              <w:rPr>
                <w:rFonts w:hint="eastAsia"/>
                <w:color w:val="auto"/>
              </w:rPr>
              <w:t xml:space="preserve"> </w:t>
            </w:r>
            <w:r>
              <w:rPr>
                <w:rFonts w:hint="eastAsia"/>
                <w:color w:val="auto"/>
                <w:lang w:eastAsia="zh-CN"/>
              </w:rPr>
              <w:t>磋商保证金</w:t>
            </w:r>
            <w:r>
              <w:rPr>
                <w:rFonts w:hint="eastAsia"/>
                <w:color w:val="auto"/>
              </w:rPr>
              <w:t>”。（如“项目名称”字符过多，用途栏处填写不下的，则“取‘项目名称’前面字符”填入。）</w:t>
            </w:r>
          </w:p>
          <w:p>
            <w:pPr>
              <w:keepNext w:val="0"/>
              <w:keepLines w:val="0"/>
              <w:pageBreakBefore w:val="0"/>
              <w:widowControl w:val="0"/>
              <w:shd w:val="clear" w:color="auto" w:fill="auto"/>
              <w:tabs>
                <w:tab w:val="left" w:pos="142"/>
              </w:tabs>
              <w:kinsoku/>
              <w:wordWrap/>
              <w:overflowPunct/>
              <w:topLinePunct w:val="0"/>
              <w:bidi w:val="0"/>
              <w:adjustRightInd w:val="0"/>
              <w:snapToGrid w:val="0"/>
              <w:spacing w:line="360" w:lineRule="exact"/>
              <w:textAlignment w:val="auto"/>
              <w:rPr>
                <w:rFonts w:hint="eastAsia"/>
                <w:color w:val="auto"/>
              </w:rPr>
            </w:pPr>
            <w:r>
              <w:rPr>
                <w:rFonts w:hint="eastAsia" w:ascii="Times New Roman" w:hAnsi="Times New Roman" w:cs="Times New Roman"/>
                <w:b/>
                <w:bCs/>
                <w:color w:val="auto"/>
                <w:lang w:eastAsia="zh-CN"/>
              </w:rPr>
              <w:t>备注：</w:t>
            </w:r>
            <w:r>
              <w:rPr>
                <w:rFonts w:hint="eastAsia" w:ascii="Times New Roman" w:hAnsi="Times New Roman" w:cs="Times New Roman"/>
                <w:b/>
                <w:bCs/>
                <w:color w:val="auto"/>
              </w:rPr>
              <w:t>退保证金申请书的抬头必须写：致茶陵县发展和改革局；退保证金单位必须核对交保证金和退保证金的公司名称、开户行名称、账号是否一致。若账号或开户行名称有变化必须另外出具证明盖章生效。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17.1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响应文件有效期</w:t>
            </w:r>
          </w:p>
        </w:tc>
        <w:tc>
          <w:tcPr>
            <w:tcW w:w="5595" w:type="dxa"/>
            <w:gridSpan w:val="3"/>
            <w:noWrap w:val="0"/>
            <w:vAlign w:val="center"/>
          </w:tcPr>
          <w:p>
            <w:pPr>
              <w:shd w:val="clear" w:color="auto" w:fill="auto"/>
              <w:adjustRightInd w:val="0"/>
              <w:snapToGrid w:val="0"/>
              <w:rPr>
                <w:rFonts w:hint="eastAsia" w:ascii="宋体" w:hAnsi="宋体" w:eastAsia="宋体" w:cs="宋体"/>
                <w:bCs/>
                <w:color w:val="auto"/>
                <w:szCs w:val="21"/>
                <w:highlight w:val="none"/>
              </w:rPr>
            </w:pP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18.1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cs="宋体"/>
                <w:color w:val="auto"/>
                <w:szCs w:val="21"/>
                <w:highlight w:val="none"/>
                <w:lang w:eastAsia="zh-CN"/>
              </w:rPr>
              <w:t>文件副本</w:t>
            </w:r>
            <w:r>
              <w:rPr>
                <w:rFonts w:hint="eastAsia" w:ascii="宋体" w:hAnsi="宋体" w:eastAsia="宋体" w:cs="宋体"/>
                <w:color w:val="auto"/>
                <w:szCs w:val="21"/>
                <w:highlight w:val="none"/>
              </w:rPr>
              <w:t>份数</w:t>
            </w:r>
          </w:p>
        </w:tc>
        <w:tc>
          <w:tcPr>
            <w:tcW w:w="5595" w:type="dxa"/>
            <w:gridSpan w:val="3"/>
            <w:noWrap w:val="0"/>
            <w:vAlign w:val="center"/>
          </w:tcPr>
          <w:p>
            <w:pPr>
              <w:shd w:val="clear" w:color="auto" w:fill="auto"/>
              <w:adjustRightInd w:val="0"/>
              <w:snapToGrid w:val="0"/>
              <w:spacing w:line="400" w:lineRule="exact"/>
              <w:rPr>
                <w:rFonts w:ascii="宋体" w:hAnsi="宋体" w:eastAsia="宋体"/>
                <w:color w:val="auto"/>
                <w:szCs w:val="21"/>
                <w:highlight w:val="none"/>
              </w:rPr>
            </w:pPr>
            <w:r>
              <w:rPr>
                <w:rFonts w:hint="eastAsia" w:ascii="宋体" w:hAnsi="宋体" w:eastAsia="宋体"/>
                <w:color w:val="auto"/>
                <w:szCs w:val="21"/>
                <w:highlight w:val="none"/>
              </w:rPr>
              <w:t>第一部分：资格证明文件</w:t>
            </w:r>
            <w:r>
              <w:rPr>
                <w:rFonts w:hint="eastAsia" w:ascii="宋体" w:hAnsi="宋体"/>
                <w:color w:val="auto"/>
                <w:szCs w:val="21"/>
                <w:highlight w:val="none"/>
                <w:lang w:val="en-US" w:eastAsia="zh-CN"/>
              </w:rPr>
              <w:t>3</w:t>
            </w:r>
            <w:r>
              <w:rPr>
                <w:rFonts w:hint="eastAsia" w:ascii="宋体" w:hAnsi="宋体" w:eastAsia="宋体"/>
                <w:color w:val="auto"/>
                <w:szCs w:val="21"/>
                <w:highlight w:val="none"/>
              </w:rPr>
              <w:t>本（即：</w:t>
            </w:r>
            <w:r>
              <w:rPr>
                <w:rFonts w:hint="eastAsia" w:ascii="宋体" w:hAnsi="宋体" w:eastAsia="宋体"/>
                <w:color w:val="auto"/>
                <w:szCs w:val="21"/>
                <w:highlight w:val="none"/>
                <w:lang w:eastAsia="zh-CN"/>
              </w:rPr>
              <w:t>一</w:t>
            </w:r>
            <w:r>
              <w:rPr>
                <w:rFonts w:hint="eastAsia" w:ascii="宋体" w:hAnsi="宋体" w:eastAsia="宋体"/>
                <w:color w:val="auto"/>
                <w:szCs w:val="21"/>
                <w:highlight w:val="none"/>
              </w:rPr>
              <w:t>正</w:t>
            </w:r>
            <w:r>
              <w:rPr>
                <w:rFonts w:hint="eastAsia" w:ascii="宋体" w:hAnsi="宋体"/>
                <w:color w:val="auto"/>
                <w:szCs w:val="21"/>
                <w:highlight w:val="none"/>
                <w:lang w:eastAsia="zh-CN"/>
              </w:rPr>
              <w:t>二</w:t>
            </w:r>
            <w:r>
              <w:rPr>
                <w:rFonts w:hint="eastAsia" w:ascii="宋体" w:hAnsi="宋体" w:eastAsia="宋体"/>
                <w:color w:val="auto"/>
                <w:szCs w:val="21"/>
                <w:highlight w:val="none"/>
              </w:rPr>
              <w:t>副）</w:t>
            </w:r>
          </w:p>
          <w:p>
            <w:pPr>
              <w:shd w:val="clear" w:color="auto" w:fill="auto"/>
              <w:adjustRightInd w:val="0"/>
              <w:snapToGrid w:val="0"/>
              <w:spacing w:line="400" w:lineRule="exact"/>
              <w:rPr>
                <w:rFonts w:ascii="宋体" w:hAnsi="宋体" w:eastAsia="宋体"/>
                <w:color w:val="auto"/>
                <w:szCs w:val="21"/>
                <w:highlight w:val="none"/>
              </w:rPr>
            </w:pPr>
            <w:r>
              <w:rPr>
                <w:rFonts w:hint="eastAsia" w:ascii="宋体" w:hAnsi="宋体" w:eastAsia="宋体"/>
                <w:color w:val="auto"/>
                <w:szCs w:val="21"/>
                <w:highlight w:val="none"/>
              </w:rPr>
              <w:t>第二部分：商务技术文件</w:t>
            </w:r>
            <w:r>
              <w:rPr>
                <w:rFonts w:hint="eastAsia" w:ascii="宋体" w:hAnsi="宋体"/>
                <w:color w:val="auto"/>
                <w:szCs w:val="21"/>
                <w:highlight w:val="none"/>
                <w:lang w:val="en-US" w:eastAsia="zh-CN"/>
              </w:rPr>
              <w:t>5</w:t>
            </w:r>
            <w:r>
              <w:rPr>
                <w:rFonts w:hint="eastAsia" w:ascii="宋体" w:hAnsi="宋体" w:eastAsia="宋体"/>
                <w:color w:val="auto"/>
                <w:szCs w:val="21"/>
                <w:highlight w:val="none"/>
              </w:rPr>
              <w:t>本（即：</w:t>
            </w:r>
            <w:r>
              <w:rPr>
                <w:rFonts w:hint="eastAsia" w:ascii="宋体" w:hAnsi="宋体" w:eastAsia="宋体"/>
                <w:color w:val="auto"/>
                <w:szCs w:val="21"/>
                <w:highlight w:val="none"/>
                <w:lang w:eastAsia="zh-CN"/>
              </w:rPr>
              <w:t>一</w:t>
            </w:r>
            <w:r>
              <w:rPr>
                <w:rFonts w:hint="eastAsia" w:ascii="宋体" w:hAnsi="宋体" w:eastAsia="宋体"/>
                <w:color w:val="auto"/>
                <w:szCs w:val="21"/>
                <w:highlight w:val="none"/>
              </w:rPr>
              <w:t>正</w:t>
            </w:r>
            <w:r>
              <w:rPr>
                <w:rFonts w:hint="eastAsia" w:ascii="宋体" w:hAnsi="宋体"/>
                <w:color w:val="auto"/>
                <w:szCs w:val="21"/>
                <w:highlight w:val="none"/>
                <w:lang w:eastAsia="zh-CN"/>
              </w:rPr>
              <w:t>四</w:t>
            </w:r>
            <w:r>
              <w:rPr>
                <w:rFonts w:hint="eastAsia" w:ascii="宋体" w:hAnsi="宋体" w:eastAsia="宋体"/>
                <w:color w:val="auto"/>
                <w:szCs w:val="21"/>
                <w:highlight w:val="none"/>
              </w:rPr>
              <w:t>副）</w:t>
            </w:r>
          </w:p>
          <w:p>
            <w:pPr>
              <w:shd w:val="clear" w:color="auto" w:fill="auto"/>
              <w:adjustRightInd w:val="0"/>
              <w:snapToGrid w:val="0"/>
              <w:rPr>
                <w:rFonts w:hint="eastAsia" w:ascii="宋体" w:hAnsi="宋体" w:eastAsia="宋体" w:cs="宋体"/>
                <w:color w:val="auto"/>
                <w:szCs w:val="21"/>
                <w:highlight w:val="none"/>
                <w:lang w:eastAsia="zh-CN"/>
              </w:rPr>
            </w:pPr>
            <w:r>
              <w:rPr>
                <w:rFonts w:hint="eastAsia" w:ascii="宋体" w:hAnsi="宋体" w:eastAsia="宋体"/>
                <w:b/>
                <w:bCs/>
                <w:color w:val="auto"/>
                <w:szCs w:val="21"/>
                <w:highlight w:val="none"/>
              </w:rPr>
              <w:t>注：</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文件第一部分资格证明文件应单独</w:t>
            </w:r>
            <w:r>
              <w:rPr>
                <w:rFonts w:hint="eastAsia" w:ascii="宋体" w:hAnsi="宋体" w:eastAsia="宋体"/>
                <w:b/>
                <w:bCs/>
                <w:color w:val="auto"/>
                <w:szCs w:val="21"/>
                <w:highlight w:val="none"/>
                <w:lang w:eastAsia="zh-CN"/>
              </w:rPr>
              <w:t>胶装</w:t>
            </w:r>
            <w:r>
              <w:rPr>
                <w:rFonts w:hint="eastAsia" w:ascii="宋体" w:hAnsi="宋体" w:eastAsia="宋体"/>
                <w:b/>
                <w:bCs/>
                <w:color w:val="auto"/>
                <w:szCs w:val="21"/>
                <w:highlight w:val="none"/>
              </w:rPr>
              <w:t>成册，不得混装在第二部分商务技术文件中。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19.</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响应文件的密封</w:t>
            </w:r>
          </w:p>
        </w:tc>
        <w:tc>
          <w:tcPr>
            <w:tcW w:w="5595" w:type="dxa"/>
            <w:gridSpan w:val="3"/>
            <w:noWrap w:val="0"/>
            <w:vAlign w:val="center"/>
          </w:tcPr>
          <w:p>
            <w:pPr>
              <w:shd w:val="clear" w:color="auto" w:fill="auto"/>
              <w:adjustRightInd w:val="0"/>
              <w:snapToGrid w:val="0"/>
              <w:spacing w:line="400" w:lineRule="exact"/>
              <w:rPr>
                <w:color w:val="auto"/>
                <w:highlight w:val="none"/>
              </w:rPr>
            </w:pPr>
            <w:r>
              <w:rPr>
                <w:rFonts w:hint="eastAsia"/>
                <w:color w:val="auto"/>
                <w:highlight w:val="none"/>
              </w:rPr>
              <w:t>（1）第一部分资格证明文件：正本、副本一起密封包装，并在</w:t>
            </w:r>
            <w:r>
              <w:rPr>
                <w:rFonts w:hint="eastAsia"/>
                <w:color w:val="auto"/>
                <w:highlight w:val="none"/>
                <w:lang w:eastAsia="zh-CN"/>
              </w:rPr>
              <w:t>响应</w:t>
            </w:r>
            <w:r>
              <w:rPr>
                <w:rFonts w:hint="eastAsia"/>
                <w:color w:val="auto"/>
                <w:highlight w:val="none"/>
              </w:rPr>
              <w:t>文件密封袋上标明“资格证明文件”字样。</w:t>
            </w:r>
          </w:p>
          <w:p>
            <w:pPr>
              <w:shd w:val="clear" w:color="auto" w:fill="auto"/>
              <w:adjustRightInd w:val="0"/>
              <w:snapToGrid w:val="0"/>
              <w:spacing w:line="400" w:lineRule="exact"/>
              <w:rPr>
                <w:color w:val="auto"/>
                <w:highlight w:val="none"/>
              </w:rPr>
            </w:pPr>
            <w:r>
              <w:rPr>
                <w:rFonts w:hint="eastAsia"/>
                <w:color w:val="auto"/>
                <w:highlight w:val="none"/>
              </w:rPr>
              <w:t>（2）第二部分商务技术文件：正本、副本分别密封包装，并在</w:t>
            </w:r>
            <w:r>
              <w:rPr>
                <w:rFonts w:hint="eastAsia"/>
                <w:color w:val="auto"/>
                <w:highlight w:val="none"/>
                <w:lang w:eastAsia="zh-CN"/>
              </w:rPr>
              <w:t>响应</w:t>
            </w:r>
            <w:r>
              <w:rPr>
                <w:rFonts w:hint="eastAsia"/>
                <w:color w:val="auto"/>
                <w:highlight w:val="none"/>
              </w:rPr>
              <w:t>文件密封袋上标明“商务技术文件”、“正本或副本”字样。</w:t>
            </w:r>
          </w:p>
          <w:p>
            <w:pPr>
              <w:shd w:val="clear" w:color="auto" w:fill="auto"/>
              <w:adjustRightInd w:val="0"/>
              <w:snapToGrid w:val="0"/>
              <w:spacing w:line="400" w:lineRule="exact"/>
              <w:rPr>
                <w:b/>
                <w:bCs/>
                <w:color w:val="auto"/>
                <w:highlight w:val="none"/>
              </w:rPr>
            </w:pPr>
            <w:r>
              <w:rPr>
                <w:rFonts w:hint="eastAsia" w:ascii="宋体" w:hAnsi="宋体" w:eastAsia="宋体"/>
                <w:b/>
                <w:bCs/>
                <w:color w:val="auto"/>
                <w:szCs w:val="21"/>
                <w:highlight w:val="none"/>
              </w:rPr>
              <w:t>（3）</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文件电子文档（U盘）可以单独装入标记为“</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文件电子文档”的密封袋中，也可以装入标记为“</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文件第一部分资格证明文件或者“</w:t>
            </w:r>
            <w:r>
              <w:rPr>
                <w:rFonts w:hint="eastAsia" w:ascii="宋体" w:hAnsi="宋体" w:eastAsia="宋体"/>
                <w:b/>
                <w:bCs/>
                <w:color w:val="auto"/>
                <w:szCs w:val="21"/>
                <w:highlight w:val="none"/>
                <w:lang w:eastAsia="zh-CN"/>
              </w:rPr>
              <w:t>响应</w:t>
            </w:r>
            <w:r>
              <w:rPr>
                <w:rFonts w:hint="eastAsia" w:ascii="宋体" w:hAnsi="宋体" w:eastAsia="宋体"/>
                <w:b/>
                <w:bCs/>
                <w:color w:val="auto"/>
                <w:szCs w:val="21"/>
                <w:highlight w:val="none"/>
              </w:rPr>
              <w:t>文件第二部分商务和技术文件”的密封袋中进行提交。</w:t>
            </w:r>
          </w:p>
          <w:p>
            <w:pPr>
              <w:numPr>
                <w:ilvl w:val="0"/>
                <w:numId w:val="0"/>
              </w:numPr>
              <w:shd w:val="clear" w:color="auto" w:fill="auto"/>
              <w:ind w:leftChars="0"/>
              <w:rPr>
                <w:rFonts w:hint="eastAsia" w:ascii="宋体" w:hAnsi="宋体" w:eastAsia="宋体" w:cs="宋体"/>
                <w:color w:val="auto"/>
                <w:szCs w:val="21"/>
                <w:highlight w:val="none"/>
              </w:rPr>
            </w:pPr>
            <w:r>
              <w:rPr>
                <w:rFonts w:hint="eastAsia"/>
                <w:b/>
                <w:color w:val="auto"/>
                <w:highlight w:val="none"/>
              </w:rPr>
              <w:t>注：</w:t>
            </w:r>
            <w:r>
              <w:rPr>
                <w:rFonts w:hint="eastAsia" w:ascii="宋体" w:hAnsi="宋体" w:eastAsia="宋体" w:cs="宋体"/>
                <w:b/>
                <w:color w:val="auto"/>
                <w:sz w:val="21"/>
                <w:szCs w:val="21"/>
                <w:highlight w:val="none"/>
              </w:rPr>
              <w:t>未按要求密封的</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文件，采购人、采购代理机构应当拒收。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19.</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响应文件密封袋上应载明的信息</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u w:val="single"/>
                <w:lang w:eastAsia="zh-CN"/>
              </w:rPr>
              <w:t>资格证明文件</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lang w:eastAsia="zh-CN"/>
              </w:rPr>
              <w:t>商务技术</w:t>
            </w:r>
            <w:r>
              <w:rPr>
                <w:rFonts w:hint="eastAsia" w:ascii="宋体" w:hAnsi="宋体" w:eastAsia="宋体" w:cs="宋体"/>
                <w:color w:val="auto"/>
                <w:szCs w:val="21"/>
                <w:highlight w:val="none"/>
                <w:u w:val="single"/>
              </w:rPr>
              <w:t>文件</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政府采购编号：</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委托代理编号：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分之前不得启封 </w:t>
            </w:r>
          </w:p>
          <w:p>
            <w:pPr>
              <w:keepNext w:val="0"/>
              <w:keepLines w:val="0"/>
              <w:pageBreakBefore w:val="0"/>
              <w:widowControl w:val="0"/>
              <w:numPr>
                <w:ilvl w:val="0"/>
                <w:numId w:val="0"/>
              </w:numPr>
              <w:shd w:val="clear" w:color="auto" w:fill="auto"/>
              <w:kinsoku/>
              <w:wordWrap/>
              <w:overflowPunct/>
              <w:topLinePunct w:val="0"/>
              <w:autoSpaceDE/>
              <w:autoSpaceDN/>
              <w:bidi w:val="0"/>
              <w:spacing w:line="400" w:lineRule="exact"/>
              <w:ind w:leftChars="0"/>
              <w:textAlignment w:val="auto"/>
              <w:rPr>
                <w:rFonts w:hint="eastAsia"/>
                <w:b/>
                <w:color w:val="auto"/>
                <w:highlight w:val="none"/>
              </w:rPr>
            </w:pPr>
            <w:r>
              <w:rPr>
                <w:rFonts w:hint="eastAsia" w:ascii="宋体" w:hAnsi="宋体" w:eastAsia="宋体" w:cs="宋体"/>
                <w:b/>
                <w:bCs/>
                <w:color w:val="auto"/>
                <w:sz w:val="21"/>
                <w:highlight w:val="none"/>
                <w:lang w:eastAsia="zh-CN"/>
              </w:rPr>
              <w:t>密封袋</w:t>
            </w:r>
            <w:r>
              <w:rPr>
                <w:rFonts w:hint="eastAsia" w:ascii="宋体" w:hAnsi="宋体" w:eastAsia="宋体" w:cs="宋体"/>
                <w:b/>
                <w:bCs/>
                <w:color w:val="auto"/>
                <w:sz w:val="21"/>
                <w:highlight w:val="none"/>
              </w:rPr>
              <w:t>的封口处</w:t>
            </w:r>
            <w:r>
              <w:rPr>
                <w:rFonts w:hint="eastAsia" w:ascii="宋体" w:hAnsi="宋体" w:eastAsia="宋体" w:cs="宋体"/>
                <w:b/>
                <w:bCs/>
                <w:color w:val="auto"/>
                <w:sz w:val="21"/>
                <w:highlight w:val="none"/>
                <w:lang w:eastAsia="zh-CN"/>
              </w:rPr>
              <w:t>应</w:t>
            </w:r>
            <w:r>
              <w:rPr>
                <w:rFonts w:hint="eastAsia" w:ascii="宋体" w:hAnsi="宋体" w:eastAsia="宋体" w:cs="宋体"/>
                <w:b/>
                <w:bCs/>
                <w:color w:val="auto"/>
                <w:sz w:val="21"/>
                <w:highlight w:val="none"/>
              </w:rPr>
              <w:t>盖供应商单位</w:t>
            </w:r>
            <w:r>
              <w:rPr>
                <w:rFonts w:hint="eastAsia" w:ascii="宋体" w:hAnsi="宋体" w:eastAsia="宋体" w:cs="宋体"/>
                <w:b/>
                <w:bCs/>
                <w:color w:val="auto"/>
                <w:sz w:val="21"/>
                <w:highlight w:val="none"/>
                <w:lang w:eastAsia="zh-CN"/>
              </w:rPr>
              <w:t>公</w:t>
            </w:r>
            <w:r>
              <w:rPr>
                <w:rFonts w:hint="eastAsia" w:ascii="宋体" w:hAnsi="宋体" w:eastAsia="宋体" w:cs="宋体"/>
                <w:b/>
                <w:bCs/>
                <w:color w:val="auto"/>
                <w:sz w:val="21"/>
                <w:highlight w:val="none"/>
              </w:rPr>
              <w:t>章或者由</w:t>
            </w:r>
            <w:r>
              <w:rPr>
                <w:rFonts w:hint="eastAsia" w:ascii="宋体" w:hAnsi="宋体" w:eastAsia="宋体" w:cs="宋体"/>
                <w:b/>
                <w:bCs/>
                <w:color w:val="auto"/>
                <w:sz w:val="21"/>
                <w:highlight w:val="none"/>
                <w:lang w:eastAsia="zh-CN"/>
              </w:rPr>
              <w:t>供应商的</w:t>
            </w:r>
            <w:r>
              <w:rPr>
                <w:rFonts w:hint="eastAsia" w:ascii="宋体" w:hAnsi="宋体" w:eastAsia="宋体" w:cs="宋体"/>
                <w:b/>
                <w:bCs/>
                <w:color w:val="auto"/>
                <w:sz w:val="21"/>
                <w:highlight w:val="none"/>
              </w:rPr>
              <w:t>法定代表人或其委托代理人签字。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21.1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响应文件的递交地点</w:t>
            </w:r>
          </w:p>
        </w:tc>
        <w:tc>
          <w:tcPr>
            <w:tcW w:w="5595" w:type="dxa"/>
            <w:gridSpan w:val="3"/>
            <w:noWrap w:val="0"/>
            <w:vAlign w:val="center"/>
          </w:tcPr>
          <w:p>
            <w:pPr>
              <w:keepNext w:val="0"/>
              <w:keepLines w:val="0"/>
              <w:pageBreakBefore w:val="0"/>
              <w:widowControl w:val="0"/>
              <w:shd w:val="clear" w:color="auto" w:fill="auto"/>
              <w:kinsoku/>
              <w:overflowPunct/>
              <w:topLinePunct w:val="0"/>
              <w:autoSpaceDE/>
              <w:autoSpaceDN/>
              <w:bidi w:val="0"/>
              <w:adjustRightInd w:val="0"/>
              <w:snapToGrid w:val="0"/>
              <w:spacing w:line="240" w:lineRule="auto"/>
              <w:textAlignment w:val="auto"/>
              <w:rPr>
                <w:rFonts w:hint="eastAsia" w:ascii="宋体" w:hAnsi="宋体" w:eastAsia="宋体" w:cs="宋体"/>
                <w:b/>
                <w:bCs/>
                <w:color w:val="auto"/>
                <w:szCs w:val="21"/>
                <w:highlight w:val="none"/>
              </w:rPr>
            </w:pPr>
            <w:r>
              <w:rPr>
                <w:rFonts w:hint="eastAsia" w:ascii="宋体" w:hAnsi="宋体" w:eastAsia="宋体"/>
                <w:b/>
                <w:bCs/>
                <w:color w:val="auto"/>
                <w:szCs w:val="21"/>
                <w:highlight w:val="none"/>
              </w:rPr>
              <w:t>茶陵县公共资源交易管理委员会办公室四楼开标室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687" w:type="dxa"/>
            <w:gridSpan w:val="6"/>
            <w:noWrap w:val="0"/>
            <w:vAlign w:val="center"/>
          </w:tcPr>
          <w:p>
            <w:pPr>
              <w:keepNext w:val="0"/>
              <w:keepLines w:val="0"/>
              <w:pageBreakBefore w:val="0"/>
              <w:widowControl w:val="0"/>
              <w:shd w:val="clear" w:color="auto" w:fill="auto"/>
              <w:kinsoku/>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Cs w:val="21"/>
                <w:highlight w:val="none"/>
                <w:lang w:eastAsia="zh-CN" w:bidi="ar"/>
              </w:rPr>
            </w:pPr>
            <w:r>
              <w:rPr>
                <w:rFonts w:hint="eastAsia" w:ascii="宋体" w:hAnsi="宋体" w:eastAsia="宋体" w:cs="宋体"/>
                <w:b/>
                <w:color w:val="auto"/>
                <w:szCs w:val="21"/>
                <w:highlight w:val="none"/>
                <w:lang w:eastAsia="zh-CN"/>
              </w:rPr>
              <w:t>五、响应文件的评审与磋商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25.3</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一般条款允许偏离的最高项数</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一般商务</w:t>
            </w:r>
            <w:r>
              <w:rPr>
                <w:rFonts w:hint="eastAsia" w:ascii="宋体" w:hAnsi="宋体" w:eastAsia="宋体" w:cs="宋体"/>
                <w:color w:val="auto"/>
                <w:spacing w:val="4"/>
                <w:szCs w:val="21"/>
                <w:highlight w:val="none"/>
              </w:rPr>
              <w:t>和</w:t>
            </w:r>
            <w:r>
              <w:rPr>
                <w:rFonts w:hint="eastAsia" w:ascii="宋体" w:hAnsi="宋体" w:eastAsia="宋体" w:cs="宋体"/>
                <w:color w:val="auto"/>
                <w:szCs w:val="21"/>
                <w:highlight w:val="none"/>
              </w:rPr>
              <w:t>技术条款偏离项数之和≥</w:t>
            </w:r>
            <w:r>
              <w:rPr>
                <w:rFonts w:hint="eastAsia" w:ascii="宋体" w:hAnsi="宋体" w:eastAsia="宋体" w:cs="宋体"/>
                <w:color w:val="auto"/>
                <w:szCs w:val="21"/>
                <w:highlight w:val="none"/>
                <w:u w:val="single"/>
              </w:rPr>
              <w:t xml:space="preserve"> 10 </w:t>
            </w:r>
            <w:r>
              <w:rPr>
                <w:rFonts w:hint="eastAsia" w:ascii="宋体" w:hAnsi="宋体" w:eastAsia="宋体" w:cs="宋体"/>
                <w:color w:val="auto"/>
                <w:szCs w:val="21"/>
                <w:highlight w:val="none"/>
              </w:rPr>
              <w:t>项将导致无效响应。</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25.4</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条款数（最高项数）的统计方法</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lang w:eastAsia="zh-CN"/>
              </w:rPr>
              <w:t>磋商</w:t>
            </w:r>
            <w:r>
              <w:rPr>
                <w:rFonts w:hint="eastAsia" w:ascii="宋体" w:hAnsi="宋体" w:cs="宋体"/>
                <w:color w:val="auto"/>
                <w:szCs w:val="21"/>
                <w:highlight w:val="none"/>
              </w:rPr>
              <w:t>文件中，凡编排有单独的中文序数或阿拉伯数字或英文字母序列号等字符的条款算一项商务或技术要求项数，相同内容的条款不重复计算项数</w:t>
            </w:r>
            <w:r>
              <w:rPr>
                <w:rFonts w:hint="eastAsia" w:ascii="宋体" w:hAnsi="宋体" w:eastAsia="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9687" w:type="dxa"/>
            <w:gridSpan w:val="6"/>
            <w:noWrap w:val="0"/>
            <w:vAlign w:val="center"/>
          </w:tcPr>
          <w:p>
            <w:pPr>
              <w:shd w:val="clear" w:color="auto" w:fill="auto"/>
              <w:adjustRightInd w:val="0"/>
              <w:snapToGrid w:val="0"/>
              <w:rPr>
                <w:rFonts w:hint="eastAsia" w:ascii="宋体" w:hAnsi="宋体" w:cs="宋体"/>
                <w:color w:val="auto"/>
                <w:szCs w:val="21"/>
                <w:highlight w:val="none"/>
                <w:lang w:eastAsia="zh-CN"/>
              </w:rPr>
            </w:pPr>
            <w:r>
              <w:rPr>
                <w:rFonts w:hint="eastAsia" w:ascii="宋体" w:hAnsi="宋体" w:eastAsia="宋体" w:cs="宋体"/>
                <w:b/>
                <w:color w:val="auto"/>
                <w:szCs w:val="21"/>
                <w:highlight w:val="none"/>
              </w:rPr>
              <w:t>六、成交结果信息公布与供应商质疑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35.1</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财政部门指定的媒体</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lang w:eastAsia="zh-CN"/>
              </w:rPr>
              <w:t>茶陵县人民政府网和茶陵县发展和改革局网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37.3</w:t>
            </w:r>
            <w:r>
              <w:rPr>
                <w:rFonts w:hint="eastAsia" w:ascii="宋体" w:hAnsi="宋体" w:eastAsia="宋体" w:cs="宋体"/>
                <w:color w:val="auto"/>
                <w:szCs w:val="21"/>
                <w:highlight w:val="none"/>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履约担保</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color w:val="auto"/>
              </w:rPr>
            </w:pPr>
            <w:r>
              <w:rPr>
                <w:rFonts w:hint="eastAsia"/>
                <w:color w:val="auto"/>
              </w:rPr>
              <w:t>■不要求提供。</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default" w:eastAsia="宋体"/>
                <w:color w:val="auto"/>
                <w:u w:val="none"/>
                <w:lang w:val="en-US" w:eastAsia="zh-CN"/>
              </w:rPr>
            </w:pPr>
            <w:r>
              <w:rPr>
                <w:rFonts w:hint="eastAsia"/>
                <w:color w:val="auto"/>
              </w:rPr>
              <w:sym w:font="Wingdings 2" w:char="00A3"/>
            </w:r>
            <w:r>
              <w:rPr>
                <w:rFonts w:hint="eastAsia"/>
                <w:color w:val="auto"/>
              </w:rPr>
              <w:t>要求提供，</w:t>
            </w:r>
            <w:r>
              <w:rPr>
                <w:rFonts w:hint="eastAsia"/>
                <w:color w:val="auto"/>
                <w:lang w:eastAsia="zh-CN"/>
              </w:rPr>
              <w:t>中标单位在施工合同签订前需向招标人缴纳</w:t>
            </w:r>
            <w:r>
              <w:rPr>
                <w:rFonts w:hint="eastAsia"/>
                <w:color w:val="auto"/>
              </w:rPr>
              <w:t>履约</w:t>
            </w:r>
            <w:r>
              <w:rPr>
                <w:rFonts w:hint="eastAsia"/>
                <w:color w:val="auto"/>
                <w:lang w:eastAsia="zh-CN"/>
              </w:rPr>
              <w:t>保证金，</w:t>
            </w:r>
            <w:r>
              <w:rPr>
                <w:rFonts w:hint="eastAsia"/>
                <w:color w:val="auto"/>
              </w:rPr>
              <w:t>金额为：</w:t>
            </w:r>
            <w:r>
              <w:rPr>
                <w:rFonts w:hint="eastAsia"/>
                <w:color w:val="auto"/>
                <w:u w:val="single"/>
                <w:lang w:val="en-US" w:eastAsia="zh-CN"/>
              </w:rPr>
              <w:t xml:space="preserve"> </w:t>
            </w:r>
            <w:r>
              <w:rPr>
                <w:rFonts w:hint="eastAsia"/>
                <w:b/>
                <w:bCs/>
                <w:color w:val="auto"/>
                <w:u w:val="single"/>
                <w:lang w:val="en-US" w:eastAsia="zh-CN"/>
              </w:rPr>
              <w:t xml:space="preserve">/  </w:t>
            </w:r>
            <w:r>
              <w:rPr>
                <w:rFonts w:hint="eastAsia"/>
                <w:b/>
                <w:bCs/>
                <w:color w:val="auto"/>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转账方式：</w:t>
            </w:r>
            <w:r>
              <w:rPr>
                <w:rFonts w:hint="eastAsia" w:ascii="宋体" w:hAnsi="宋体" w:eastAsia="宋体" w:cs="宋体"/>
                <w:color w:val="auto"/>
                <w:szCs w:val="21"/>
                <w:highlight w:val="none"/>
                <w:lang w:val="en-US" w:eastAsia="zh-CN"/>
              </w:rPr>
              <w:t>履约</w:t>
            </w:r>
            <w:r>
              <w:rPr>
                <w:rFonts w:hint="eastAsia" w:ascii="宋体" w:hAnsi="宋体" w:eastAsia="宋体" w:cs="宋体"/>
                <w:color w:val="auto"/>
                <w:szCs w:val="21"/>
                <w:highlight w:val="none"/>
                <w:lang w:eastAsia="zh-CN"/>
              </w:rPr>
              <w:t>保证金：</w:t>
            </w:r>
            <w:r>
              <w:rPr>
                <w:rFonts w:hint="eastAsia" w:ascii="宋体" w:hAnsi="宋体" w:cs="宋体"/>
                <w:b/>
                <w:bCs/>
                <w:color w:val="auto"/>
                <w:szCs w:val="21"/>
                <w:highlight w:val="none"/>
                <w:u w:val="single"/>
                <w:lang w:val="en-US" w:eastAsia="zh-CN"/>
              </w:rPr>
              <w:t xml:space="preserve">  /  </w:t>
            </w:r>
            <w:r>
              <w:rPr>
                <w:rFonts w:hint="eastAsia" w:ascii="宋体" w:hAnsi="宋体" w:eastAsia="宋体" w:cs="宋体"/>
                <w:color w:val="auto"/>
                <w:szCs w:val="21"/>
                <w:highlight w:val="none"/>
                <w:lang w:eastAsia="zh-CN"/>
              </w:rPr>
              <w:t>以非现金形式递交。</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递交方式：中标通知书发出之日起至合同签订之日前缴纳履约保证金(10日内)，履约保证金必须是从投标人单位基本账户转（汇）入履约保证金的托管账户管理，以现金方式和非投标人单位账户提交的履约保证金无效；履约保证金托管账户如下：</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账户名称： </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开户银行：</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银行账号：</w:t>
            </w:r>
          </w:p>
          <w:p>
            <w:pPr>
              <w:adjustRightInd w:val="0"/>
              <w:snapToGrid w:val="0"/>
              <w:spacing w:line="360" w:lineRule="auto"/>
              <w:ind w:firstLine="420" w:firstLineChars="200"/>
              <w:rPr>
                <w:rFonts w:hint="eastAsia" w:ascii="宋体" w:hAnsi="宋体" w:cs="宋体"/>
                <w:snapToGrid w:val="0"/>
                <w:color w:val="auto"/>
                <w:kern w:val="0"/>
                <w:szCs w:val="21"/>
              </w:rPr>
            </w:pPr>
            <w:r>
              <w:rPr>
                <w:rFonts w:hint="eastAsia" w:ascii="宋体" w:hAnsi="宋体" w:cs="宋体"/>
                <w:color w:val="auto"/>
                <w:szCs w:val="21"/>
              </w:rPr>
              <w:t>该账号仅为此项目的保证金托管账户，请勿与其它项目的账号混淆，发生串户则视为无效保证金</w:t>
            </w:r>
            <w:r>
              <w:rPr>
                <w:rFonts w:hint="eastAsia" w:ascii="宋体" w:hAnsi="宋体" w:cs="宋体"/>
                <w:snapToGrid w:val="0"/>
                <w:color w:val="auto"/>
                <w:kern w:val="0"/>
                <w:szCs w:val="21"/>
              </w:rPr>
              <w:t>。</w:t>
            </w:r>
          </w:p>
          <w:p>
            <w:pPr>
              <w:numPr>
                <w:ilvl w:val="0"/>
                <w:numId w:val="0"/>
              </w:numPr>
              <w:adjustRightInd w:val="0"/>
              <w:snapToGrid w:val="0"/>
              <w:spacing w:line="360" w:lineRule="auto"/>
              <w:ind w:firstLine="420" w:firstLineChars="200"/>
              <w:rPr>
                <w:rFonts w:hint="eastAsia"/>
                <w:color w:val="auto"/>
              </w:rPr>
            </w:pPr>
            <w:r>
              <w:rPr>
                <w:rFonts w:hint="default" w:ascii="Calibri" w:hAnsi="Calibri" w:cs="Calibri"/>
                <w:snapToGrid w:val="0"/>
                <w:color w:val="auto"/>
                <w:kern w:val="0"/>
                <w:szCs w:val="21"/>
              </w:rPr>
              <w:t>①</w:t>
            </w:r>
            <w:r>
              <w:rPr>
                <w:rFonts w:hint="eastAsia" w:ascii="宋体" w:hAnsi="宋体" w:cs="宋体"/>
                <w:snapToGrid w:val="0"/>
                <w:color w:val="auto"/>
                <w:kern w:val="0"/>
                <w:szCs w:val="21"/>
              </w:rPr>
              <w:t>在转账票据摘要处须注明：“</w:t>
            </w:r>
            <w:r>
              <w:rPr>
                <w:rFonts w:hint="eastAsia" w:ascii="宋体" w:hAnsi="宋体" w:cs="宋体"/>
                <w:snapToGrid w:val="0"/>
                <w:color w:val="auto"/>
                <w:kern w:val="0"/>
                <w:szCs w:val="21"/>
                <w:u w:val="single"/>
              </w:rPr>
              <w:t xml:space="preserve">   （项目名称）  </w:t>
            </w:r>
            <w:r>
              <w:rPr>
                <w:rFonts w:hint="eastAsia" w:ascii="宋体" w:hAnsi="宋体" w:cs="宋体"/>
                <w:snapToGrid w:val="0"/>
                <w:color w:val="auto"/>
                <w:kern w:val="0"/>
                <w:szCs w:val="21"/>
                <w:u w:val="none"/>
              </w:rPr>
              <w:t xml:space="preserve"> </w:t>
            </w:r>
            <w:r>
              <w:rPr>
                <w:rFonts w:hint="eastAsia" w:ascii="宋体" w:hAnsi="宋体" w:cs="宋体"/>
                <w:snapToGrid w:val="0"/>
                <w:color w:val="auto"/>
                <w:kern w:val="0"/>
                <w:szCs w:val="21"/>
                <w:u w:val="none"/>
                <w:lang w:val="en-US" w:eastAsia="zh-CN"/>
              </w:rPr>
              <w:t>履约</w:t>
            </w:r>
            <w:r>
              <w:rPr>
                <w:rFonts w:hint="eastAsia" w:ascii="宋体" w:hAnsi="宋体" w:cs="宋体"/>
                <w:snapToGrid w:val="0"/>
                <w:color w:val="auto"/>
                <w:kern w:val="0"/>
                <w:szCs w:val="21"/>
              </w:rPr>
              <w:t>保证金”。（如“项目名称”字符过多，转账票据摘要处填写不下的，则“取‘项目名称’前面字符”填入。）</w:t>
            </w:r>
          </w:p>
          <w:p>
            <w:pPr>
              <w:adjustRightInd w:val="0"/>
              <w:snapToGrid w:val="0"/>
              <w:spacing w:line="360" w:lineRule="auto"/>
              <w:jc w:val="both"/>
              <w:rPr>
                <w:rFonts w:hint="eastAsia"/>
                <w:color w:val="auto"/>
                <w:lang w:val="en-US" w:eastAsia="zh-CN"/>
              </w:rPr>
            </w:pPr>
            <w:r>
              <w:rPr>
                <w:rFonts w:hint="eastAsia" w:ascii="宋体" w:hAnsi="宋体" w:eastAsia="宋体" w:cs="宋体"/>
                <w:b/>
                <w:bCs/>
                <w:snapToGrid w:val="0"/>
                <w:color w:val="auto"/>
                <w:kern w:val="0"/>
                <w:sz w:val="21"/>
                <w:szCs w:val="21"/>
                <w:lang w:val="en-US" w:eastAsia="zh-CN" w:bidi="ar-SA"/>
              </w:rPr>
              <w:t>备注</w:t>
            </w:r>
            <w:r>
              <w:rPr>
                <w:rFonts w:hint="eastAsia" w:ascii="宋体" w:hAnsi="宋体" w:eastAsia="宋体" w:cs="宋体"/>
                <w:snapToGrid w:val="0"/>
                <w:color w:val="auto"/>
                <w:kern w:val="0"/>
                <w:sz w:val="21"/>
                <w:szCs w:val="21"/>
                <w:lang w:val="en-US" w:eastAsia="zh-CN" w:bidi="ar-SA"/>
              </w:rPr>
              <w:t>：采购单位需在工程验收合格后五个工作日内退还履约保证金，中标单位需提供转账证明及履约保证金退还申请书(需中标单位、采购人、镇政府、监理单位(如有))盖章</w:t>
            </w:r>
            <w:r>
              <w:rPr>
                <w:rFonts w:hint="eastAsia" w:ascii="宋体" w:hAnsi="宋体" w:cs="宋体"/>
                <w:snapToGrid w:val="0"/>
                <w:color w:val="auto"/>
                <w:kern w:val="0"/>
                <w:sz w:val="21"/>
                <w:szCs w:val="21"/>
                <w:lang w:val="en-US" w:eastAsia="zh-CN" w:bidi="ar-SA"/>
              </w:rPr>
              <w:t>发至采购人。（</w:t>
            </w:r>
            <w:r>
              <w:rPr>
                <w:rFonts w:hint="eastAsia" w:ascii="宋体" w:hAnsi="宋体" w:eastAsia="宋体" w:cs="宋体"/>
                <w:snapToGrid w:val="0"/>
                <w:color w:val="auto"/>
                <w:kern w:val="0"/>
                <w:sz w:val="21"/>
                <w:szCs w:val="21"/>
                <w:lang w:val="en-US" w:eastAsia="zh-CN" w:bidi="ar-SA"/>
              </w:rPr>
              <w:t>履约保证金退款申请格式</w:t>
            </w:r>
            <w:r>
              <w:rPr>
                <w:rFonts w:hint="eastAsia" w:ascii="宋体" w:hAnsi="宋体" w:cs="宋体"/>
                <w:snapToGrid w:val="0"/>
                <w:color w:val="auto"/>
                <w:kern w:val="0"/>
                <w:sz w:val="21"/>
                <w:szCs w:val="21"/>
                <w:lang w:val="en-US" w:eastAsia="zh-CN" w:bidi="ar-SA"/>
              </w:rPr>
              <w:t>详见附件十一</w:t>
            </w:r>
            <w:r>
              <w:rPr>
                <w:rFonts w:hint="eastAsia" w:ascii="宋体" w:hAnsi="宋体" w:eastAsia="宋体" w:cs="宋体"/>
                <w:snapToGrid w:val="0"/>
                <w:color w:val="auto"/>
                <w:kern w:val="0"/>
                <w:sz w:val="21"/>
                <w:szCs w:val="21"/>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9687" w:type="dxa"/>
            <w:gridSpan w:val="6"/>
            <w:noWrap w:val="0"/>
            <w:vAlign w:val="center"/>
          </w:tcPr>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auto"/>
                <w:szCs w:val="21"/>
                <w:highlight w:val="none"/>
              </w:rPr>
            </w:pPr>
            <w:r>
              <w:rPr>
                <w:rFonts w:hint="eastAsia" w:hAnsi="宋体" w:cs="宋体"/>
                <w:b/>
                <w:color w:val="auto"/>
                <w:sz w:val="21"/>
                <w:highlight w:val="none"/>
              </w:rPr>
              <w:t>七、</w:t>
            </w:r>
            <w:r>
              <w:rPr>
                <w:rFonts w:hint="eastAsia" w:hAnsi="宋体" w:cs="宋体"/>
                <w:b/>
                <w:color w:val="auto"/>
                <w:sz w:val="21"/>
                <w:highlight w:val="none"/>
                <w:lang w:eastAsia="zh-CN"/>
              </w:rPr>
              <w:t>政府采购政策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99" w:hRule="atLeast"/>
          <w:jc w:val="center"/>
        </w:trPr>
        <w:tc>
          <w:tcPr>
            <w:tcW w:w="1811" w:type="dxa"/>
            <w:vMerge w:val="restart"/>
            <w:noWrap w:val="0"/>
            <w:vAlign w:val="center"/>
          </w:tcPr>
          <w:p>
            <w:pPr>
              <w:shd w:val="clear" w:color="auto" w:fill="auto"/>
              <w:adjustRightInd w:val="0"/>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第二章第</w:t>
            </w:r>
            <w:r>
              <w:rPr>
                <w:rFonts w:hint="eastAsia" w:ascii="宋体" w:hAnsi="宋体" w:eastAsia="宋体" w:cs="宋体"/>
                <w:color w:val="auto"/>
                <w:szCs w:val="21"/>
                <w:highlight w:val="none"/>
                <w:lang w:val="en-US" w:eastAsia="zh-CN"/>
              </w:rPr>
              <w:t>39.1款</w:t>
            </w:r>
          </w:p>
        </w:tc>
        <w:tc>
          <w:tcPr>
            <w:tcW w:w="2281" w:type="dxa"/>
            <w:gridSpan w:val="2"/>
            <w:vMerge w:val="restart"/>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优先采购</w:t>
            </w:r>
          </w:p>
        </w:tc>
        <w:tc>
          <w:tcPr>
            <w:tcW w:w="5595" w:type="dxa"/>
            <w:gridSpan w:val="3"/>
            <w:tcBorders>
              <w:bottom w:val="single" w:color="auto" w:sz="4" w:space="0"/>
            </w:tcBorders>
            <w:noWrap w:val="0"/>
            <w:vAlign w:val="center"/>
          </w:tcPr>
          <w:p>
            <w:pPr>
              <w:keepNext w:val="0"/>
              <w:keepLines w:val="0"/>
              <w:pageBreakBefore w:val="0"/>
              <w:widowControl/>
              <w:shd w:val="clear" w:color="auto" w:fill="auto"/>
              <w:kinsoku/>
              <w:wordWrap/>
              <w:overflowPunct/>
              <w:topLinePunct w:val="0"/>
              <w:autoSpaceDE/>
              <w:autoSpaceDN/>
              <w:bidi w:val="0"/>
              <w:spacing w:line="400" w:lineRule="exact"/>
              <w:ind w:firstLine="210" w:firstLineChars="100"/>
              <w:textAlignment w:val="auto"/>
              <w:rPr>
                <w:color w:val="auto"/>
                <w:highlight w:val="none"/>
              </w:rPr>
            </w:pPr>
            <w:r>
              <w:rPr>
                <w:rFonts w:hint="eastAsia"/>
                <w:color w:val="auto"/>
                <w:highlight w:val="none"/>
              </w:rPr>
              <w:t>①非强制采购节能产品:采用综合评分法时，对于技术和价格分，应分别给予总分值4%-8%的加分。本项目具体加分比例分别为：技术</w:t>
            </w:r>
            <w:r>
              <w:rPr>
                <w:rFonts w:hint="eastAsia"/>
                <w:color w:val="auto"/>
                <w:highlight w:val="none"/>
                <w:u w:val="single"/>
              </w:rPr>
              <w:t>4</w:t>
            </w:r>
            <w:r>
              <w:rPr>
                <w:rFonts w:hint="eastAsia"/>
                <w:color w:val="auto"/>
                <w:highlight w:val="none"/>
              </w:rPr>
              <w:t xml:space="preserve"> %、价格</w:t>
            </w:r>
            <w:r>
              <w:rPr>
                <w:rFonts w:hint="eastAsia"/>
                <w:color w:val="auto"/>
                <w:highlight w:val="none"/>
                <w:u w:val="single"/>
              </w:rPr>
              <w:t>4</w:t>
            </w:r>
            <w:r>
              <w:rPr>
                <w:rFonts w:hint="eastAsia"/>
                <w:color w:val="auto"/>
                <w:highlight w:val="none"/>
              </w:rPr>
              <w:t xml:space="preserve"> %。 </w:t>
            </w:r>
          </w:p>
          <w:p>
            <w:pPr>
              <w:keepNext w:val="0"/>
              <w:keepLines w:val="0"/>
              <w:pageBreakBefore w:val="0"/>
              <w:widowControl/>
              <w:shd w:val="clear" w:color="auto" w:fill="auto"/>
              <w:kinsoku/>
              <w:wordWrap/>
              <w:overflowPunct/>
              <w:topLinePunct w:val="0"/>
              <w:autoSpaceDE/>
              <w:autoSpaceDN/>
              <w:bidi w:val="0"/>
              <w:spacing w:line="400" w:lineRule="exact"/>
              <w:ind w:firstLine="210" w:firstLineChars="100"/>
              <w:textAlignment w:val="auto"/>
              <w:rPr>
                <w:color w:val="auto"/>
                <w:highlight w:val="none"/>
              </w:rPr>
            </w:pPr>
            <w:r>
              <w:rPr>
                <w:rFonts w:hint="eastAsia"/>
                <w:color w:val="auto"/>
                <w:highlight w:val="none"/>
              </w:rPr>
              <w:t>②环境标志产品:采用综合评分法时，对于技术和价格分，应分别给予总分值4%-8%的加分。本项目具体加分比例分别为：技术</w:t>
            </w:r>
            <w:r>
              <w:rPr>
                <w:rFonts w:hint="eastAsia"/>
                <w:color w:val="auto"/>
                <w:highlight w:val="none"/>
                <w:u w:val="single"/>
              </w:rPr>
              <w:t xml:space="preserve">4 </w:t>
            </w:r>
            <w:r>
              <w:rPr>
                <w:rFonts w:hint="eastAsia"/>
                <w:color w:val="auto"/>
                <w:highlight w:val="none"/>
              </w:rPr>
              <w:t>%、价格</w:t>
            </w:r>
            <w:r>
              <w:rPr>
                <w:rFonts w:hint="eastAsia"/>
                <w:color w:val="auto"/>
                <w:highlight w:val="none"/>
                <w:u w:val="single"/>
              </w:rPr>
              <w:t>4</w:t>
            </w:r>
            <w:r>
              <w:rPr>
                <w:rFonts w:hint="eastAsia"/>
                <w:color w:val="auto"/>
                <w:highlight w:val="none"/>
              </w:rPr>
              <w:t>% 。</w:t>
            </w:r>
          </w:p>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highlight w:val="none"/>
              </w:rPr>
            </w:pPr>
            <w:r>
              <w:rPr>
                <w:rFonts w:hint="eastAsia"/>
                <w:color w:val="auto"/>
                <w:highlight w:val="none"/>
              </w:rPr>
              <w:t xml:space="preserve">③两型产品:采用综合评分法时，对于技术和价格分，应分别给予总分值4%-8%的加分，本项目具体加分比例分别为：技术 </w:t>
            </w:r>
            <w:r>
              <w:rPr>
                <w:rFonts w:hint="eastAsia"/>
                <w:color w:val="auto"/>
                <w:highlight w:val="none"/>
                <w:u w:val="single"/>
              </w:rPr>
              <w:t>4</w:t>
            </w:r>
            <w:r>
              <w:rPr>
                <w:rFonts w:hint="eastAsia"/>
                <w:color w:val="auto"/>
                <w:highlight w:val="none"/>
              </w:rPr>
              <w:t xml:space="preserve"> %、价格</w:t>
            </w:r>
            <w:r>
              <w:rPr>
                <w:rFonts w:hint="eastAsia"/>
                <w:color w:val="auto"/>
                <w:highlight w:val="none"/>
                <w:u w:val="single"/>
              </w:rPr>
              <w:t>4</w:t>
            </w:r>
            <w:r>
              <w:rPr>
                <w:rFonts w:hint="eastAsia"/>
                <w:color w:val="auto"/>
                <w:highlight w:val="none"/>
              </w:rPr>
              <w:t xml:space="preserve"> %；在商务评审项目中，对设有完善售后服务机构和网点的两型产品，应给予商务评审总分值的4％-8％的加分，本项目商务具体加分比例为 </w:t>
            </w:r>
            <w:r>
              <w:rPr>
                <w:rFonts w:hint="eastAsia"/>
                <w:color w:val="auto"/>
                <w:highlight w:val="none"/>
                <w:u w:val="single"/>
              </w:rPr>
              <w:t>4</w:t>
            </w:r>
            <w:r>
              <w:rPr>
                <w:rFonts w:hint="eastAsia"/>
                <w:color w:val="auto"/>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jc w:val="center"/>
        </w:trPr>
        <w:tc>
          <w:tcPr>
            <w:tcW w:w="1811" w:type="dxa"/>
            <w:vMerge w:val="continue"/>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p>
        </w:tc>
        <w:tc>
          <w:tcPr>
            <w:tcW w:w="2281" w:type="dxa"/>
            <w:gridSpan w:val="2"/>
            <w:vMerge w:val="continue"/>
            <w:noWrap w:val="0"/>
            <w:vAlign w:val="center"/>
          </w:tcPr>
          <w:p>
            <w:pPr>
              <w:shd w:val="clear" w:color="auto" w:fill="auto"/>
              <w:adjustRightInd w:val="0"/>
              <w:snapToGrid w:val="0"/>
              <w:jc w:val="center"/>
              <w:rPr>
                <w:rFonts w:hint="eastAsia" w:ascii="宋体" w:hAnsi="宋体" w:cs="宋体"/>
                <w:color w:val="auto"/>
                <w:szCs w:val="21"/>
                <w:highlight w:val="none"/>
                <w:lang w:eastAsia="zh-CN"/>
              </w:rPr>
            </w:pPr>
          </w:p>
        </w:tc>
        <w:tc>
          <w:tcPr>
            <w:tcW w:w="5595" w:type="dxa"/>
            <w:gridSpan w:val="3"/>
            <w:tcBorders>
              <w:top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备注：（1）优先采购同时属于“节能产品”、“环境标志产品”及“两型产品”的，评审时只有其中一项产品能享受优先采购优惠（</w:t>
            </w:r>
            <w:r>
              <w:rPr>
                <w:rFonts w:hint="eastAsia" w:ascii="宋体" w:hAnsi="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自行选择，并在</w:t>
            </w:r>
            <w:r>
              <w:rPr>
                <w:rFonts w:hint="eastAsia" w:ascii="宋体" w:hAnsi="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文件中填报相关信息及数据）。</w:t>
            </w:r>
          </w:p>
          <w:p>
            <w:pPr>
              <w:pStyle w:val="2"/>
              <w:keepNext w:val="0"/>
              <w:keepLines w:val="0"/>
              <w:pageBreakBefore w:val="0"/>
              <w:numPr>
                <w:ilvl w:val="0"/>
                <w:numId w:val="0"/>
              </w:numPr>
              <w:shd w:val="clear" w:color="auto" w:fill="auto"/>
              <w:kinsoku/>
              <w:wordWrap/>
              <w:overflowPunct/>
              <w:topLinePunct w:val="0"/>
              <w:autoSpaceDE/>
              <w:autoSpaceDN/>
              <w:bidi w:val="0"/>
              <w:spacing w:after="0"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小型和微型企业的价格评审优惠可以与同时属于“节能产品”、“环境标志产品”及“两型产品”中的一项优先采购优惠累加计算。</w:t>
            </w:r>
          </w:p>
          <w:p>
            <w:pPr>
              <w:pStyle w:val="10"/>
              <w:keepNext w:val="0"/>
              <w:keepLines w:val="0"/>
              <w:pageBreakBefore w:val="0"/>
              <w:numPr>
                <w:ilvl w:val="0"/>
                <w:numId w:val="0"/>
              </w:numPr>
              <w:shd w:val="clear" w:color="auto" w:fill="auto"/>
              <w:kinsoku/>
              <w:wordWrap/>
              <w:overflowPunct/>
              <w:topLinePunct w:val="0"/>
              <w:autoSpaceDE/>
              <w:autoSpaceDN/>
              <w:bidi w:val="0"/>
              <w:spacing w:line="400" w:lineRule="exact"/>
              <w:ind w:leftChars="0" w:firstLine="422" w:firstLineChars="200"/>
              <w:textAlignment w:val="auto"/>
              <w:rPr>
                <w:rFonts w:hint="eastAsia" w:eastAsia="宋体"/>
                <w:color w:val="auto"/>
                <w:highlight w:val="none"/>
                <w:lang w:eastAsia="zh-CN"/>
              </w:rPr>
            </w:pP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符合第二章第3</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.1款、第3</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.2款、第3</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.3款规定的，应按第二章第3</w:t>
            </w:r>
            <w:r>
              <w:rPr>
                <w:rFonts w:hint="eastAsia" w:ascii="宋体" w:hAnsi="宋体" w:eastAsia="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款规定提供相关证明资料。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第二章第</w:t>
            </w:r>
            <w:r>
              <w:rPr>
                <w:rFonts w:hint="eastAsia" w:ascii="宋体" w:hAnsi="宋体" w:eastAsia="宋体" w:cs="宋体"/>
                <w:color w:val="auto"/>
                <w:szCs w:val="21"/>
                <w:highlight w:val="none"/>
                <w:lang w:val="en-US" w:eastAsia="zh-CN"/>
              </w:rPr>
              <w:t>39.2款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强制采购</w:t>
            </w:r>
          </w:p>
        </w:tc>
        <w:tc>
          <w:tcPr>
            <w:tcW w:w="5595" w:type="dxa"/>
            <w:gridSpan w:val="3"/>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纳入财政部会同国务院有关部门发布的节能产品政府采购品目清单，实施政府强制采购的（品目清单标注</w:t>
            </w:r>
            <w:r>
              <w:rPr>
                <w:rFonts w:hint="eastAsia" w:ascii="宋体" w:hAnsi="宋体" w:eastAsia="宋体" w:cs="宋体"/>
                <w:color w:val="auto"/>
                <w:szCs w:val="21"/>
                <w:highlight w:val="none"/>
                <w:lang w:val="en-US" w:eastAsia="zh-CN"/>
              </w:rPr>
              <w:sym w:font="Wingdings" w:char="F0AB"/>
            </w:r>
            <w:r>
              <w:rPr>
                <w:rFonts w:hint="eastAsia" w:ascii="宋体" w:hAnsi="宋体" w:eastAsia="宋体" w:cs="宋体"/>
                <w:color w:val="auto"/>
                <w:szCs w:val="21"/>
                <w:highlight w:val="none"/>
                <w:lang w:val="en-US" w:eastAsia="zh-CN"/>
              </w:rPr>
              <w:t>符号产品），投标人投标产品应当取得国家确定的认证机构出具的、处于有效期之内的节能产品认证证书，否</w:t>
            </w:r>
            <w:r>
              <w:rPr>
                <w:rFonts w:hint="eastAsia" w:ascii="宋体" w:hAnsi="宋体" w:eastAsia="宋体" w:cs="宋体"/>
                <w:color w:val="auto"/>
                <w:kern w:val="0"/>
                <w:highlight w:val="none"/>
              </w:rPr>
              <w:t>则其</w:t>
            </w:r>
            <w:r>
              <w:rPr>
                <w:rFonts w:hint="eastAsia" w:ascii="宋体" w:hAnsi="宋体" w:eastAsia="宋体" w:cs="宋体"/>
                <w:b/>
                <w:color w:val="auto"/>
                <w:kern w:val="0"/>
                <w:szCs w:val="21"/>
                <w:highlight w:val="none"/>
              </w:rPr>
              <w:t>投标无效</w:t>
            </w:r>
            <w:r>
              <w:rPr>
                <w:rFonts w:hint="eastAsia" w:ascii="宋体" w:hAnsi="宋体" w:eastAsia="宋体" w:cs="宋体"/>
                <w:b/>
                <w:color w:val="auto"/>
                <w:kern w:val="0"/>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restart"/>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第二章第</w:t>
            </w:r>
            <w:r>
              <w:rPr>
                <w:rFonts w:hint="eastAsia" w:ascii="宋体" w:hAnsi="宋体" w:eastAsia="宋体" w:cs="宋体"/>
                <w:color w:val="auto"/>
                <w:szCs w:val="21"/>
                <w:highlight w:val="none"/>
                <w:lang w:val="en-US" w:eastAsia="zh-CN"/>
              </w:rPr>
              <w:t>39.3款</w:t>
            </w:r>
          </w:p>
        </w:tc>
        <w:tc>
          <w:tcPr>
            <w:tcW w:w="2281" w:type="dxa"/>
            <w:gridSpan w:val="2"/>
            <w:noWrap w:val="0"/>
            <w:vAlign w:val="center"/>
          </w:tcPr>
          <w:p>
            <w:pPr>
              <w:shd w:val="clear" w:color="auto" w:fill="auto"/>
              <w:adjustRightInd w:val="0"/>
              <w:snapToGrid w:val="0"/>
              <w:spacing w:line="32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hAnsi="宋体"/>
                <w:color w:val="auto"/>
                <w:szCs w:val="21"/>
                <w:highlight w:val="none"/>
                <w:lang w:eastAsia="zh-CN"/>
              </w:rPr>
              <w:t>预留采购份额</w:t>
            </w:r>
          </w:p>
        </w:tc>
        <w:tc>
          <w:tcPr>
            <w:tcW w:w="5595" w:type="dxa"/>
            <w:gridSpan w:val="3"/>
            <w:noWrap w:val="0"/>
            <w:vAlign w:val="center"/>
          </w:tcPr>
          <w:p>
            <w:pPr>
              <w:pStyle w:val="2"/>
              <w:keepNext w:val="0"/>
              <w:keepLines w:val="0"/>
              <w:pageBreakBefore w:val="0"/>
              <w:widowControl w:val="0"/>
              <w:shd w:val="clear" w:color="auto" w:fill="auto"/>
              <w:kinsoku/>
              <w:wordWrap/>
              <w:overflowPunct/>
              <w:topLinePunct w:val="0"/>
              <w:autoSpaceDE/>
              <w:autoSpaceDN/>
              <w:bidi w:val="0"/>
              <w:spacing w:line="360" w:lineRule="exact"/>
              <w:ind w:left="0" w:leftChars="0" w:firstLine="0" w:firstLineChars="0"/>
              <w:textAlignment w:val="auto"/>
              <w:rPr>
                <w:rFonts w:hint="default"/>
                <w:color w:val="auto"/>
                <w:highlight w:val="none"/>
                <w:u w:val="single"/>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continue"/>
            <w:noWrap w:val="0"/>
            <w:vAlign w:val="center"/>
          </w:tcPr>
          <w:p>
            <w:pPr>
              <w:shd w:val="clear" w:color="auto" w:fill="auto"/>
              <w:adjustRightInd w:val="0"/>
              <w:snapToGrid w:val="0"/>
              <w:jc w:val="center"/>
              <w:rPr>
                <w:rFonts w:hint="eastAsia" w:ascii="宋体" w:hAnsi="宋体" w:eastAsia="宋体" w:cs="宋体"/>
                <w:color w:val="auto"/>
                <w:szCs w:val="21"/>
                <w:highlight w:val="none"/>
              </w:rPr>
            </w:pP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价格评审优惠</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对于经主管预算单位统筹后未预留份额专门面向中小企业采购的采购项目，以及预留份额项目中的非预留部分采购包，采购人、采购代理机构应当对符合</w:t>
            </w:r>
            <w:r>
              <w:rPr>
                <w:rFonts w:hint="eastAsia"/>
                <w:color w:val="auto"/>
                <w:highlight w:val="none"/>
                <w:lang w:val="en-US" w:eastAsia="zh-CN"/>
              </w:rPr>
              <w:t>《政府采购促进中小企业发展管理办法》</w:t>
            </w:r>
            <w:r>
              <w:rPr>
                <w:rFonts w:hint="eastAsia"/>
                <w:color w:val="auto"/>
                <w:highlight w:val="none"/>
              </w:rPr>
              <w:t>规定的小微企业报价给予6%—10%（工程项目为 3%—5%）的扣除，用扣除后的价格参加评审。</w:t>
            </w:r>
            <w:r>
              <w:rPr>
                <w:rFonts w:hint="eastAsia"/>
                <w:color w:val="auto"/>
                <w:highlight w:val="none"/>
                <w:lang w:eastAsia="zh-CN"/>
              </w:rPr>
              <w:t>具体扣除比例如下：</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default" w:eastAsia="宋体"/>
                <w:color w:val="auto"/>
                <w:highlight w:val="none"/>
                <w:u w:val="single"/>
                <w:lang w:val="en-US"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货物采购</w:t>
            </w:r>
            <w:r>
              <w:rPr>
                <w:rFonts w:hint="eastAsia"/>
                <w:color w:val="auto"/>
                <w:highlight w:val="none"/>
                <w:lang w:eastAsia="zh-CN"/>
              </w:rPr>
              <w:t>：</w:t>
            </w:r>
            <w:r>
              <w:rPr>
                <w:rFonts w:hint="eastAsia"/>
                <w:color w:val="auto"/>
                <w:highlight w:val="none"/>
              </w:rPr>
              <w:t>货物由</w:t>
            </w:r>
            <w:r>
              <w:rPr>
                <w:rFonts w:hint="eastAsia"/>
                <w:color w:val="auto"/>
                <w:highlight w:val="none"/>
                <w:lang w:eastAsia="zh-CN"/>
              </w:rPr>
              <w:t>中小</w:t>
            </w:r>
            <w:r>
              <w:rPr>
                <w:rFonts w:hint="eastAsia"/>
                <w:color w:val="auto"/>
                <w:highlight w:val="none"/>
              </w:rPr>
              <w:t>企业制造，即货物由</w:t>
            </w:r>
            <w:r>
              <w:rPr>
                <w:rFonts w:hint="eastAsia"/>
                <w:color w:val="auto"/>
                <w:highlight w:val="none"/>
                <w:lang w:eastAsia="zh-CN"/>
              </w:rPr>
              <w:t>中小</w:t>
            </w:r>
            <w:r>
              <w:rPr>
                <w:rFonts w:hint="eastAsia"/>
                <w:color w:val="auto"/>
                <w:highlight w:val="none"/>
              </w:rPr>
              <w:t>企业生产且使用该</w:t>
            </w:r>
            <w:r>
              <w:rPr>
                <w:rFonts w:hint="eastAsia"/>
                <w:color w:val="auto"/>
                <w:highlight w:val="none"/>
                <w:lang w:eastAsia="zh-CN"/>
              </w:rPr>
              <w:t>中小</w:t>
            </w:r>
            <w:r>
              <w:rPr>
                <w:rFonts w:hint="eastAsia"/>
                <w:color w:val="auto"/>
                <w:highlight w:val="none"/>
              </w:rPr>
              <w:t>企业商号或者注册商标</w:t>
            </w:r>
            <w:r>
              <w:rPr>
                <w:rFonts w:hint="eastAsia"/>
                <w:color w:val="auto"/>
                <w:highlight w:val="none"/>
                <w:lang w:eastAsia="zh-CN"/>
              </w:rPr>
              <w:t>。本项目给予</w:t>
            </w:r>
            <w:r>
              <w:rPr>
                <w:rFonts w:hint="eastAsia"/>
                <w:color w:val="auto"/>
                <w:highlight w:val="none"/>
              </w:rPr>
              <w:t>小</w:t>
            </w:r>
            <w:r>
              <w:rPr>
                <w:rFonts w:hint="eastAsia"/>
                <w:color w:val="auto"/>
                <w:highlight w:val="none"/>
                <w:lang w:eastAsia="zh-CN"/>
              </w:rPr>
              <w:t>微</w:t>
            </w:r>
            <w:r>
              <w:rPr>
                <w:rFonts w:hint="eastAsia"/>
                <w:color w:val="auto"/>
                <w:highlight w:val="none"/>
              </w:rPr>
              <w:t>企业</w:t>
            </w:r>
            <w:r>
              <w:rPr>
                <w:rFonts w:hint="eastAsia"/>
                <w:color w:val="auto"/>
                <w:highlight w:val="none"/>
                <w:u w:val="single"/>
                <w:lang w:val="en-US" w:eastAsia="zh-CN"/>
              </w:rPr>
              <w:t xml:space="preserve">  /   </w:t>
            </w:r>
            <w:r>
              <w:rPr>
                <w:rFonts w:hint="eastAsia"/>
                <w:color w:val="auto"/>
                <w:highlight w:val="none"/>
                <w:lang w:eastAsia="zh-CN"/>
              </w:rPr>
              <w:t>扣除</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1" w:firstLineChars="100"/>
              <w:textAlignment w:val="auto"/>
              <w:rPr>
                <w:rFonts w:hint="eastAsia"/>
                <w:b/>
                <w:bCs/>
                <w:color w:val="auto"/>
                <w:highlight w:val="none"/>
                <w:lang w:val="en-US" w:eastAsia="zh-CN"/>
              </w:rPr>
            </w:pPr>
            <w:r>
              <w:rPr>
                <w:rFonts w:hint="eastAsia"/>
                <w:b/>
                <w:bCs/>
                <w:color w:val="auto"/>
                <w:highlight w:val="none"/>
              </w:rPr>
              <w:t>在货物采购项目中，供应商提供的货物既有中小企业制造货物，也有大型企业制造货物的，不享受中小企业扶持政策。</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eastAsia"/>
                <w:color w:val="auto"/>
                <w:highlight w:val="none"/>
                <w:lang w:eastAsia="zh-CN"/>
              </w:rPr>
            </w:pPr>
            <w:r>
              <w:rPr>
                <w:rFonts w:hint="eastAsia"/>
                <w:color w:val="auto"/>
                <w:highlight w:val="none"/>
              </w:rPr>
              <w:t>□工程采购</w:t>
            </w:r>
            <w:r>
              <w:rPr>
                <w:rFonts w:hint="eastAsia"/>
                <w:color w:val="auto"/>
                <w:highlight w:val="none"/>
                <w:lang w:eastAsia="zh-CN"/>
              </w:rPr>
              <w:t>：</w:t>
            </w:r>
            <w:r>
              <w:rPr>
                <w:rFonts w:hint="eastAsia"/>
                <w:color w:val="auto"/>
                <w:highlight w:val="none"/>
              </w:rPr>
              <w:t>工程由</w:t>
            </w:r>
            <w:r>
              <w:rPr>
                <w:rFonts w:hint="eastAsia"/>
                <w:color w:val="auto"/>
                <w:highlight w:val="none"/>
                <w:lang w:eastAsia="zh-CN"/>
              </w:rPr>
              <w:t>中小</w:t>
            </w:r>
            <w:r>
              <w:rPr>
                <w:rFonts w:hint="eastAsia"/>
                <w:color w:val="auto"/>
                <w:highlight w:val="none"/>
              </w:rPr>
              <w:t>企业承建，即工程施工单位为</w:t>
            </w:r>
            <w:r>
              <w:rPr>
                <w:rFonts w:hint="eastAsia"/>
                <w:color w:val="auto"/>
                <w:highlight w:val="none"/>
                <w:lang w:eastAsia="zh-CN"/>
              </w:rPr>
              <w:t>中小</w:t>
            </w:r>
            <w:r>
              <w:rPr>
                <w:rFonts w:hint="eastAsia"/>
                <w:color w:val="auto"/>
                <w:highlight w:val="none"/>
              </w:rPr>
              <w:t>企业</w:t>
            </w:r>
            <w:r>
              <w:rPr>
                <w:rFonts w:hint="eastAsia"/>
                <w:color w:val="auto"/>
                <w:highlight w:val="none"/>
                <w:lang w:eastAsia="zh-CN"/>
              </w:rPr>
              <w:t>。本项目</w:t>
            </w:r>
            <w:r>
              <w:rPr>
                <w:rFonts w:hint="eastAsia"/>
                <w:color w:val="auto"/>
                <w:highlight w:val="none"/>
              </w:rPr>
              <w:t>小</w:t>
            </w:r>
            <w:r>
              <w:rPr>
                <w:rFonts w:hint="eastAsia"/>
                <w:color w:val="auto"/>
                <w:highlight w:val="none"/>
                <w:lang w:eastAsia="zh-CN"/>
              </w:rPr>
              <w:t>微</w:t>
            </w:r>
            <w:r>
              <w:rPr>
                <w:rFonts w:hint="eastAsia"/>
                <w:color w:val="auto"/>
                <w:highlight w:val="none"/>
              </w:rPr>
              <w:t>企业</w:t>
            </w:r>
            <w:r>
              <w:rPr>
                <w:rFonts w:hint="eastAsia"/>
                <w:color w:val="auto"/>
                <w:highlight w:val="none"/>
                <w:lang w:eastAsia="zh-CN"/>
              </w:rPr>
              <w:t>给予</w:t>
            </w:r>
            <w:r>
              <w:rPr>
                <w:rFonts w:hint="eastAsia"/>
                <w:color w:val="auto"/>
                <w:highlight w:val="none"/>
                <w:u w:val="single"/>
                <w:lang w:val="en-US" w:eastAsia="zh-CN"/>
              </w:rPr>
              <w:t xml:space="preserve">  / </w:t>
            </w:r>
            <w:r>
              <w:rPr>
                <w:rFonts w:hint="eastAsia"/>
                <w:color w:val="auto"/>
                <w:highlight w:val="none"/>
                <w:lang w:eastAsia="zh-CN"/>
              </w:rPr>
              <w:t>扣除</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eastAsia"/>
                <w:color w:val="auto"/>
                <w:highlight w:val="none"/>
                <w:lang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服务采购</w:t>
            </w:r>
            <w:r>
              <w:rPr>
                <w:rFonts w:hint="eastAsia"/>
                <w:color w:val="auto"/>
                <w:highlight w:val="none"/>
                <w:lang w:eastAsia="zh-CN"/>
              </w:rPr>
              <w:t>：</w:t>
            </w:r>
            <w:r>
              <w:rPr>
                <w:rFonts w:hint="eastAsia"/>
                <w:color w:val="auto"/>
                <w:highlight w:val="none"/>
              </w:rPr>
              <w:t>服务由</w:t>
            </w:r>
            <w:r>
              <w:rPr>
                <w:rFonts w:hint="eastAsia"/>
                <w:color w:val="auto"/>
                <w:highlight w:val="none"/>
                <w:lang w:eastAsia="zh-CN"/>
              </w:rPr>
              <w:t>中小</w:t>
            </w:r>
            <w:r>
              <w:rPr>
                <w:rFonts w:hint="eastAsia"/>
                <w:color w:val="auto"/>
                <w:highlight w:val="none"/>
              </w:rPr>
              <w:t>企业承接，即提供服务的人员为</w:t>
            </w:r>
            <w:r>
              <w:rPr>
                <w:rFonts w:hint="eastAsia"/>
                <w:color w:val="auto"/>
                <w:highlight w:val="none"/>
                <w:lang w:eastAsia="zh-CN"/>
              </w:rPr>
              <w:t>中小</w:t>
            </w:r>
            <w:r>
              <w:rPr>
                <w:rFonts w:hint="eastAsia"/>
                <w:color w:val="auto"/>
                <w:highlight w:val="none"/>
              </w:rPr>
              <w:t>企业依照《中华人民共和国劳动合同法》订立劳动合同的从业人员。</w:t>
            </w:r>
            <w:r>
              <w:rPr>
                <w:rFonts w:hint="eastAsia"/>
                <w:color w:val="auto"/>
                <w:highlight w:val="none"/>
                <w:lang w:eastAsia="zh-CN"/>
              </w:rPr>
              <w:t>本项目</w:t>
            </w:r>
            <w:r>
              <w:rPr>
                <w:rFonts w:hint="eastAsia"/>
                <w:color w:val="auto"/>
                <w:highlight w:val="none"/>
              </w:rPr>
              <w:t>小</w:t>
            </w:r>
            <w:r>
              <w:rPr>
                <w:rFonts w:hint="eastAsia"/>
                <w:color w:val="auto"/>
                <w:highlight w:val="none"/>
                <w:lang w:eastAsia="zh-CN"/>
              </w:rPr>
              <w:t>微</w:t>
            </w:r>
            <w:r>
              <w:rPr>
                <w:rFonts w:hint="eastAsia"/>
                <w:color w:val="auto"/>
                <w:highlight w:val="none"/>
              </w:rPr>
              <w:t>企业</w:t>
            </w:r>
            <w:r>
              <w:rPr>
                <w:rFonts w:hint="eastAsia"/>
                <w:color w:val="auto"/>
                <w:highlight w:val="none"/>
                <w:lang w:eastAsia="zh-CN"/>
              </w:rPr>
              <w:t>给予</w:t>
            </w:r>
            <w:r>
              <w:rPr>
                <w:rFonts w:hint="eastAsia"/>
                <w:color w:val="auto"/>
                <w:highlight w:val="none"/>
                <w:u w:val="single"/>
                <w:lang w:val="en-US" w:eastAsia="zh-CN"/>
              </w:rPr>
              <w:t xml:space="preserve">  /   </w:t>
            </w:r>
            <w:r>
              <w:rPr>
                <w:rFonts w:hint="eastAsia"/>
                <w:color w:val="auto"/>
                <w:highlight w:val="none"/>
                <w:lang w:eastAsia="zh-CN"/>
              </w:rPr>
              <w:t>扣除</w:t>
            </w:r>
            <w:r>
              <w:rPr>
                <w:rFonts w:hint="eastAsia"/>
                <w:color w:val="auto"/>
                <w:highlight w:val="none"/>
                <w:u w:val="none"/>
                <w:lang w:val="en-US" w:eastAsia="zh-CN"/>
              </w:rPr>
              <w:t>。</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exact"/>
              <w:ind w:leftChars="0"/>
              <w:textAlignment w:val="auto"/>
              <w:rPr>
                <w:rFonts w:hint="eastAsia"/>
                <w:color w:val="auto"/>
                <w:highlight w:val="none"/>
                <w:lang w:eastAsia="zh-CN"/>
              </w:rPr>
            </w:pPr>
            <w:r>
              <w:rPr>
                <w:rFonts w:hint="eastAsia"/>
                <w:color w:val="auto"/>
                <w:highlight w:val="none"/>
                <w:lang w:val="en-US" w:eastAsia="zh-CN"/>
              </w:rPr>
              <w:t>（2）接受大中型企业与小微企业组成联合体或者允许大中型企业向一家或者多家小微企业分包的采购项目，对于联合协议或者分包意向协议约定小微企业的合同份额占到合同总金额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 2%-3%（工程项目为 1%—2%）的扣除，用扣除后的价格参加评审。</w:t>
            </w:r>
            <w:r>
              <w:rPr>
                <w:rFonts w:hint="eastAsia"/>
                <w:color w:val="auto"/>
                <w:highlight w:val="none"/>
                <w:lang w:eastAsia="zh-CN"/>
              </w:rPr>
              <w:t>具体扣除比例如下：</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exact"/>
              <w:ind w:leftChars="0" w:firstLine="210" w:firstLineChars="100"/>
              <w:textAlignment w:val="auto"/>
              <w:rPr>
                <w:rFonts w:hint="default" w:eastAsia="宋体"/>
                <w:color w:val="auto"/>
                <w:highlight w:val="none"/>
                <w:u w:val="single"/>
                <w:lang w:val="en-US"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货物采购</w:t>
            </w:r>
            <w:r>
              <w:rPr>
                <w:rFonts w:hint="eastAsia"/>
                <w:color w:val="auto"/>
                <w:highlight w:val="none"/>
                <w:lang w:eastAsia="zh-CN"/>
              </w:rPr>
              <w:t>：本项目扣除比例为</w:t>
            </w:r>
            <w:r>
              <w:rPr>
                <w:rFonts w:hint="eastAsia"/>
                <w:color w:val="auto"/>
                <w:highlight w:val="none"/>
                <w:u w:val="single"/>
                <w:lang w:val="en-US" w:eastAsia="zh-CN"/>
              </w:rPr>
              <w:t xml:space="preserve">  /   </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eastAsia"/>
                <w:color w:val="auto"/>
                <w:highlight w:val="none"/>
                <w:lang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工程采购</w:t>
            </w:r>
            <w:r>
              <w:rPr>
                <w:rFonts w:hint="eastAsia"/>
                <w:color w:val="auto"/>
                <w:highlight w:val="none"/>
                <w:lang w:eastAsia="zh-CN"/>
              </w:rPr>
              <w:t>：本项目扣除比例为</w:t>
            </w:r>
            <w:r>
              <w:rPr>
                <w:rFonts w:hint="eastAsia"/>
                <w:color w:val="auto"/>
                <w:highlight w:val="none"/>
                <w:u w:val="single"/>
                <w:lang w:val="en-US" w:eastAsia="zh-CN"/>
              </w:rPr>
              <w:t xml:space="preserve">  /  </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textAlignment w:val="auto"/>
              <w:rPr>
                <w:rFonts w:hint="eastAsia"/>
                <w:color w:val="auto"/>
                <w:highlight w:val="none"/>
                <w:lang w:eastAsia="zh-CN"/>
              </w:rPr>
            </w:pP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服务采购</w:t>
            </w:r>
            <w:r>
              <w:rPr>
                <w:rFonts w:hint="eastAsia"/>
                <w:color w:val="auto"/>
                <w:highlight w:val="none"/>
                <w:lang w:eastAsia="zh-CN"/>
              </w:rPr>
              <w:t>：本项目扣除比例为</w:t>
            </w:r>
            <w:r>
              <w:rPr>
                <w:rFonts w:hint="eastAsia"/>
                <w:color w:val="auto"/>
                <w:highlight w:val="none"/>
                <w:u w:val="single"/>
                <w:lang w:val="en-US" w:eastAsia="zh-CN"/>
              </w:rPr>
              <w:t xml:space="preserve">  /   </w:t>
            </w:r>
            <w:r>
              <w:rPr>
                <w:rFonts w:hint="eastAsia"/>
                <w:color w:val="auto"/>
                <w:highlight w:val="none"/>
                <w:u w:val="none"/>
                <w:lang w:val="en-US"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1" w:firstLineChars="100"/>
              <w:textAlignment w:val="auto"/>
              <w:rPr>
                <w:rFonts w:hint="eastAsia"/>
                <w:b/>
                <w:bCs/>
                <w:color w:val="auto"/>
                <w:highlight w:val="none"/>
                <w:lang w:val="en-US" w:eastAsia="zh-CN"/>
              </w:rPr>
            </w:pPr>
            <w:r>
              <w:rPr>
                <w:rFonts w:hint="eastAsia"/>
                <w:b/>
                <w:bCs/>
                <w:color w:val="auto"/>
                <w:highlight w:val="none"/>
                <w:lang w:val="en-US" w:eastAsia="zh-CN"/>
              </w:rPr>
              <w:t>（以联合体形式参加政府采购活动，联合体各方均为中小企业的，联合体视同中小企业。其中，联合体各方均为小微企业的，联合体视同小微企业。）</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监狱企业、残疾人福利性单位视同小型、微型企业，享受评审中价格扣除等促进中小企业发展的政府采购政策。用扣除后的价格参与评审，本项目具体扣除比例为</w:t>
            </w:r>
            <w:r>
              <w:rPr>
                <w:rFonts w:hint="eastAsia" w:ascii="宋体" w:hAnsi="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（监狱企业、残疾人福利性单位同时属于小型、微型企业的，不重复享受价格评审优惠政策）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restart"/>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第二章第</w:t>
            </w:r>
            <w:r>
              <w:rPr>
                <w:rFonts w:hint="eastAsia" w:ascii="宋体" w:hAnsi="宋体" w:eastAsia="宋体" w:cs="宋体"/>
                <w:color w:val="auto"/>
                <w:szCs w:val="21"/>
                <w:highlight w:val="none"/>
                <w:lang w:val="en-US" w:eastAsia="zh-CN"/>
              </w:rPr>
              <w:t>39.</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0"/>
                <w:szCs w:val="21"/>
                <w:highlight w:val="none"/>
              </w:rPr>
              <w:t>政府采购支持中小企业融资</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olor w:val="auto"/>
                <w:szCs w:val="21"/>
                <w:highlight w:val="none"/>
              </w:rPr>
              <w:t>株洲市已实施政府采购合同线上融资模式。有融资需求的，可按本章节附件1、附件2、所列流程申请或附件3向所列银行咨询办理。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continue"/>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p>
        </w:tc>
        <w:tc>
          <w:tcPr>
            <w:tcW w:w="2281" w:type="dxa"/>
            <w:gridSpan w:val="2"/>
            <w:noWrap w:val="0"/>
            <w:vAlign w:val="center"/>
          </w:tcPr>
          <w:p>
            <w:pPr>
              <w:shd w:val="clear" w:color="auto" w:fill="auto"/>
              <w:adjustRightInd w:val="0"/>
              <w:snapToGrid w:val="0"/>
              <w:jc w:val="center"/>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Cs w:val="21"/>
                <w:highlight w:val="none"/>
              </w:rPr>
              <w:t>政府采购信用担保</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olor w:val="auto"/>
                <w:szCs w:val="21"/>
                <w:highlight w:val="none"/>
              </w:rPr>
              <w:t>有投标担保、履约担保需求的，可向本附表附页4所列担保机构咨询或登陆中国湖南政府采购网查询，格式见附件4、附件5。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5" w:hRule="atLeast"/>
          <w:jc w:val="center"/>
        </w:trPr>
        <w:tc>
          <w:tcPr>
            <w:tcW w:w="1811" w:type="dxa"/>
            <w:vMerge w:val="continue"/>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法律、法规、规章和省级以上财政部门规定的其他内容</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snapToGrid w:val="0"/>
                <w:color w:val="auto"/>
                <w:kern w:val="0"/>
                <w:sz w:val="21"/>
                <w:highlight w:val="none"/>
              </w:rPr>
              <w:t>请在财政部门指定媒体上查阅相关信息并及时填写。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9687" w:type="dxa"/>
            <w:gridSpan w:val="6"/>
            <w:noWrap w:val="0"/>
            <w:vAlign w:val="center"/>
          </w:tcPr>
          <w:p>
            <w:pPr>
              <w:shd w:val="clear" w:color="auto" w:fill="auto"/>
              <w:adjustRightInd w:val="0"/>
              <w:snapToGrid w:val="0"/>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八</w:t>
            </w:r>
            <w:r>
              <w:rPr>
                <w:rFonts w:hint="eastAsia" w:ascii="宋体" w:hAnsi="宋体" w:eastAsia="宋体" w:cs="宋体"/>
                <w:b/>
                <w:color w:val="auto"/>
                <w:szCs w:val="21"/>
                <w:highlight w:val="none"/>
              </w:rPr>
              <w:t>、其他规定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w:t>
            </w:r>
            <w:r>
              <w:rPr>
                <w:rFonts w:hint="eastAsia" w:ascii="宋体" w:hAnsi="宋体" w:cs="宋体"/>
                <w:color w:val="auto"/>
                <w:szCs w:val="21"/>
                <w:highlight w:val="none"/>
                <w:lang w:eastAsia="zh-CN"/>
              </w:rPr>
              <w:t>80</w:t>
            </w: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本项目招标代理费用由</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人支付，</w:t>
            </w:r>
            <w:r>
              <w:rPr>
                <w:rFonts w:hint="eastAsia" w:ascii="宋体" w:hAnsi="宋体" w:cs="宋体"/>
                <w:color w:val="auto"/>
                <w:szCs w:val="21"/>
                <w:highlight w:val="none"/>
                <w:lang w:eastAsia="zh-CN"/>
              </w:rPr>
              <w:t>成交</w:t>
            </w:r>
            <w:r>
              <w:rPr>
                <w:rFonts w:hint="eastAsia" w:ascii="宋体" w:hAnsi="宋体" w:eastAsia="宋体" w:cs="宋体"/>
                <w:color w:val="auto"/>
                <w:szCs w:val="21"/>
                <w:highlight w:val="none"/>
              </w:rPr>
              <w:t>人在中标通知书发出之前向招标代理机构一次性交纳招标代理服务费。招标代理服务费：</w:t>
            </w:r>
            <w:r>
              <w:rPr>
                <w:rFonts w:hint="eastAsia" w:ascii="宋体" w:hAnsi="宋体" w:cs="宋体"/>
                <w:color w:val="auto"/>
                <w:szCs w:val="21"/>
                <w:highlight w:val="none"/>
                <w:lang w:val="en-US" w:eastAsia="zh-CN"/>
              </w:rPr>
              <w:t>10000.00</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（2）招标代理服务费的币种：人民币。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第二章第41</w:t>
            </w:r>
            <w:r>
              <w:rPr>
                <w:rFonts w:hint="eastAsia" w:ascii="宋体" w:hAnsi="宋体" w:cs="宋体"/>
                <w:color w:val="auto"/>
                <w:szCs w:val="21"/>
                <w:highlight w:val="none"/>
                <w:lang w:val="en-US" w:eastAsia="zh-CN"/>
              </w:rPr>
              <w:t>.1</w:t>
            </w:r>
            <w:r>
              <w:rPr>
                <w:rFonts w:hint="eastAsia" w:ascii="宋体" w:hAnsi="宋体" w:eastAsia="宋体" w:cs="宋体"/>
                <w:color w:val="auto"/>
                <w:kern w:val="0"/>
                <w:szCs w:val="21"/>
                <w:highlight w:val="none"/>
                <w:lang w:val="zh-CN"/>
              </w:rPr>
              <w:t>款</w:t>
            </w:r>
          </w:p>
        </w:tc>
        <w:tc>
          <w:tcPr>
            <w:tcW w:w="1431" w:type="dxa"/>
            <w:tcBorders>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其他规定</w:t>
            </w:r>
          </w:p>
        </w:tc>
        <w:tc>
          <w:tcPr>
            <w:tcW w:w="850" w:type="dxa"/>
            <w:tcBorders>
              <w:lef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递交首次响应文件时应提交的资料</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参加磋商的供应商在提交</w:t>
            </w:r>
            <w:r>
              <w:rPr>
                <w:rFonts w:hint="eastAsia" w:ascii="宋体" w:hAnsi="宋体" w:cs="宋体"/>
                <w:color w:val="auto"/>
                <w:szCs w:val="21"/>
                <w:highlight w:val="none"/>
                <w:lang w:eastAsia="zh-CN"/>
              </w:rPr>
              <w:t>首次</w:t>
            </w:r>
            <w:r>
              <w:rPr>
                <w:rFonts w:hint="eastAsia" w:ascii="宋体" w:hAnsi="宋体" w:eastAsia="宋体" w:cs="宋体"/>
                <w:color w:val="auto"/>
                <w:szCs w:val="21"/>
                <w:highlight w:val="none"/>
                <w:lang w:eastAsia="zh-CN"/>
              </w:rPr>
              <w:t>响应文件时应同时提交以下资料（装袋单独提交）：</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）法定代表人身份证明或附法定代表人身份证明的法定代表人授权委托书原件；</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eastAsia="zh-CN"/>
              </w:rPr>
              <w:t>）投标代表身份证原件；</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eastAsia="zh-CN"/>
              </w:rPr>
              <w:t>）供应商</w:t>
            </w:r>
            <w:r>
              <w:rPr>
                <w:rFonts w:hint="eastAsia" w:ascii="宋体" w:hAnsi="宋体" w:eastAsia="宋体" w:cs="宋体"/>
                <w:b/>
                <w:bCs/>
                <w:color w:val="auto"/>
                <w:szCs w:val="21"/>
                <w:highlight w:val="none"/>
                <w:lang w:eastAsia="zh-CN"/>
              </w:rPr>
              <w:t>资格审查表（附表</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lang w:eastAsia="zh-CN"/>
              </w:rPr>
              <w:t>中及评</w:t>
            </w:r>
            <w:r>
              <w:rPr>
                <w:rFonts w:hint="eastAsia" w:ascii="宋体" w:hAnsi="宋体" w:cs="宋体"/>
                <w:color w:val="auto"/>
                <w:szCs w:val="21"/>
                <w:highlight w:val="none"/>
                <w:lang w:eastAsia="zh-CN"/>
              </w:rPr>
              <w:t>审</w:t>
            </w:r>
            <w:r>
              <w:rPr>
                <w:rFonts w:hint="eastAsia" w:ascii="宋体" w:hAnsi="宋体" w:eastAsia="宋体" w:cs="宋体"/>
                <w:color w:val="auto"/>
                <w:szCs w:val="21"/>
                <w:highlight w:val="none"/>
                <w:lang w:eastAsia="zh-CN"/>
              </w:rPr>
              <w:t>时可能用到的加分项目的证明材料原件（如有，详见</w:t>
            </w:r>
            <w:r>
              <w:rPr>
                <w:rFonts w:hint="eastAsia" w:ascii="宋体" w:hAnsi="宋体" w:cs="宋体"/>
                <w:color w:val="auto"/>
                <w:szCs w:val="21"/>
                <w:highlight w:val="none"/>
                <w:lang w:val="en-US" w:eastAsia="zh-CN"/>
              </w:rPr>
              <w:t>3.7</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eastAsia="zh-CN"/>
              </w:rPr>
              <w:t>评分细则</w:t>
            </w:r>
            <w:r>
              <w:rPr>
                <w:rFonts w:hint="eastAsia" w:ascii="宋体" w:hAnsi="宋体" w:eastAsia="宋体" w:cs="宋体"/>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9687" w:type="dxa"/>
            <w:gridSpan w:val="6"/>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三</w:t>
            </w:r>
            <w:r>
              <w:rPr>
                <w:rFonts w:hint="eastAsia" w:ascii="宋体" w:hAnsi="宋体" w:eastAsia="宋体" w:cs="宋体"/>
                <w:b/>
                <w:bCs/>
                <w:color w:val="auto"/>
                <w:szCs w:val="21"/>
                <w:highlight w:val="none"/>
              </w:rPr>
              <w:t xml:space="preserve">章  </w:t>
            </w:r>
            <w:r>
              <w:rPr>
                <w:rFonts w:hint="eastAsia" w:ascii="宋体" w:hAnsi="宋体" w:eastAsia="宋体" w:cs="宋体"/>
                <w:b/>
                <w:bCs/>
                <w:color w:val="auto"/>
                <w:szCs w:val="21"/>
                <w:highlight w:val="none"/>
                <w:lang w:eastAsia="zh-CN"/>
              </w:rPr>
              <w:t>资格审查</w:t>
            </w:r>
            <w:r>
              <w:rPr>
                <w:rFonts w:hint="eastAsia" w:ascii="宋体" w:hAnsi="宋体" w:eastAsia="宋体" w:cs="宋体"/>
                <w:b/>
                <w:color w:val="auto"/>
                <w:szCs w:val="21"/>
                <w:highlight w:val="none"/>
              </w:rPr>
              <w:t>（前附表）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811" w:type="dxa"/>
            <w:noWrap w:val="0"/>
            <w:vAlign w:val="center"/>
          </w:tcPr>
          <w:p>
            <w:pPr>
              <w:shd w:val="clear" w:color="auto" w:fill="auto"/>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第三章第</w:t>
            </w:r>
            <w:r>
              <w:rPr>
                <w:rFonts w:hint="eastAsia" w:ascii="宋体" w:hAnsi="宋体" w:cs="宋体"/>
                <w:color w:val="auto"/>
                <w:szCs w:val="21"/>
                <w:highlight w:val="none"/>
                <w:lang w:val="en-US" w:eastAsia="zh-CN"/>
              </w:rPr>
              <w:t>2.1款</w:t>
            </w:r>
          </w:p>
        </w:tc>
        <w:tc>
          <w:tcPr>
            <w:tcW w:w="1431" w:type="dxa"/>
            <w:tcBorders>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供应商资格审查</w:t>
            </w:r>
          </w:p>
        </w:tc>
        <w:tc>
          <w:tcPr>
            <w:tcW w:w="6445" w:type="dxa"/>
            <w:gridSpan w:val="4"/>
            <w:tcBorders>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color w:val="auto"/>
                <w:szCs w:val="21"/>
              </w:rPr>
              <w:t>项目开标结束后，采购人或者采购代理机构依法按照资格审查规定</w:t>
            </w:r>
            <w:r>
              <w:rPr>
                <w:rFonts w:hint="eastAsia" w:ascii="宋体" w:hAnsi="宋体"/>
                <w:color w:val="auto"/>
                <w:szCs w:val="21"/>
                <w:lang w:eastAsia="zh-CN"/>
              </w:rPr>
              <w:t>在开标室</w:t>
            </w:r>
            <w:r>
              <w:rPr>
                <w:rFonts w:hint="eastAsia" w:ascii="宋体" w:hAnsi="宋体"/>
                <w:color w:val="auto"/>
                <w:szCs w:val="21"/>
              </w:rPr>
              <w:t>组织资格审查；资格审查结束后，采购人及采购代理机构应将资格审查结果告知磋商小组。资格审查不合格投标人不得进入</w:t>
            </w:r>
            <w:r>
              <w:rPr>
                <w:rFonts w:hint="eastAsia" w:ascii="宋体" w:hAnsi="宋体" w:eastAsia="宋体" w:cs="宋体"/>
                <w:color w:val="auto"/>
                <w:sz w:val="21"/>
                <w:szCs w:val="21"/>
                <w:highlight w:val="none"/>
                <w:lang w:eastAsia="zh-CN"/>
              </w:rPr>
              <w:t>磋商</w:t>
            </w:r>
            <w:r>
              <w:rPr>
                <w:rFonts w:hint="eastAsia" w:ascii="宋体" w:hAnsi="宋体"/>
                <w:color w:val="auto"/>
                <w:szCs w:val="21"/>
              </w:rPr>
              <w:t>；资格审查合格投标人少于3家的，不得</w:t>
            </w:r>
            <w:r>
              <w:rPr>
                <w:rFonts w:hint="eastAsia" w:ascii="宋体" w:hAnsi="宋体" w:eastAsia="宋体" w:cs="宋体"/>
                <w:color w:val="auto"/>
                <w:sz w:val="21"/>
                <w:szCs w:val="21"/>
                <w:highlight w:val="none"/>
                <w:lang w:eastAsia="zh-CN"/>
              </w:rPr>
              <w:t>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16" w:hRule="atLeast"/>
          <w:jc w:val="center"/>
        </w:trPr>
        <w:tc>
          <w:tcPr>
            <w:tcW w:w="1811" w:type="dxa"/>
            <w:noWrap w:val="0"/>
            <w:vAlign w:val="center"/>
          </w:tcPr>
          <w:p>
            <w:pPr>
              <w:shd w:val="clear" w:color="auto" w:fill="auto"/>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第三章第</w:t>
            </w:r>
            <w:r>
              <w:rPr>
                <w:rFonts w:hint="eastAsia" w:ascii="宋体" w:hAnsi="宋体" w:cs="宋体"/>
                <w:color w:val="auto"/>
                <w:szCs w:val="21"/>
                <w:highlight w:val="none"/>
                <w:lang w:val="en-US" w:eastAsia="zh-CN"/>
              </w:rPr>
              <w:t>2.4款</w:t>
            </w:r>
          </w:p>
        </w:tc>
        <w:tc>
          <w:tcPr>
            <w:tcW w:w="1431" w:type="dxa"/>
            <w:tcBorders>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信用记录</w:t>
            </w:r>
          </w:p>
        </w:tc>
        <w:tc>
          <w:tcPr>
            <w:tcW w:w="6445" w:type="dxa"/>
            <w:gridSpan w:val="4"/>
            <w:tcBorders>
              <w:lef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ind w:firstLine="210" w:firstLineChars="1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资格审查时，采购人、采购代理机构将对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信用记录进行甄别。</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（1）信用信息查询的查询渠道：信用中国网（www.creditchina.gov.cn）、中国政府采购网（www.ccgp.gov.cn）；</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（2）不良信用记录是指：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在“信用中国”网站被列入失信被执行人和重大税收违法案件当事人名单，或在“中国政府采购网”网站被列入政府采购严重违法失信行为记录名单。</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有上述不良信用记录的，其</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无效，其中，列入政府采购严重违法失信行为记录名单的，按处罚结果执行。</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（3）联合体形式</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的，联合体成员存在不良信用记录的，视同联合体存在不良信用记录。</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rPr>
              <w:t>（4）信用信息查询记录和证据留存具体方式：采购人、采购代理机构经办人将查询网页截图、打印、签字，作为查询记录和证据，与其他采购文件一并保存。</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不良信用记录以采购人、采购代理机构查询结果为准。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9687" w:type="dxa"/>
            <w:gridSpan w:val="6"/>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四</w:t>
            </w:r>
            <w:r>
              <w:rPr>
                <w:rFonts w:hint="eastAsia" w:ascii="宋体" w:hAnsi="宋体" w:eastAsia="宋体" w:cs="宋体"/>
                <w:b/>
                <w:bCs/>
                <w:color w:val="auto"/>
                <w:szCs w:val="21"/>
                <w:highlight w:val="none"/>
              </w:rPr>
              <w:t>章  评审方法及标准</w:t>
            </w:r>
            <w:r>
              <w:rPr>
                <w:rFonts w:hint="eastAsia" w:ascii="宋体" w:hAnsi="宋体" w:eastAsia="宋体" w:cs="宋体"/>
                <w:b/>
                <w:color w:val="auto"/>
                <w:szCs w:val="21"/>
                <w:highlight w:val="none"/>
              </w:rPr>
              <w:t>（前附表）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eastAsia="zh-CN"/>
              </w:rPr>
              <w:t>四</w:t>
            </w:r>
            <w:r>
              <w:rPr>
                <w:rFonts w:hint="eastAsia" w:ascii="宋体" w:hAnsi="宋体" w:eastAsia="宋体" w:cs="宋体"/>
                <w:color w:val="auto"/>
                <w:szCs w:val="21"/>
                <w:highlight w:val="none"/>
              </w:rPr>
              <w:t>章第2.2</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评审因素和标准</w:t>
            </w:r>
          </w:p>
        </w:tc>
        <w:tc>
          <w:tcPr>
            <w:tcW w:w="5595" w:type="dxa"/>
            <w:gridSpan w:val="3"/>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详见“</w:t>
            </w:r>
            <w:r>
              <w:rPr>
                <w:rFonts w:hint="eastAsia" w:ascii="宋体" w:hAnsi="宋体" w:eastAsia="宋体" w:cs="宋体"/>
                <w:color w:val="auto"/>
                <w:szCs w:val="21"/>
                <w:highlight w:val="none"/>
              </w:rPr>
              <w:t>第三章 评审办法及标准</w:t>
            </w:r>
            <w:r>
              <w:rPr>
                <w:rFonts w:hint="eastAsia" w:ascii="宋体" w:hAnsi="宋体" w:eastAsia="宋体" w:cs="宋体"/>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811" w:type="dxa"/>
            <w:vMerge w:val="restart"/>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eastAsia="zh-CN"/>
              </w:rPr>
              <w:t>四</w:t>
            </w:r>
            <w:r>
              <w:rPr>
                <w:rFonts w:hint="eastAsia" w:ascii="宋体" w:hAnsi="宋体" w:eastAsia="宋体" w:cs="宋体"/>
                <w:color w:val="auto"/>
                <w:szCs w:val="21"/>
                <w:highlight w:val="none"/>
              </w:rPr>
              <w:t>章第2.3</w:t>
            </w:r>
            <w:r>
              <w:rPr>
                <w:rFonts w:hint="eastAsia" w:ascii="宋体" w:hAnsi="宋体" w:eastAsia="宋体" w:cs="宋体"/>
                <w:color w:val="auto"/>
                <w:kern w:val="0"/>
                <w:szCs w:val="21"/>
                <w:highlight w:val="none"/>
                <w:lang w:val="zh-CN"/>
              </w:rPr>
              <w:t>款</w:t>
            </w:r>
          </w:p>
        </w:tc>
        <w:tc>
          <w:tcPr>
            <w:tcW w:w="2281" w:type="dxa"/>
            <w:gridSpan w:val="2"/>
            <w:vMerge w:val="restart"/>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权值</w:t>
            </w:r>
          </w:p>
        </w:tc>
        <w:tc>
          <w:tcPr>
            <w:tcW w:w="1977"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序号</w:t>
            </w:r>
          </w:p>
        </w:tc>
        <w:tc>
          <w:tcPr>
            <w:tcW w:w="1738"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权值的取值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811" w:type="dxa"/>
            <w:vMerge w:val="continue"/>
            <w:noWrap w:val="0"/>
            <w:vAlign w:val="center"/>
          </w:tcPr>
          <w:p>
            <w:pPr>
              <w:shd w:val="clear" w:color="auto" w:fill="auto"/>
              <w:adjustRightInd w:val="0"/>
              <w:snapToGrid w:val="0"/>
              <w:spacing w:line="240" w:lineRule="auto"/>
              <w:jc w:val="both"/>
              <w:rPr>
                <w:color w:val="auto"/>
                <w:highlight w:val="none"/>
              </w:rPr>
            </w:pPr>
          </w:p>
        </w:tc>
        <w:tc>
          <w:tcPr>
            <w:tcW w:w="2281" w:type="dxa"/>
            <w:gridSpan w:val="2"/>
            <w:vMerge w:val="continue"/>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both"/>
              <w:textAlignment w:val="auto"/>
              <w:rPr>
                <w:color w:val="auto"/>
                <w:highlight w:val="none"/>
              </w:rPr>
            </w:pPr>
          </w:p>
        </w:tc>
        <w:tc>
          <w:tcPr>
            <w:tcW w:w="1977"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1</w:t>
            </w:r>
          </w:p>
        </w:tc>
        <w:tc>
          <w:tcPr>
            <w:tcW w:w="1738"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lang w:eastAsia="zh-CN"/>
              </w:rPr>
              <w:t>报价</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default" w:eastAsia="宋体"/>
                <w:color w:val="auto"/>
                <w:highlight w:val="none"/>
                <w:lang w:val="en-US" w:eastAsia="zh-CN"/>
              </w:rPr>
            </w:pPr>
            <w:r>
              <w:rPr>
                <w:rFonts w:hint="eastAsia"/>
                <w:color w:val="auto"/>
                <w:highlight w:val="none"/>
                <w:lang w:val="en-US" w:eastAsia="zh-CN"/>
              </w:rPr>
              <w:t>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811" w:type="dxa"/>
            <w:vMerge w:val="continue"/>
            <w:noWrap w:val="0"/>
            <w:vAlign w:val="center"/>
          </w:tcPr>
          <w:p>
            <w:pPr>
              <w:shd w:val="clear" w:color="auto" w:fill="auto"/>
              <w:adjustRightInd w:val="0"/>
              <w:snapToGrid w:val="0"/>
              <w:spacing w:line="240" w:lineRule="auto"/>
              <w:jc w:val="both"/>
              <w:rPr>
                <w:color w:val="auto"/>
                <w:highlight w:val="none"/>
              </w:rPr>
            </w:pPr>
          </w:p>
        </w:tc>
        <w:tc>
          <w:tcPr>
            <w:tcW w:w="2281" w:type="dxa"/>
            <w:gridSpan w:val="2"/>
            <w:vMerge w:val="continue"/>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both"/>
              <w:textAlignment w:val="auto"/>
              <w:rPr>
                <w:color w:val="auto"/>
                <w:highlight w:val="none"/>
              </w:rPr>
            </w:pPr>
          </w:p>
        </w:tc>
        <w:tc>
          <w:tcPr>
            <w:tcW w:w="1977"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2</w:t>
            </w:r>
          </w:p>
        </w:tc>
        <w:tc>
          <w:tcPr>
            <w:tcW w:w="1738"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技术部分</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default" w:eastAsia="宋体"/>
                <w:color w:val="auto"/>
                <w:highlight w:val="none"/>
                <w:lang w:val="en-US" w:eastAsia="zh-CN"/>
              </w:rPr>
            </w:pPr>
            <w:r>
              <w:rPr>
                <w:rFonts w:hint="eastAsia"/>
                <w:color w:val="auto"/>
                <w:highlight w:val="none"/>
                <w:lang w:val="en-US" w:eastAsia="zh-CN"/>
              </w:rPr>
              <w:t>0.46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811" w:type="dxa"/>
            <w:vMerge w:val="continue"/>
            <w:noWrap w:val="0"/>
            <w:vAlign w:val="center"/>
          </w:tcPr>
          <w:p>
            <w:pPr>
              <w:shd w:val="clear" w:color="auto" w:fill="auto"/>
              <w:adjustRightInd w:val="0"/>
              <w:snapToGrid w:val="0"/>
              <w:spacing w:line="240" w:lineRule="auto"/>
              <w:jc w:val="both"/>
              <w:rPr>
                <w:color w:val="auto"/>
                <w:highlight w:val="none"/>
              </w:rPr>
            </w:pPr>
          </w:p>
        </w:tc>
        <w:tc>
          <w:tcPr>
            <w:tcW w:w="2281" w:type="dxa"/>
            <w:gridSpan w:val="2"/>
            <w:vMerge w:val="continue"/>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both"/>
              <w:textAlignment w:val="auto"/>
              <w:rPr>
                <w:color w:val="auto"/>
                <w:highlight w:val="none"/>
              </w:rPr>
            </w:pPr>
          </w:p>
        </w:tc>
        <w:tc>
          <w:tcPr>
            <w:tcW w:w="1977"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3</w:t>
            </w:r>
          </w:p>
        </w:tc>
        <w:tc>
          <w:tcPr>
            <w:tcW w:w="1738"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Cs w:val="21"/>
                <w:highlight w:val="none"/>
                <w:lang w:eastAsia="zh-CN"/>
              </w:rPr>
              <w:t>商务部分</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default" w:eastAsia="宋体"/>
                <w:color w:val="auto"/>
                <w:highlight w:val="none"/>
                <w:lang w:val="en-US" w:eastAsia="zh-CN"/>
              </w:rPr>
            </w:pPr>
            <w:r>
              <w:rPr>
                <w:rFonts w:hint="eastAsia"/>
                <w:color w:val="auto"/>
                <w:highlight w:val="none"/>
                <w:lang w:val="en-US" w:eastAsia="zh-CN"/>
              </w:rPr>
              <w:t>0.14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1811" w:type="dxa"/>
            <w:vMerge w:val="continue"/>
            <w:noWrap w:val="0"/>
            <w:vAlign w:val="center"/>
          </w:tcPr>
          <w:p>
            <w:pPr>
              <w:shd w:val="clear" w:color="auto" w:fill="auto"/>
              <w:adjustRightInd w:val="0"/>
              <w:snapToGrid w:val="0"/>
              <w:spacing w:line="240" w:lineRule="auto"/>
              <w:jc w:val="both"/>
              <w:rPr>
                <w:color w:val="auto"/>
                <w:highlight w:val="none"/>
              </w:rPr>
            </w:pPr>
          </w:p>
        </w:tc>
        <w:tc>
          <w:tcPr>
            <w:tcW w:w="2281" w:type="dxa"/>
            <w:gridSpan w:val="2"/>
            <w:vMerge w:val="continue"/>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both"/>
              <w:textAlignment w:val="auto"/>
              <w:rPr>
                <w:color w:val="auto"/>
                <w:highlight w:val="none"/>
              </w:rPr>
            </w:pPr>
          </w:p>
        </w:tc>
        <w:tc>
          <w:tcPr>
            <w:tcW w:w="3715" w:type="dxa"/>
            <w:gridSpan w:val="2"/>
            <w:noWrap w:val="0"/>
            <w:vAlign w:val="top"/>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color w:val="auto"/>
                <w:highlight w:val="none"/>
              </w:rPr>
            </w:pPr>
            <w:r>
              <w:rPr>
                <w:rFonts w:hint="eastAsia" w:ascii="宋体" w:hAnsi="宋体" w:eastAsia="宋体" w:cs="宋体"/>
                <w:color w:val="auto"/>
                <w:kern w:val="0"/>
                <w:szCs w:val="21"/>
                <w:highlight w:val="none"/>
              </w:rPr>
              <w:t>∑(1+2+3)=1</w:t>
            </w:r>
          </w:p>
        </w:tc>
        <w:tc>
          <w:tcPr>
            <w:tcW w:w="1880" w:type="dxa"/>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eastAsia="宋体"/>
                <w:color w:val="auto"/>
                <w:highlight w:val="none"/>
                <w:lang w:val="en-US" w:eastAsia="zh-CN"/>
              </w:rPr>
            </w:pPr>
            <w:r>
              <w:rPr>
                <w:rFonts w:hint="eastAsia"/>
                <w:color w:val="auto"/>
                <w:highlight w:val="none"/>
                <w:lang w:val="en-US" w:eastAsia="zh-CN"/>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eastAsia="zh-CN"/>
              </w:rPr>
              <w:t>四</w:t>
            </w:r>
            <w:r>
              <w:rPr>
                <w:rFonts w:hint="eastAsia" w:ascii="宋体" w:hAnsi="宋体" w:eastAsia="宋体" w:cs="宋体"/>
                <w:color w:val="auto"/>
                <w:szCs w:val="21"/>
                <w:highlight w:val="none"/>
              </w:rPr>
              <w:t>章第4.2</w:t>
            </w:r>
            <w:r>
              <w:rPr>
                <w:rFonts w:hint="eastAsia" w:ascii="宋体" w:hAnsi="宋体" w:eastAsia="宋体" w:cs="宋体"/>
                <w:color w:val="auto"/>
                <w:kern w:val="0"/>
                <w:szCs w:val="21"/>
                <w:highlight w:val="none"/>
                <w:lang w:val="zh-CN"/>
              </w:rPr>
              <w:t>款</w:t>
            </w:r>
          </w:p>
        </w:tc>
        <w:tc>
          <w:tcPr>
            <w:tcW w:w="2281" w:type="dxa"/>
            <w:gridSpan w:val="2"/>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推荐的成交候选人数量</w:t>
            </w:r>
          </w:p>
        </w:tc>
        <w:tc>
          <w:tcPr>
            <w:tcW w:w="5595" w:type="dxa"/>
            <w:gridSpan w:val="3"/>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3家</w:t>
            </w:r>
            <w:r>
              <w:rPr>
                <w:rFonts w:hint="eastAsia" w:ascii="宋体" w:hAnsi="宋体" w:cs="宋体"/>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9687" w:type="dxa"/>
            <w:gridSpan w:val="6"/>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五</w:t>
            </w:r>
            <w:r>
              <w:rPr>
                <w:rFonts w:hint="eastAsia" w:ascii="宋体" w:hAnsi="宋体" w:eastAsia="宋体" w:cs="宋体"/>
                <w:b/>
                <w:bCs/>
                <w:color w:val="auto"/>
                <w:szCs w:val="21"/>
                <w:highlight w:val="none"/>
              </w:rPr>
              <w:t xml:space="preserve">章  </w:t>
            </w:r>
            <w:r>
              <w:rPr>
                <w:rFonts w:hint="eastAsia" w:ascii="宋体" w:hAnsi="宋体" w:eastAsia="宋体" w:cs="宋体"/>
                <w:b/>
                <w:bCs/>
                <w:color w:val="auto"/>
                <w:szCs w:val="21"/>
                <w:highlight w:val="none"/>
                <w:lang w:eastAsia="zh-CN"/>
              </w:rPr>
              <w:t>政府采购合同</w:t>
            </w:r>
            <w:r>
              <w:rPr>
                <w:rFonts w:hint="eastAsia" w:ascii="宋体" w:hAnsi="宋体" w:eastAsia="宋体" w:cs="宋体"/>
                <w:b/>
                <w:color w:val="auto"/>
                <w:szCs w:val="21"/>
                <w:highlight w:val="none"/>
              </w:rPr>
              <w:t>（前附表）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9" w:hRule="atLeast"/>
          <w:jc w:val="center"/>
        </w:trPr>
        <w:tc>
          <w:tcPr>
            <w:tcW w:w="9687" w:type="dxa"/>
            <w:gridSpan w:val="6"/>
            <w:noWrap w:val="0"/>
            <w:vAlign w:val="center"/>
          </w:tcPr>
          <w:p>
            <w:pPr>
              <w:keepNext w:val="0"/>
              <w:keepLines w:val="0"/>
              <w:pageBreakBefore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宋体"/>
                <w:color w:val="auto"/>
                <w:szCs w:val="21"/>
                <w:highlight w:val="none"/>
                <w:u w:val="single"/>
                <w:lang w:eastAsia="zh-CN"/>
              </w:rPr>
            </w:pPr>
            <w:r>
              <w:rPr>
                <w:rFonts w:hint="eastAsia" w:ascii="宋体" w:hAnsi="宋体" w:cs="宋体"/>
                <w:b/>
                <w:bCs/>
                <w:color w:val="auto"/>
                <w:szCs w:val="21"/>
                <w:highlight w:val="none"/>
                <w:u w:val="none"/>
                <w:lang w:eastAsia="zh-CN"/>
              </w:rPr>
              <w:t>第二节</w:t>
            </w:r>
            <w:r>
              <w:rPr>
                <w:rFonts w:hint="eastAsia" w:ascii="宋体" w:hAnsi="宋体" w:cs="宋体"/>
                <w:b/>
                <w:bCs/>
                <w:color w:val="auto"/>
                <w:szCs w:val="21"/>
                <w:highlight w:val="none"/>
                <w:u w:val="none"/>
                <w:lang w:val="en-US" w:eastAsia="zh-CN"/>
              </w:rPr>
              <w:t xml:space="preserve"> </w:t>
            </w:r>
            <w:r>
              <w:rPr>
                <w:rFonts w:hint="eastAsia" w:ascii="宋体" w:hAnsi="宋体" w:cs="宋体"/>
                <w:b/>
                <w:bCs/>
                <w:color w:val="auto"/>
                <w:szCs w:val="21"/>
                <w:highlight w:val="none"/>
                <w:u w:val="none"/>
                <w:lang w:eastAsia="zh-CN"/>
              </w:rPr>
              <w:t>合同条款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 xml:space="preserve">甲方名称、地址 </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ascii="宋体" w:hAnsi="宋体" w:eastAsia="宋体"/>
                <w:color w:val="auto"/>
                <w:szCs w:val="21"/>
                <w:highlight w:val="none"/>
              </w:rPr>
            </w:pPr>
            <w:r>
              <w:rPr>
                <w:rFonts w:hint="eastAsia" w:ascii="宋体" w:hAnsi="宋体" w:eastAsia="宋体"/>
                <w:color w:val="auto"/>
                <w:szCs w:val="21"/>
                <w:highlight w:val="none"/>
              </w:rPr>
              <w:t>名 称：</w:t>
            </w:r>
            <w:r>
              <w:rPr>
                <w:rFonts w:hint="eastAsia" w:asciiTheme="majorEastAsia" w:hAnsiTheme="majorEastAsia" w:eastAsiaTheme="majorEastAsia" w:cstheme="majorEastAsia"/>
                <w:color w:val="auto"/>
                <w:lang w:val="en-US" w:eastAsia="zh-CN"/>
              </w:rPr>
              <w:t>茶陵县秩堂镇马吉村村民委员会</w:t>
            </w:r>
            <w:r>
              <w:rPr>
                <w:rFonts w:hint="eastAsia" w:ascii="宋体" w:hAnsi="宋体" w:eastAsia="宋体"/>
                <w:color w:val="auto"/>
                <w:szCs w:val="21"/>
                <w:highlight w:val="none"/>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olor w:val="auto"/>
                <w:szCs w:val="21"/>
                <w:highlight w:val="none"/>
              </w:rPr>
              <w:t>地 址：</w:t>
            </w:r>
            <w:r>
              <w:rPr>
                <w:rFonts w:hint="eastAsia" w:asciiTheme="majorEastAsia" w:hAnsiTheme="majorEastAsia" w:eastAsiaTheme="majorEastAsia" w:cstheme="majorEastAsia"/>
                <w:color w:val="auto"/>
                <w:lang w:val="en-US" w:eastAsia="zh-CN"/>
              </w:rPr>
              <w:t>茶陵县秩堂镇马吉村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项目现场</w:t>
            </w:r>
          </w:p>
        </w:tc>
        <w:tc>
          <w:tcPr>
            <w:tcW w:w="5595" w:type="dxa"/>
            <w:gridSpan w:val="3"/>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Autospacing="0" w:after="0" w:afterAutospacing="0" w:line="400" w:lineRule="exact"/>
              <w:ind w:right="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heme="majorEastAsia" w:hAnsiTheme="majorEastAsia" w:eastAsiaTheme="majorEastAsia" w:cstheme="majorEastAsia"/>
                <w:color w:val="auto"/>
                <w:lang w:val="en-US" w:eastAsia="zh-CN"/>
              </w:rPr>
              <w:t>茶陵县秩堂镇马吉村</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履行合同的时间、地点及方式</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lang w:eastAsia="zh-CN"/>
              </w:rPr>
              <w:t>工期</w:t>
            </w:r>
            <w:r>
              <w:rPr>
                <w:rFonts w:hint="eastAsia" w:ascii="宋体" w:hAnsi="宋体"/>
                <w:color w:val="auto"/>
                <w:szCs w:val="21"/>
                <w:highlight w:val="none"/>
              </w:rPr>
              <w:t>：</w:t>
            </w:r>
            <w:r>
              <w:rPr>
                <w:rFonts w:hint="eastAsia" w:ascii="宋体" w:hAnsi="宋体" w:cs="宋体"/>
                <w:color w:val="auto"/>
                <w:sz w:val="21"/>
                <w:szCs w:val="21"/>
                <w:highlight w:val="none"/>
                <w:u w:val="single"/>
                <w:lang w:val="en-US" w:eastAsia="zh-CN"/>
              </w:rPr>
              <w:t>3个月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Autospacing="0" w:after="0" w:afterAutospacing="0" w:line="400" w:lineRule="exact"/>
              <w:ind w:right="0"/>
              <w:jc w:val="left"/>
              <w:textAlignment w:val="auto"/>
              <w:rPr>
                <w:rFonts w:ascii="宋体" w:hAnsi="宋体"/>
                <w:color w:val="auto"/>
                <w:szCs w:val="21"/>
                <w:highlight w:val="none"/>
              </w:rPr>
            </w:pPr>
            <w:r>
              <w:rPr>
                <w:rFonts w:hint="eastAsia" w:ascii="宋体" w:hAnsi="宋体"/>
                <w:color w:val="auto"/>
                <w:szCs w:val="21"/>
                <w:highlight w:val="none"/>
              </w:rPr>
              <w:t>地点：</w:t>
            </w:r>
            <w:r>
              <w:rPr>
                <w:rFonts w:hint="eastAsia" w:asciiTheme="majorEastAsia" w:hAnsiTheme="majorEastAsia" w:eastAsiaTheme="majorEastAsia" w:cstheme="majorEastAsia"/>
                <w:color w:val="auto"/>
                <w:lang w:val="en-US" w:eastAsia="zh-CN"/>
              </w:rPr>
              <w:t>茶陵县秩堂镇马吉村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spacing w:beforeAutospacing="0" w:after="0" w:afterAutospacing="0" w:line="400" w:lineRule="exact"/>
              <w:ind w:right="0"/>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方式：</w:t>
            </w:r>
            <w:r>
              <w:rPr>
                <w:rFonts w:hint="eastAsia" w:ascii="宋体" w:hAnsi="宋体" w:eastAsia="宋体" w:cs="宋体"/>
                <w:color w:val="auto"/>
                <w:sz w:val="21"/>
                <w:szCs w:val="21"/>
                <w:highlight w:val="none"/>
              </w:rPr>
              <w:t>本工程采取包工、包料、包工期、包质量、包验收合格、包现场安全文明施工、包安全并从开工到竣工验收交付、工程保修等全过程的总承包方式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质量保证</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highlight w:val="none"/>
                <w:lang w:eastAsia="zh-CN"/>
              </w:rPr>
              <w:t>按国家现行</w:t>
            </w:r>
            <w:r>
              <w:rPr>
                <w:rFonts w:hint="eastAsia" w:ascii="宋体" w:hAnsi="宋体" w:eastAsia="宋体" w:cs="宋体"/>
                <w:color w:val="auto"/>
                <w:highlight w:val="none"/>
              </w:rPr>
              <w:t>有关规定保修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合同价款支付方式</w:t>
            </w:r>
            <w:r>
              <w:rPr>
                <w:rFonts w:hint="eastAsia" w:ascii="宋体" w:hAnsi="宋体"/>
                <w:bCs/>
                <w:color w:val="auto"/>
                <w:szCs w:val="21"/>
                <w:highlight w:val="none"/>
              </w:rPr>
              <w:t>和条件</w:t>
            </w:r>
          </w:p>
        </w:tc>
        <w:tc>
          <w:tcPr>
            <w:tcW w:w="5595"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auto"/>
                <w:kern w:val="2"/>
                <w:sz w:val="21"/>
                <w:szCs w:val="21"/>
                <w:highlight w:val="none"/>
                <w:lang w:val="en-US" w:eastAsia="zh-CN" w:bidi="ar-SA"/>
              </w:rPr>
            </w:pPr>
            <w:r>
              <w:rPr>
                <w:rFonts w:ascii="宋体" w:hAnsi="宋体" w:eastAsia="宋体"/>
                <w:b/>
                <w:bCs/>
                <w:color w:val="auto"/>
                <w:sz w:val="21"/>
              </w:rPr>
              <w:t>本项目</w:t>
            </w:r>
            <w:r>
              <w:rPr>
                <w:rFonts w:hint="eastAsia" w:ascii="宋体" w:hAnsi="宋体"/>
                <w:b/>
                <w:bCs/>
                <w:color w:val="auto"/>
                <w:sz w:val="21"/>
                <w:lang w:val="en-US" w:eastAsia="zh-CN"/>
              </w:rPr>
              <w:t>货到经</w:t>
            </w:r>
            <w:r>
              <w:rPr>
                <w:rFonts w:hint="eastAsia" w:ascii="宋体" w:hAnsi="宋体" w:eastAsia="宋体"/>
                <w:b/>
                <w:bCs/>
                <w:color w:val="auto"/>
                <w:sz w:val="21"/>
                <w:lang w:eastAsia="zh-CN"/>
              </w:rPr>
              <w:t>验收</w:t>
            </w:r>
            <w:r>
              <w:rPr>
                <w:rFonts w:hint="eastAsia" w:ascii="宋体" w:hAnsi="宋体"/>
                <w:b/>
                <w:bCs/>
                <w:color w:val="auto"/>
                <w:sz w:val="21"/>
                <w:lang w:val="en-US" w:eastAsia="zh-CN"/>
              </w:rPr>
              <w:t>合格</w:t>
            </w:r>
            <w:r>
              <w:rPr>
                <w:rFonts w:hint="eastAsia" w:ascii="宋体" w:hAnsi="宋体" w:eastAsia="宋体"/>
                <w:b/>
                <w:bCs/>
                <w:color w:val="auto"/>
                <w:sz w:val="21"/>
                <w:lang w:eastAsia="zh-CN"/>
              </w:rPr>
              <w:t>后支付</w:t>
            </w:r>
            <w:r>
              <w:rPr>
                <w:rFonts w:hint="eastAsia" w:ascii="宋体" w:hAnsi="宋体"/>
                <w:b/>
                <w:bCs/>
                <w:color w:val="auto"/>
                <w:sz w:val="21"/>
                <w:lang w:val="en-US" w:eastAsia="zh-CN"/>
              </w:rPr>
              <w:t>总成交金额的30</w:t>
            </w:r>
            <w:r>
              <w:rPr>
                <w:rFonts w:hint="eastAsia" w:ascii="宋体" w:hAnsi="宋体" w:eastAsia="宋体"/>
                <w:b/>
                <w:bCs/>
                <w:color w:val="auto"/>
                <w:sz w:val="21"/>
                <w:lang w:val="en-US" w:eastAsia="zh-CN"/>
              </w:rPr>
              <w:t>%，</w:t>
            </w:r>
            <w:r>
              <w:rPr>
                <w:rFonts w:hint="eastAsia" w:ascii="宋体" w:hAnsi="宋体"/>
                <w:b/>
                <w:bCs/>
                <w:color w:val="auto"/>
                <w:sz w:val="21"/>
                <w:lang w:val="en-US" w:eastAsia="zh-CN"/>
              </w:rPr>
              <w:t>安装调试完毕经验收合格后支付总成交金额的95%，</w:t>
            </w:r>
            <w:r>
              <w:rPr>
                <w:rFonts w:hint="eastAsia" w:ascii="宋体" w:hAnsi="宋体" w:eastAsia="宋体"/>
                <w:b/>
                <w:bCs/>
                <w:color w:val="auto"/>
                <w:sz w:val="21"/>
                <w:lang w:val="en-US" w:eastAsia="zh-CN"/>
              </w:rPr>
              <w:t>剩余5%作为质量保证金。如无质量问题，</w:t>
            </w:r>
            <w:r>
              <w:rPr>
                <w:rFonts w:hint="eastAsia" w:ascii="宋体" w:hAnsi="宋体"/>
                <w:b/>
                <w:bCs/>
                <w:color w:val="auto"/>
                <w:sz w:val="21"/>
                <w:lang w:val="en-US" w:eastAsia="zh-CN"/>
              </w:rPr>
              <w:t>质保期满后，</w:t>
            </w:r>
            <w:r>
              <w:rPr>
                <w:rFonts w:hint="eastAsia" w:ascii="宋体" w:hAnsi="宋体" w:eastAsia="宋体"/>
                <w:b/>
                <w:bCs/>
                <w:color w:val="auto"/>
                <w:sz w:val="21"/>
                <w:lang w:val="en-US" w:eastAsia="zh-CN"/>
              </w:rPr>
              <w:t>质量保证金一次性</w:t>
            </w:r>
            <w:r>
              <w:rPr>
                <w:rFonts w:hint="eastAsia" w:ascii="宋体" w:hAnsi="宋体"/>
                <w:b/>
                <w:bCs/>
                <w:color w:val="auto"/>
                <w:sz w:val="21"/>
                <w:lang w:val="en-US" w:eastAsia="zh-CN"/>
              </w:rPr>
              <w:t>无息</w:t>
            </w:r>
            <w:r>
              <w:rPr>
                <w:rFonts w:hint="eastAsia" w:ascii="宋体" w:hAnsi="宋体" w:eastAsia="宋体"/>
                <w:b/>
                <w:bCs/>
                <w:color w:val="auto"/>
                <w:sz w:val="21"/>
                <w:lang w:val="en-US" w:eastAsia="zh-CN"/>
              </w:rPr>
              <w:t>支付。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乙方提供的其他服务</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详见第</w:t>
            </w:r>
            <w:r>
              <w:rPr>
                <w:rFonts w:hint="eastAsia" w:ascii="宋体" w:hAnsi="宋体" w:cs="宋体"/>
                <w:color w:val="auto"/>
                <w:szCs w:val="21"/>
                <w:highlight w:val="none"/>
                <w:lang w:eastAsia="zh-CN"/>
              </w:rPr>
              <w:t>六</w:t>
            </w:r>
            <w:r>
              <w:rPr>
                <w:rFonts w:hint="eastAsia" w:ascii="宋体" w:hAnsi="宋体" w:cs="宋体"/>
                <w:color w:val="auto"/>
                <w:szCs w:val="21"/>
                <w:highlight w:val="none"/>
              </w:rPr>
              <w:t>章 采购需求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解决争议的方式</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szCs w:val="21"/>
                <w:highlight w:val="none"/>
              </w:rPr>
              <w:t>诉讼</w:t>
            </w:r>
            <w:r>
              <w:rPr>
                <w:rFonts w:hint="eastAsia" w:ascii="宋体" w:hAnsi="宋体" w:cs="宋体"/>
                <w:color w:val="auto"/>
                <w:szCs w:val="21"/>
                <w:highlight w:val="none"/>
              </w:rPr>
              <w:t>（采购人所在地人民法院）</w:t>
            </w:r>
          </w:p>
          <w:p>
            <w:pPr>
              <w:keepNext w:val="0"/>
              <w:keepLines w:val="0"/>
              <w:pageBreakBefore w:val="0"/>
              <w:widowControl w:val="0"/>
              <w:shd w:val="clear" w:color="auto" w:fill="auto"/>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 xml:space="preserve">□ 仲裁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0" w:hRule="atLeast"/>
          <w:jc w:val="center"/>
        </w:trPr>
        <w:tc>
          <w:tcPr>
            <w:tcW w:w="1811" w:type="dxa"/>
            <w:noWrap w:val="0"/>
            <w:vAlign w:val="center"/>
          </w:tcPr>
          <w:p>
            <w:pPr>
              <w:shd w:val="clear" w:color="auto" w:fill="auto"/>
              <w:adjustRightInd w:val="0"/>
              <w:snapToGrid w:val="0"/>
              <w:jc w:val="center"/>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第五章第二节</w:t>
            </w:r>
          </w:p>
        </w:tc>
        <w:tc>
          <w:tcPr>
            <w:tcW w:w="2281" w:type="dxa"/>
            <w:gridSpan w:val="2"/>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bCs/>
                <w:color w:val="auto"/>
                <w:szCs w:val="21"/>
                <w:highlight w:val="none"/>
              </w:rPr>
              <w:t>合同未尽事项</w:t>
            </w:r>
          </w:p>
        </w:tc>
        <w:tc>
          <w:tcPr>
            <w:tcW w:w="5595" w:type="dxa"/>
            <w:gridSpan w:val="3"/>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6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双方协商解决</w:t>
            </w:r>
          </w:p>
        </w:tc>
      </w:tr>
    </w:tbl>
    <w:p>
      <w:pPr>
        <w:pStyle w:val="39"/>
        <w:rPr>
          <w:rFonts w:hint="eastAsia"/>
          <w:color w:val="auto"/>
        </w:rPr>
      </w:pPr>
    </w:p>
    <w:p>
      <w:pPr>
        <w:pStyle w:val="39"/>
        <w:rPr>
          <w:rFonts w:hint="eastAsia"/>
          <w:color w:val="auto"/>
        </w:rPr>
      </w:pPr>
    </w:p>
    <w:p>
      <w:pPr>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rPr>
        <w:t>附件1</w:t>
      </w:r>
    </w:p>
    <w:p>
      <w:pPr>
        <w:adjustRightInd w:val="0"/>
        <w:snapToGrid w:val="0"/>
        <w:spacing w:line="360" w:lineRule="auto"/>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株洲市政府采购合同线上融资流程</w:t>
      </w:r>
    </w:p>
    <w:p>
      <w:pPr>
        <w:spacing w:line="360" w:lineRule="auto"/>
        <w:ind w:left="400"/>
        <w:rPr>
          <w:rFonts w:hint="eastAsia" w:asciiTheme="majorEastAsia" w:hAnsiTheme="majorEastAsia" w:eastAsiaTheme="majorEastAsia" w:cstheme="majorEastAsia"/>
          <w:b/>
          <w:color w:val="auto"/>
          <w:szCs w:val="21"/>
        </w:rPr>
      </w:pPr>
    </w:p>
    <w:p>
      <w:pPr>
        <w:spacing w:line="360" w:lineRule="auto"/>
        <w:ind w:left="4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（一）、融资申请 </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有融资需求的供应商取得《中标通知书》后，在签订采购合同前，通过“株洲市政府采购网”的“政府采购合同融资”链接进入“中征应收账款融资服务平台”，直接向参与金融机构推送融资需求。</w:t>
      </w:r>
    </w:p>
    <w:p>
      <w:pPr>
        <w:spacing w:line="360" w:lineRule="auto"/>
        <w:ind w:firstLine="316" w:firstLineChars="15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（二）、资料审查 </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参与金融机构登录平台查看融资需求及中标（或成交）详情，进行贷前评审，确定融资方案和回款账户，签订《政府采购合同》，确定合同收款账户。</w:t>
      </w:r>
    </w:p>
    <w:p>
      <w:pPr>
        <w:spacing w:line="360" w:lineRule="auto"/>
        <w:ind w:left="4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（三）、签订贷款协议</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参与金融机构登录平台查看采购合同信息，与供应商签订贷款协议，在线填写融资成交单，推送融资成交信息，系统自动将回款账户锁定为银行监管账户。</w:t>
      </w:r>
    </w:p>
    <w:p>
      <w:pPr>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（四）、贷款发放</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融资银行核实回款账户无误后，根据贷款协议向供应商发放贷款。</w:t>
      </w:r>
    </w:p>
    <w:p>
      <w:pPr>
        <w:spacing w:line="360" w:lineRule="auto"/>
        <w:ind w:left="4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（五）、按期还款</w:t>
      </w:r>
    </w:p>
    <w:p>
      <w:pPr>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合同履行完毕后，采购单位根据合同约定时间和账户在线填写支付申请，向财政部门发送支付指令，财政部门严格按照相关规定将资金支付到采购合同收款账户。</w:t>
      </w:r>
    </w:p>
    <w:p>
      <w:pPr>
        <w:spacing w:line="360" w:lineRule="auto"/>
        <w:ind w:left="4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（六 ）、业务终止</w:t>
      </w:r>
    </w:p>
    <w:p>
      <w:pPr>
        <w:spacing w:line="360" w:lineRule="auto"/>
        <w:ind w:left="4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贷款偿清后，融资银行解除质押，业务终止。</w:t>
      </w:r>
    </w:p>
    <w:p>
      <w:pP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br w:type="page"/>
      </w:r>
      <w:r>
        <w:rPr>
          <w:rFonts w:hint="eastAsia" w:asciiTheme="majorEastAsia" w:hAnsiTheme="majorEastAsia" w:eastAsiaTheme="majorEastAsia" w:cstheme="majorEastAsia"/>
          <w:color w:val="auto"/>
        </w:rPr>
        <w:drawing>
          <wp:inline distT="0" distB="0" distL="114300" distR="114300">
            <wp:extent cx="5193665" cy="7938770"/>
            <wp:effectExtent l="0" t="0" r="6985" b="508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2"/>
                    <a:stretch>
                      <a:fillRect/>
                    </a:stretch>
                  </pic:blipFill>
                  <pic:spPr>
                    <a:xfrm>
                      <a:off x="0" y="0"/>
                      <a:ext cx="5193665" cy="7938770"/>
                    </a:xfrm>
                    <a:prstGeom prst="rect">
                      <a:avLst/>
                    </a:prstGeom>
                    <a:noFill/>
                    <a:ln>
                      <a:noFill/>
                    </a:ln>
                  </pic:spPr>
                </pic:pic>
              </a:graphicData>
            </a:graphic>
          </wp:inline>
        </w:drawing>
      </w:r>
    </w:p>
    <w:p>
      <w:pPr>
        <w:adjustRightInd w:val="0"/>
        <w:snapToGrid w:val="0"/>
        <w:spacing w:line="360" w:lineRule="auto"/>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color w:val="auto"/>
        </w:rPr>
        <w:br w:type="page"/>
      </w:r>
      <w:r>
        <w:rPr>
          <w:rFonts w:hint="eastAsia" w:asciiTheme="majorEastAsia" w:hAnsiTheme="majorEastAsia" w:eastAsiaTheme="majorEastAsia" w:cstheme="majorEastAsia"/>
          <w:bCs/>
          <w:color w:val="auto"/>
          <w:szCs w:val="21"/>
        </w:rPr>
        <w:t>附件3</w:t>
      </w:r>
    </w:p>
    <w:p>
      <w:pPr>
        <w:adjustRightInd w:val="0"/>
        <w:snapToGrid w:val="0"/>
        <w:spacing w:line="360" w:lineRule="auto"/>
        <w:jc w:val="cente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t>株洲市政府采购合同线上融资业务办理银行联系表</w:t>
      </w:r>
    </w:p>
    <w:tbl>
      <w:tblPr>
        <w:tblStyle w:val="20"/>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2770"/>
        <w:gridCol w:w="1675"/>
        <w:gridCol w:w="31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1097" w:type="dxa"/>
            <w:noWrap w:val="0"/>
            <w:vAlign w:val="center"/>
          </w:tcPr>
          <w:p>
            <w:pPr>
              <w:adjustRightInd w:val="0"/>
              <w:snapToGrid w:val="0"/>
              <w:spacing w:before="156" w:beforeLines="50" w:line="360" w:lineRule="auto"/>
              <w:jc w:val="center"/>
              <w:rPr>
                <w:rFonts w:hint="eastAsia" w:asciiTheme="majorEastAsia" w:hAnsiTheme="majorEastAsia" w:eastAsiaTheme="majorEastAsia" w:cstheme="majorEastAsia"/>
                <w:bCs/>
                <w:color w:val="auto"/>
                <w:sz w:val="18"/>
                <w:szCs w:val="18"/>
              </w:rPr>
            </w:pPr>
            <w:r>
              <w:rPr>
                <w:rFonts w:hint="eastAsia" w:asciiTheme="majorEastAsia" w:hAnsiTheme="majorEastAsia" w:eastAsiaTheme="majorEastAsia" w:cstheme="majorEastAsia"/>
                <w:bCs/>
                <w:color w:val="auto"/>
                <w:sz w:val="18"/>
                <w:szCs w:val="18"/>
              </w:rPr>
              <w:t>序  号</w:t>
            </w:r>
          </w:p>
        </w:tc>
        <w:tc>
          <w:tcPr>
            <w:tcW w:w="2770" w:type="dxa"/>
            <w:noWrap w:val="0"/>
            <w:vAlign w:val="center"/>
          </w:tcPr>
          <w:p>
            <w:pPr>
              <w:adjustRightInd w:val="0"/>
              <w:snapToGrid w:val="0"/>
              <w:spacing w:before="156" w:beforeLines="50" w:line="36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bCs/>
                <w:color w:val="auto"/>
                <w:sz w:val="18"/>
                <w:szCs w:val="18"/>
              </w:rPr>
              <w:t>银行名称</w:t>
            </w:r>
          </w:p>
        </w:tc>
        <w:tc>
          <w:tcPr>
            <w:tcW w:w="1675" w:type="dxa"/>
            <w:noWrap w:val="0"/>
            <w:vAlign w:val="center"/>
          </w:tcPr>
          <w:p>
            <w:pPr>
              <w:adjustRightInd w:val="0"/>
              <w:snapToGrid w:val="0"/>
              <w:spacing w:before="156" w:beforeLines="50" w:line="36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bCs/>
                <w:color w:val="auto"/>
                <w:sz w:val="18"/>
                <w:szCs w:val="18"/>
              </w:rPr>
              <w:t>联系人</w:t>
            </w:r>
          </w:p>
        </w:tc>
        <w:tc>
          <w:tcPr>
            <w:tcW w:w="3176" w:type="dxa"/>
            <w:noWrap w:val="0"/>
            <w:vAlign w:val="center"/>
          </w:tcPr>
          <w:p>
            <w:pPr>
              <w:adjustRightInd w:val="0"/>
              <w:snapToGrid w:val="0"/>
              <w:spacing w:before="156" w:beforeLines="50" w:line="36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bCs/>
                <w:color w:val="auto"/>
                <w:sz w:val="18"/>
                <w:szCs w:val="18"/>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交通银行株洲分行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蒋宁</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15873361819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1"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2</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长沙银行株洲分行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曾名志</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13786360080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6"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3</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光大银行株洲分行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马文胜</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13907334569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4</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华融湘江银行株洲分行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泰莹</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18073365299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7"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5</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工商银行株洲分行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易铁建</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18673383317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28295851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kern w:val="2"/>
                <w:sz w:val="18"/>
                <w:szCs w:val="18"/>
                <w:lang w:val="en-US" w:eastAsia="zh-CN" w:bidi="ar-SA"/>
              </w:rPr>
            </w:pPr>
            <w:r>
              <w:rPr>
                <w:rFonts w:hint="eastAsia" w:asciiTheme="majorEastAsia" w:hAnsiTheme="majorEastAsia" w:eastAsiaTheme="majorEastAsia" w:cstheme="majorEastAsia"/>
                <w:color w:val="auto"/>
                <w:sz w:val="18"/>
                <w:szCs w:val="18"/>
              </w:rPr>
              <w:t>6</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农业银行株洲分行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张亚虹</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15873378583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7</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中国银行株洲分行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陈向红</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15096360998   28817118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6"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8</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邮储银行株洲分行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李燕京</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18673322433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9</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兴业银行株洲分行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张维</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13807312821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2"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10</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渤海银行株洲分行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何习之</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18975347745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22987119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11</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浦发银行株洲分行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言磊</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13973319893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7"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12</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广发银行株洲分行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张琳</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18565608267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28868158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13</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华夏银行株洲分行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程玥瑄</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18673301515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28868595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14</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民生银行株洲分行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刘海峰</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18273272755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28861002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4"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15</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北京银行株洲分行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曾艳</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 xml:space="preserve">13087339502  </w:t>
            </w:r>
            <w:r>
              <w:rPr>
                <w:rFonts w:hint="eastAsia" w:asciiTheme="majorEastAsia" w:hAnsiTheme="majorEastAsia" w:eastAsiaTheme="majorEastAsia" w:cstheme="majorEastAsia"/>
                <w:color w:val="auto"/>
                <w:sz w:val="18"/>
                <w:szCs w:val="18"/>
                <w:lang w:val="en-US" w:eastAsia="zh-CN"/>
              </w:rPr>
              <w:t xml:space="preserve"> </w:t>
            </w:r>
            <w:r>
              <w:rPr>
                <w:rFonts w:hint="eastAsia" w:asciiTheme="majorEastAsia" w:hAnsiTheme="majorEastAsia" w:eastAsiaTheme="majorEastAsia" w:cstheme="majorEastAsia"/>
                <w:color w:val="auto"/>
                <w:sz w:val="18"/>
                <w:szCs w:val="18"/>
              </w:rPr>
              <w:t>25885569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9" w:hRule="exact"/>
        </w:trPr>
        <w:tc>
          <w:tcPr>
            <w:tcW w:w="1097"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16</w:t>
            </w:r>
          </w:p>
        </w:tc>
        <w:tc>
          <w:tcPr>
            <w:tcW w:w="2770"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招商银行株洲分行</w:t>
            </w:r>
          </w:p>
        </w:tc>
        <w:tc>
          <w:tcPr>
            <w:tcW w:w="1675"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董经纬</w:t>
            </w:r>
          </w:p>
        </w:tc>
        <w:tc>
          <w:tcPr>
            <w:tcW w:w="3176" w:type="dxa"/>
            <w:noWrap w:val="0"/>
            <w:vAlign w:val="bottom"/>
          </w:tcPr>
          <w:p>
            <w:pPr>
              <w:adjustRightInd w:val="0"/>
              <w:snapToGrid w:val="0"/>
              <w:spacing w:before="156" w:beforeLines="50" w:line="720" w:lineRule="auto"/>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 w:val="18"/>
                <w:szCs w:val="18"/>
              </w:rPr>
              <w:t>18273331270   22753977</w:t>
            </w:r>
          </w:p>
        </w:tc>
      </w:tr>
    </w:tbl>
    <w:p>
      <w:pPr>
        <w:rPr>
          <w:rFonts w:hint="eastAsia" w:asciiTheme="majorEastAsia" w:hAnsiTheme="majorEastAsia" w:eastAsiaTheme="majorEastAsia" w:cstheme="majorEastAsia"/>
          <w:color w:val="auto"/>
        </w:rPr>
      </w:pPr>
    </w:p>
    <w:p>
      <w:pPr>
        <w:adjustRightInd w:val="0"/>
        <w:snapToGrid w:val="0"/>
        <w:spacing w:line="360" w:lineRule="auto"/>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br w:type="page"/>
      </w:r>
      <w:r>
        <w:rPr>
          <w:rFonts w:hint="eastAsia" w:asciiTheme="majorEastAsia" w:hAnsiTheme="majorEastAsia" w:eastAsiaTheme="majorEastAsia" w:cstheme="majorEastAsia"/>
          <w:bCs/>
          <w:color w:val="auto"/>
          <w:szCs w:val="21"/>
        </w:rPr>
        <w:t>附页4</w:t>
      </w:r>
    </w:p>
    <w:p>
      <w:pPr>
        <w:adjustRightInd w:val="0"/>
        <w:snapToGrid w:val="0"/>
        <w:spacing w:line="360" w:lineRule="auto"/>
        <w:jc w:val="cente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政府采购投标担保函</w:t>
      </w:r>
    </w:p>
    <w:p>
      <w:pPr>
        <w:adjustRightInd w:val="0"/>
        <w:snapToGrid w:val="0"/>
        <w:spacing w:line="360" w:lineRule="auto"/>
        <w:ind w:firstLine="5670" w:firstLineChars="2700"/>
        <w:rPr>
          <w:rFonts w:hint="eastAsia" w:asciiTheme="majorEastAsia" w:hAnsiTheme="majorEastAsia" w:eastAsiaTheme="majorEastAsia" w:cstheme="majorEastAsia"/>
          <w:color w:val="auto"/>
          <w:szCs w:val="21"/>
        </w:rPr>
      </w:pPr>
    </w:p>
    <w:p>
      <w:pPr>
        <w:adjustRightInd w:val="0"/>
        <w:snapToGrid w:val="0"/>
        <w:spacing w:line="380" w:lineRule="exact"/>
        <w:ind w:firstLine="5670" w:firstLineChars="2700"/>
        <w:rPr>
          <w:rFonts w:hint="eastAsia" w:asciiTheme="majorEastAsia" w:hAnsiTheme="majorEastAsia" w:eastAsiaTheme="majorEastAsia" w:cstheme="majorEastAsia"/>
          <w:color w:val="auto"/>
          <w:szCs w:val="21"/>
          <w:u w:val="single"/>
        </w:rPr>
      </w:pPr>
      <w:r>
        <w:rPr>
          <w:rFonts w:hint="eastAsia" w:asciiTheme="majorEastAsia" w:hAnsiTheme="majorEastAsia" w:eastAsiaTheme="majorEastAsia" w:cstheme="majorEastAsia"/>
          <w:color w:val="auto"/>
          <w:szCs w:val="21"/>
        </w:rPr>
        <w:t>编号：</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w:t>
      </w:r>
    </w:p>
    <w:p>
      <w:pPr>
        <w:adjustRightInd w:val="0"/>
        <w:snapToGrid w:val="0"/>
        <w:spacing w:line="380" w:lineRule="exac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（采购代理机构）：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鉴于</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（以下简称投标人）拟参加编号为</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的</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项目（以下简称“本项目”）投标，根据本项目招标文件，供应商参加投标时应向你方交纳投标保证金，且可以投标担保函的形式交纳投标保证金。应供应商的申请，我方以保证的方式向你方提供如下投标保证金担保： </w:t>
      </w:r>
    </w:p>
    <w:p>
      <w:pPr>
        <w:adjustRightInd w:val="0"/>
        <w:snapToGrid w:val="0"/>
        <w:spacing w:line="380" w:lineRule="exact"/>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一、保证责任的情形及保证金额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（一）在投标人出现下列情形之一时，我方承担保证责任：</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1．中标后投标人无正当理由不与采购人或者采购代理机构签订《政府采购合同》；</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2．招标文件规定的投标人应当缴纳保证金的其他情形。</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（二）我方承担保证责任的最高金额为人民币</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元（大写</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），即本项目的投标保证金金额。</w:t>
      </w:r>
    </w:p>
    <w:p>
      <w:pPr>
        <w:adjustRightInd w:val="0"/>
        <w:snapToGrid w:val="0"/>
        <w:spacing w:line="380" w:lineRule="exact"/>
        <w:ind w:firstLine="422"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
          <w:color w:val="auto"/>
          <w:szCs w:val="21"/>
        </w:rPr>
        <w:t>二、保证的方式及保证期间</w:t>
      </w:r>
      <w:r>
        <w:rPr>
          <w:rFonts w:hint="eastAsia" w:asciiTheme="majorEastAsia" w:hAnsiTheme="majorEastAsia" w:eastAsiaTheme="majorEastAsia" w:cstheme="majorEastAsia"/>
          <w:color w:val="auto"/>
          <w:szCs w:val="21"/>
        </w:rPr>
        <w:t xml:space="preserve">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我方保证的方式为：连带责任保证。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我方的保证期间为：自本保函生效之日起</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个月止。</w:t>
      </w:r>
    </w:p>
    <w:p>
      <w:pPr>
        <w:adjustRightInd w:val="0"/>
        <w:snapToGrid w:val="0"/>
        <w:spacing w:line="380" w:lineRule="exact"/>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三、承担保证责任的程序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1．你方要求我方承担保证责任的，应在本保函保证期间内向我方发出书面索赔通知。索赔通知应写明要求索赔的金额，支付款项应到达的账号，并附有证明投标人发生我方应承担保证责任情形的事实材料。 </w:t>
      </w:r>
    </w:p>
    <w:p>
      <w:pPr>
        <w:adjustRightInd w:val="0"/>
        <w:snapToGrid w:val="0"/>
        <w:spacing w:line="38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2．我方在收到索赔通知及相关证明材料后，在</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个工作日内进行审查，符合应承担保证责任情形的，我方应按照你方的要求代投标人向你方支付投标保证金。 </w:t>
      </w:r>
    </w:p>
    <w:p>
      <w:pPr>
        <w:adjustRightInd w:val="0"/>
        <w:snapToGrid w:val="0"/>
        <w:spacing w:line="400" w:lineRule="exact"/>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四、保证责任的终止 </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1．保证期间届满你方未向我方书面主张保证责任的，自保证期间届满次日起，我方保证责任自动终止。 </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2．我方按照本保函向你方履行了保证责任后，自我方向你方支付款项（支付款项从我方账户划出）之日起，保证责任终止。 </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3．按照法律法规的规定或出现我方保证责任终止的其它情形的，我方在本保函项下的保证责任亦终止。 </w:t>
      </w:r>
    </w:p>
    <w:p>
      <w:pPr>
        <w:adjustRightInd w:val="0"/>
        <w:snapToGrid w:val="0"/>
        <w:spacing w:line="400" w:lineRule="exact"/>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五、免责条款 </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1．依照法律规定或你方与投标人的另行约定，全部或者部分免除投标人投标保证金义务时，我方亦免除相应的保证责任。</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2．因你方原因致使投标人发生本保函第一条第（一）款约定情形的，我方不承担保证责任。</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3．因不可抗力造成投标人发生本保函第一条约定情形的，我方不承担保证责任。</w:t>
      </w:r>
    </w:p>
    <w:p>
      <w:pPr>
        <w:adjustRightInd w:val="0"/>
        <w:snapToGrid w:val="0"/>
        <w:spacing w:line="400" w:lineRule="exact"/>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4．你方或其他有权机关对招标文件进行任何澄清或修改，加重我方保证责任的，我方对加重部分不承担保证责任，但该澄清或修改经我方事先书面同意的除外。 </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六、争议的解决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因本保函发生的纠纷，由你我双方协商解决，协商不成的，通过诉讼程序解决，诉讼管辖地法院为</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法院。</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 xml:space="preserve">七、保函的生效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本保函自我方加盖公章之日起生效。</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w:t>
      </w:r>
    </w:p>
    <w:p>
      <w:pPr>
        <w:adjustRightInd w:val="0"/>
        <w:snapToGrid w:val="0"/>
        <w:spacing w:line="360" w:lineRule="auto"/>
        <w:ind w:firstLine="3780" w:firstLineChars="18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保证人：（公章）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w:t>
      </w: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备注：磋商文件规定接受“投标担保函”形式递交投标保证金的可以按上述格式递交，否则，按招标文件规定其他方式递交。</w:t>
      </w:r>
    </w:p>
    <w:p>
      <w:pPr>
        <w:adjustRightInd w:val="0"/>
        <w:snapToGrid w:val="0"/>
        <w:spacing w:line="360" w:lineRule="auto"/>
        <w:rPr>
          <w:rFonts w:hint="eastAsia" w:asciiTheme="majorEastAsia" w:hAnsiTheme="majorEastAsia" w:eastAsiaTheme="majorEastAsia" w:cstheme="majorEastAsia"/>
          <w:color w:val="auto"/>
        </w:rPr>
        <w:sectPr>
          <w:footerReference r:id="rId8"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p>
    <w:p>
      <w:pPr>
        <w:adjustRightInd w:val="0"/>
        <w:snapToGrid w:val="0"/>
        <w:spacing w:line="360" w:lineRule="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附页5</w:t>
      </w:r>
    </w:p>
    <w:p>
      <w:pPr>
        <w:adjustRightInd w:val="0"/>
        <w:snapToGrid w:val="0"/>
        <w:spacing w:line="360" w:lineRule="auto"/>
        <w:jc w:val="center"/>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sz w:val="28"/>
          <w:szCs w:val="28"/>
        </w:rPr>
        <w:t>政府采购履约担保函</w:t>
      </w:r>
    </w:p>
    <w:p>
      <w:pPr>
        <w:adjustRightInd w:val="0"/>
        <w:snapToGrid w:val="0"/>
        <w:spacing w:line="360" w:lineRule="auto"/>
        <w:ind w:firstLine="5040" w:firstLineChars="24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color w:val="auto"/>
          <w:kern w:val="0"/>
        </w:rPr>
        <w:t xml:space="preserve">              编号：</w:t>
      </w:r>
      <w:r>
        <w:rPr>
          <w:rFonts w:hint="eastAsia" w:asciiTheme="majorEastAsia" w:hAnsiTheme="majorEastAsia" w:eastAsiaTheme="majorEastAsia" w:cstheme="majorEastAsia"/>
          <w:color w:val="auto"/>
          <w:kern w:val="0"/>
          <w:u w:val="single"/>
        </w:rPr>
        <w:t xml:space="preserve">              </w:t>
      </w:r>
    </w:p>
    <w:p>
      <w:pPr>
        <w:adjustRightInd w:val="0"/>
        <w:snapToGrid w:val="0"/>
        <w:spacing w:line="360" w:lineRule="auto"/>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 </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 xml:space="preserve">（采购人）：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鉴于你方与</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（以下简称供应商）于</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年</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月</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日签定编号为</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的《</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政府采购合同》（以下简称主合同），且依据该合同的约定，供应商应在</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年</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月</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日前向你方交纳履约保证金，且可以履约担保函的形式交纳履约保证金。应供应商的申请，我方以保证的方式向你方提供如下履约保证金担保：</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一、保证责任的情形及保证金额</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（一）在供应商出现下列情形之一时，我方承担保证责任：</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1．将中标项目转让给他人，或者在投标文件中未说明，且未经采购人同意，将中标项目分包给他人的；</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2．主合同约定的应当缴纳履约保证金的情形: </w:t>
      </w:r>
    </w:p>
    <w:p>
      <w:pPr>
        <w:adjustRightInd w:val="0"/>
        <w:snapToGrid w:val="0"/>
        <w:spacing w:line="360" w:lineRule="auto"/>
        <w:ind w:firstLine="420"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color w:val="auto"/>
          <w:kern w:val="0"/>
        </w:rPr>
        <w:t xml:space="preserve">（1）未按主合同约定的质量、数量和期限供应货物/提供服务/完成工程的；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u w:val="single"/>
        </w:rPr>
      </w:pPr>
      <w:r>
        <w:rPr>
          <w:rFonts w:hint="eastAsia" w:asciiTheme="majorEastAsia" w:hAnsiTheme="majorEastAsia" w:eastAsiaTheme="majorEastAsia" w:cstheme="majorEastAsia"/>
          <w:color w:val="auto"/>
          <w:kern w:val="0"/>
        </w:rPr>
        <w:t>（2）</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（二）我方的保证范围是主合同约定的合同价款总额的</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%数额为</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元（大写</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），币种为</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。（即主合同履约保证金金额）</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 xml:space="preserve">二、保证的方式及保证期间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我方保证的方式为：连带责任保证。 </w:t>
      </w:r>
    </w:p>
    <w:p>
      <w:pPr>
        <w:adjustRightInd w:val="0"/>
        <w:snapToGrid w:val="0"/>
        <w:spacing w:line="360" w:lineRule="auto"/>
        <w:ind w:firstLine="388" w:firstLineChars="200"/>
        <w:rPr>
          <w:rFonts w:hint="eastAsia" w:asciiTheme="majorEastAsia" w:hAnsiTheme="majorEastAsia" w:eastAsiaTheme="majorEastAsia" w:cstheme="majorEastAsia"/>
          <w:color w:val="auto"/>
          <w:spacing w:val="-8"/>
          <w:kern w:val="0"/>
        </w:rPr>
      </w:pPr>
      <w:r>
        <w:rPr>
          <w:rFonts w:hint="eastAsia" w:asciiTheme="majorEastAsia" w:hAnsiTheme="majorEastAsia" w:eastAsiaTheme="majorEastAsia" w:cstheme="majorEastAsia"/>
          <w:color w:val="auto"/>
          <w:spacing w:val="-8"/>
          <w:kern w:val="0"/>
        </w:rPr>
        <w:t>我方保证的期间为：自本合同生效之日起至供应商按照主合同约定的供货/完工期限届满后</w:t>
      </w:r>
      <w:r>
        <w:rPr>
          <w:rFonts w:hint="eastAsia" w:asciiTheme="majorEastAsia" w:hAnsiTheme="majorEastAsia" w:eastAsiaTheme="majorEastAsia" w:cstheme="majorEastAsia"/>
          <w:color w:val="auto"/>
          <w:spacing w:val="-8"/>
          <w:kern w:val="0"/>
          <w:u w:val="single"/>
        </w:rPr>
        <w:t xml:space="preserve">    </w:t>
      </w:r>
      <w:r>
        <w:rPr>
          <w:rFonts w:hint="eastAsia" w:asciiTheme="majorEastAsia" w:hAnsiTheme="majorEastAsia" w:eastAsiaTheme="majorEastAsia" w:cstheme="majorEastAsia"/>
          <w:color w:val="auto"/>
          <w:spacing w:val="-8"/>
          <w:kern w:val="0"/>
        </w:rPr>
        <w:t>日内。</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如果供应商未按主合同约定向贵方供应货物/提供服务/完成工程的，由我方在保证金额内向你方支付上述款项。 </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三、承担保证责任的程序</w:t>
      </w:r>
    </w:p>
    <w:p>
      <w:pPr>
        <w:adjustRightInd w:val="0"/>
        <w:snapToGrid w:val="0"/>
        <w:spacing w:line="360" w:lineRule="auto"/>
        <w:ind w:firstLine="420"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color w:val="auto"/>
          <w:kern w:val="0"/>
        </w:rPr>
        <w:t xml:space="preserve">1．你方要求我方承担保证责任的，应在本保函保证期间内向我方发出书面索赔通知。索赔通知应写明要求索赔的金额，支付款项应到达的帐号。并附有证明供应商违约事实的证明材料。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如果你方与供应商因货物质量问题产生争议，你方还需同时提供</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部门出具的质量检测报告，或经诉讼（仲裁）程序裁决后的裁决书、调解书，本保证人即按照检测结果或裁决书、调解书决定是否承担保证责任。</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2．我方收到你方的书面索赔通知及相应证明材料，在</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工作日内进行核定后按照本保函的承诺承担保证责任。</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四、保证责任的终止</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1．保证期间届满你方未向我方书面主张保证责任的，自保证期间届满次日起，我方保证责任自动终止。保证期间届满前，主合同约定的货物\工程\服务全部验收合格的，自验收合格日起，我方保证责任自动终止。</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2．我方按照本保函向你方履行了保证责任后，自我方向你方支付款项（支付款项从我方账户划出）之日起，保证责任即终止。</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3．按照法律法规的规定或出现应终止我方保证责任的其它情形的，我方在本保函项下的保证责任亦终止。</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五、免责条款</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1．因你方违反主合同约定致使供应商不能履行义务的，我方不承担保证责任。</w:t>
      </w:r>
    </w:p>
    <w:p>
      <w:pPr>
        <w:adjustRightInd w:val="0"/>
        <w:snapToGrid w:val="0"/>
        <w:spacing w:line="360" w:lineRule="auto"/>
        <w:ind w:firstLine="420"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color w:val="auto"/>
          <w:kern w:val="0"/>
        </w:rPr>
        <w:t>2．依照法律法规的规定或你方与供应商的另行约定，全部或者部分免除供应商应缴纳的保证金义务的，我方亦免除相应的保证责任。</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3．因不可抗力造成供应商不能履行供货义务的，我方不承担保证责任。</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六、争议的解决</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因本保函发生的纠纷，由你我双方协商解决，协商不成的，通过诉讼程序解决，诉讼管辖地法院为</w:t>
      </w:r>
      <w:r>
        <w:rPr>
          <w:rFonts w:hint="eastAsia" w:asciiTheme="majorEastAsia" w:hAnsiTheme="majorEastAsia" w:eastAsiaTheme="majorEastAsia" w:cstheme="majorEastAsia"/>
          <w:color w:val="auto"/>
          <w:kern w:val="0"/>
          <w:u w:val="single"/>
        </w:rPr>
        <w:t xml:space="preserve">          </w:t>
      </w:r>
      <w:r>
        <w:rPr>
          <w:rFonts w:hint="eastAsia" w:asciiTheme="majorEastAsia" w:hAnsiTheme="majorEastAsia" w:eastAsiaTheme="majorEastAsia" w:cstheme="majorEastAsia"/>
          <w:color w:val="auto"/>
          <w:kern w:val="0"/>
        </w:rPr>
        <w:t>法院。</w:t>
      </w:r>
    </w:p>
    <w:p>
      <w:pPr>
        <w:adjustRightInd w:val="0"/>
        <w:snapToGrid w:val="0"/>
        <w:spacing w:line="360" w:lineRule="auto"/>
        <w:ind w:firstLine="422" w:firstLineChars="200"/>
        <w:rPr>
          <w:rFonts w:hint="eastAsia" w:asciiTheme="majorEastAsia" w:hAnsiTheme="majorEastAsia" w:eastAsiaTheme="majorEastAsia" w:cstheme="majorEastAsia"/>
          <w:b/>
          <w:bCs/>
          <w:color w:val="auto"/>
          <w:kern w:val="0"/>
        </w:rPr>
      </w:pPr>
      <w:r>
        <w:rPr>
          <w:rFonts w:hint="eastAsia" w:asciiTheme="majorEastAsia" w:hAnsiTheme="majorEastAsia" w:eastAsiaTheme="majorEastAsia" w:cstheme="majorEastAsia"/>
          <w:b/>
          <w:bCs/>
          <w:color w:val="auto"/>
          <w:kern w:val="0"/>
        </w:rPr>
        <w:t xml:space="preserve">七、保函的生效 </w:t>
      </w:r>
    </w:p>
    <w:p>
      <w:pPr>
        <w:adjustRightInd w:val="0"/>
        <w:snapToGrid w:val="0"/>
        <w:spacing w:line="360" w:lineRule="auto"/>
        <w:ind w:firstLine="420" w:firstLineChars="200"/>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本保函自我方加盖公章之日起生效。 </w:t>
      </w:r>
    </w:p>
    <w:p>
      <w:pPr>
        <w:adjustRightInd w:val="0"/>
        <w:snapToGrid w:val="0"/>
        <w:spacing w:line="360" w:lineRule="auto"/>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                                                      </w:t>
      </w:r>
    </w:p>
    <w:p>
      <w:pPr>
        <w:adjustRightInd w:val="0"/>
        <w:snapToGrid w:val="0"/>
        <w:spacing w:line="360" w:lineRule="auto"/>
        <w:rPr>
          <w:rFonts w:hint="eastAsia" w:asciiTheme="majorEastAsia" w:hAnsiTheme="majorEastAsia" w:eastAsiaTheme="majorEastAsia" w:cstheme="majorEastAsia"/>
          <w:color w:val="auto"/>
          <w:kern w:val="0"/>
        </w:rPr>
      </w:pPr>
    </w:p>
    <w:p>
      <w:pPr>
        <w:adjustRightInd w:val="0"/>
        <w:snapToGrid w:val="0"/>
        <w:spacing w:line="360" w:lineRule="auto"/>
        <w:jc w:val="center"/>
        <w:rPr>
          <w:rFonts w:hint="eastAsia" w:asciiTheme="majorEastAsia" w:hAnsiTheme="majorEastAsia" w:eastAsiaTheme="majorEastAsia" w:cstheme="majorEastAsia"/>
          <w:color w:val="auto"/>
          <w:kern w:val="0"/>
        </w:rPr>
      </w:pPr>
      <w:r>
        <w:rPr>
          <w:rFonts w:hint="eastAsia" w:asciiTheme="majorEastAsia" w:hAnsiTheme="majorEastAsia" w:eastAsiaTheme="majorEastAsia" w:cstheme="majorEastAsia"/>
          <w:color w:val="auto"/>
          <w:kern w:val="0"/>
        </w:rPr>
        <w:t xml:space="preserve">                                                                      保证人：（公章） </w:t>
      </w:r>
    </w:p>
    <w:p>
      <w:pPr>
        <w:pStyle w:val="37"/>
        <w:jc w:val="right"/>
        <w:rPr>
          <w:rFonts w:hint="eastAsia" w:asciiTheme="majorEastAsia" w:hAnsiTheme="majorEastAsia" w:eastAsiaTheme="majorEastAsia" w:cstheme="majorEastAsia"/>
          <w:color w:val="auto"/>
          <w:sz w:val="21"/>
          <w:szCs w:val="24"/>
          <w:lang w:eastAsia="zh-CN"/>
        </w:rPr>
        <w:sectPr>
          <w:pgSz w:w="11906" w:h="16838"/>
          <w:pgMar w:top="1474" w:right="1531" w:bottom="1474" w:left="1531" w:header="851" w:footer="567"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heme="majorEastAsia" w:hAnsiTheme="majorEastAsia" w:eastAsiaTheme="majorEastAsia" w:cstheme="majorEastAsia"/>
          <w:color w:val="auto"/>
        </w:rPr>
        <w:t xml:space="preserve">                                                     </w:t>
      </w:r>
      <w:r>
        <w:rPr>
          <w:rFonts w:hint="eastAsia" w:asciiTheme="majorEastAsia" w:hAnsiTheme="majorEastAsia" w:eastAsiaTheme="majorEastAsia" w:cstheme="majorEastAsia"/>
          <w:color w:val="auto"/>
          <w:sz w:val="21"/>
          <w:szCs w:val="24"/>
        </w:rPr>
        <w:t xml:space="preserve">年   月   </w:t>
      </w:r>
      <w:r>
        <w:rPr>
          <w:rFonts w:hint="eastAsia" w:asciiTheme="majorEastAsia" w:hAnsiTheme="majorEastAsia" w:eastAsiaTheme="majorEastAsia" w:cstheme="majorEastAsia"/>
          <w:color w:val="auto"/>
          <w:sz w:val="21"/>
          <w:szCs w:val="24"/>
          <w:lang w:eastAsia="zh-CN"/>
        </w:rPr>
        <w:t>日</w:t>
      </w:r>
    </w:p>
    <w:p>
      <w:pPr>
        <w:adjustRightInd w:val="0"/>
        <w:snapToGrid w:val="0"/>
        <w:spacing w:line="360" w:lineRule="auto"/>
        <w:rPr>
          <w:rFonts w:hint="eastAsia" w:asciiTheme="majorEastAsia" w:hAnsiTheme="majorEastAsia" w:eastAsiaTheme="majorEastAsia" w:cstheme="majorEastAsia"/>
          <w:color w:val="auto"/>
          <w:lang w:eastAsia="zh-CN"/>
        </w:rPr>
      </w:pPr>
      <w:r>
        <w:rPr>
          <w:rFonts w:hint="eastAsia" w:asciiTheme="majorEastAsia" w:hAnsiTheme="majorEastAsia" w:eastAsiaTheme="majorEastAsia" w:cstheme="majorEastAsia"/>
          <w:color w:val="auto"/>
        </w:rPr>
        <w:t>附页</w:t>
      </w:r>
      <w:r>
        <w:rPr>
          <w:rFonts w:hint="eastAsia" w:asciiTheme="majorEastAsia" w:hAnsiTheme="majorEastAsia" w:eastAsiaTheme="majorEastAsia" w:cstheme="majorEastAsia"/>
          <w:color w:val="auto"/>
          <w:lang w:val="en-US" w:eastAsia="zh-CN"/>
        </w:rPr>
        <w:t>6</w:t>
      </w:r>
    </w:p>
    <w:p>
      <w:pPr>
        <w:shd w:val="clear" w:color="auto" w:fill="auto"/>
        <w:adjustRightInd w:val="0"/>
        <w:snapToGrid w:val="0"/>
        <w:spacing w:line="360" w:lineRule="auto"/>
        <w:jc w:val="center"/>
        <w:rPr>
          <w:rFonts w:ascii="宋体" w:hAnsi="宋体" w:cs="宋体"/>
          <w:snapToGrid w:val="0"/>
          <w:color w:val="auto"/>
          <w:sz w:val="30"/>
          <w:szCs w:val="30"/>
          <w:highlight w:val="none"/>
        </w:rPr>
      </w:pPr>
      <w:r>
        <w:rPr>
          <w:rFonts w:hint="eastAsia" w:ascii="宋体" w:hAnsi="宋体" w:cs="宋体"/>
          <w:b/>
          <w:bCs/>
          <w:snapToGrid w:val="0"/>
          <w:color w:val="auto"/>
          <w:sz w:val="30"/>
          <w:szCs w:val="30"/>
          <w:highlight w:val="none"/>
        </w:rPr>
        <w:t>投标保证金退款申请格式</w:t>
      </w:r>
    </w:p>
    <w:p>
      <w:pPr>
        <w:shd w:val="clear" w:color="auto" w:fill="auto"/>
        <w:adjustRightInd w:val="0"/>
        <w:snapToGrid w:val="0"/>
        <w:spacing w:line="360" w:lineRule="auto"/>
        <w:ind w:left="420" w:leftChars="200"/>
        <w:rPr>
          <w:rFonts w:ascii="宋体" w:hAnsi="宋体" w:cs="宋体"/>
          <w:snapToGrid w:val="0"/>
          <w:color w:val="auto"/>
          <w:szCs w:val="21"/>
          <w:highlight w:val="none"/>
        </w:rPr>
      </w:pPr>
    </w:p>
    <w:p>
      <w:pPr>
        <w:spacing w:line="480" w:lineRule="exact"/>
        <w:jc w:val="center"/>
        <w:rPr>
          <w:rFonts w:ascii="宋体" w:hAnsi="宋体" w:cs="宋体"/>
          <w:bCs/>
          <w:color w:val="auto"/>
          <w:sz w:val="36"/>
          <w:szCs w:val="36"/>
        </w:rPr>
      </w:pPr>
      <w:r>
        <w:rPr>
          <w:rFonts w:hint="eastAsia" w:ascii="宋体" w:hAnsi="宋体" w:cs="宋体"/>
          <w:b/>
          <w:color w:val="auto"/>
          <w:sz w:val="28"/>
          <w:szCs w:val="28"/>
        </w:rPr>
        <w:t>投标保证金退还申请书</w:t>
      </w:r>
    </w:p>
    <w:p>
      <w:pPr>
        <w:spacing w:line="480" w:lineRule="exact"/>
        <w:jc w:val="center"/>
        <w:rPr>
          <w:rFonts w:ascii="宋体" w:hAnsi="宋体" w:cs="宋体"/>
          <w:bCs/>
          <w:color w:val="auto"/>
          <w:sz w:val="36"/>
          <w:szCs w:val="36"/>
        </w:rPr>
      </w:pPr>
    </w:p>
    <w:p>
      <w:pPr>
        <w:adjustRightInd w:val="0"/>
        <w:snapToGrid w:val="0"/>
        <w:spacing w:beforeLines="50" w:line="360" w:lineRule="auto"/>
        <w:rPr>
          <w:rFonts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 xml:space="preserve"> 茶陵县发展和改革局 </w:t>
      </w:r>
      <w:r>
        <w:rPr>
          <w:rFonts w:hint="eastAsia" w:ascii="宋体" w:hAnsi="宋体" w:cs="宋体"/>
          <w:color w:val="auto"/>
          <w:szCs w:val="21"/>
        </w:rPr>
        <w:t xml:space="preserve">： </w:t>
      </w:r>
    </w:p>
    <w:p>
      <w:pPr>
        <w:adjustRightInd w:val="0"/>
        <w:snapToGrid w:val="0"/>
        <w:spacing w:beforeLines="50" w:line="360" w:lineRule="auto"/>
        <w:ind w:firstLine="420" w:firstLineChars="200"/>
        <w:rPr>
          <w:rFonts w:ascii="宋体" w:hAnsi="宋体" w:cs="宋体"/>
          <w:color w:val="auto"/>
          <w:szCs w:val="21"/>
        </w:rPr>
      </w:pPr>
      <w:r>
        <w:rPr>
          <w:rFonts w:hint="eastAsia" w:ascii="宋体" w:hAnsi="宋体" w:cs="宋体"/>
          <w:color w:val="auto"/>
          <w:szCs w:val="21"/>
        </w:rPr>
        <w:t>我系参加</w:t>
      </w:r>
      <w:r>
        <w:rPr>
          <w:rFonts w:hint="eastAsia" w:ascii="宋体" w:hAnsi="宋体" w:cs="宋体"/>
          <w:color w:val="auto"/>
          <w:szCs w:val="21"/>
          <w:u w:val="single"/>
        </w:rPr>
        <w:t xml:space="preserve">                          </w:t>
      </w:r>
      <w:r>
        <w:rPr>
          <w:rFonts w:hint="eastAsia" w:ascii="宋体" w:hAnsi="宋体" w:cs="宋体"/>
          <w:color w:val="auto"/>
          <w:szCs w:val="21"/>
        </w:rPr>
        <w:t>（项目名称），委托代理编号：</w:t>
      </w:r>
      <w:r>
        <w:rPr>
          <w:rFonts w:hint="eastAsia" w:ascii="宋体" w:hAnsi="宋体" w:cs="宋体"/>
          <w:color w:val="auto"/>
          <w:szCs w:val="21"/>
          <w:u w:val="single"/>
        </w:rPr>
        <w:t xml:space="preserve">               </w:t>
      </w:r>
      <w:r>
        <w:rPr>
          <w:rFonts w:hint="eastAsia" w:ascii="宋体" w:hAnsi="宋体" w:cs="宋体"/>
          <w:color w:val="auto"/>
          <w:szCs w:val="21"/>
        </w:rPr>
        <w:t>竞争性谈判的供应商，现申请按该项目谈判文件规定，退返保证金人民币</w:t>
      </w:r>
      <w:r>
        <w:rPr>
          <w:rFonts w:hint="eastAsia" w:ascii="宋体" w:hAnsi="宋体" w:cs="宋体"/>
          <w:color w:val="auto"/>
          <w:szCs w:val="21"/>
          <w:u w:val="single"/>
        </w:rPr>
        <w:t xml:space="preserve">         </w:t>
      </w:r>
      <w:r>
        <w:rPr>
          <w:rFonts w:hint="eastAsia" w:ascii="宋体" w:hAnsi="宋体" w:cs="宋体"/>
          <w:color w:val="auto"/>
          <w:szCs w:val="21"/>
        </w:rPr>
        <w:t>(大写）￥</w:t>
      </w:r>
      <w:r>
        <w:rPr>
          <w:rFonts w:hint="eastAsia" w:ascii="宋体" w:hAnsi="宋体" w:cs="宋体"/>
          <w:color w:val="auto"/>
          <w:szCs w:val="21"/>
          <w:u w:val="single"/>
        </w:rPr>
        <w:t xml:space="preserve">            </w:t>
      </w:r>
      <w:r>
        <w:rPr>
          <w:rFonts w:hint="eastAsia" w:ascii="宋体" w:hAnsi="宋体" w:cs="宋体"/>
          <w:color w:val="auto"/>
          <w:szCs w:val="21"/>
        </w:rPr>
        <w:t>(小写），保证金请退还到以下原缴纳账户：</w:t>
      </w:r>
    </w:p>
    <w:p>
      <w:pPr>
        <w:adjustRightInd w:val="0"/>
        <w:snapToGrid w:val="0"/>
        <w:spacing w:before="50" w:line="360" w:lineRule="auto"/>
        <w:ind w:firstLine="420" w:firstLineChars="200"/>
        <w:rPr>
          <w:rFonts w:ascii="宋体" w:hAnsi="宋体" w:cs="宋体"/>
          <w:color w:val="auto"/>
          <w:szCs w:val="21"/>
          <w:u w:val="single"/>
        </w:rPr>
      </w:pPr>
      <w:r>
        <w:rPr>
          <w:rFonts w:hint="eastAsia" w:ascii="宋体" w:hAnsi="宋体" w:cs="宋体"/>
          <w:color w:val="auto"/>
          <w:szCs w:val="21"/>
        </w:rPr>
        <w:t>户名：</w:t>
      </w:r>
      <w:r>
        <w:rPr>
          <w:rFonts w:hint="eastAsia" w:ascii="宋体" w:hAnsi="宋体" w:cs="宋体"/>
          <w:color w:val="auto"/>
          <w:szCs w:val="21"/>
          <w:u w:val="single"/>
        </w:rPr>
        <w:t xml:space="preserve">                                 </w:t>
      </w:r>
    </w:p>
    <w:p>
      <w:pPr>
        <w:adjustRightInd w:val="0"/>
        <w:snapToGrid w:val="0"/>
        <w:spacing w:before="50" w:line="360" w:lineRule="auto"/>
        <w:ind w:firstLine="420" w:firstLineChars="200"/>
        <w:rPr>
          <w:rFonts w:ascii="宋体" w:hAnsi="宋体" w:cs="宋体"/>
          <w:color w:val="auto"/>
          <w:szCs w:val="21"/>
          <w:u w:val="single"/>
        </w:rPr>
      </w:pPr>
      <w:r>
        <w:rPr>
          <w:rFonts w:hint="eastAsia" w:ascii="宋体" w:hAnsi="宋体" w:cs="宋体"/>
          <w:color w:val="auto"/>
          <w:szCs w:val="21"/>
        </w:rPr>
        <w:t>账号：</w:t>
      </w:r>
      <w:r>
        <w:rPr>
          <w:rFonts w:hint="eastAsia" w:ascii="宋体" w:hAnsi="宋体" w:cs="宋体"/>
          <w:color w:val="auto"/>
          <w:szCs w:val="21"/>
          <w:u w:val="single"/>
        </w:rPr>
        <w:t xml:space="preserve">                                 </w:t>
      </w:r>
    </w:p>
    <w:p>
      <w:pPr>
        <w:adjustRightInd w:val="0"/>
        <w:snapToGrid w:val="0"/>
        <w:spacing w:before="50" w:line="360" w:lineRule="auto"/>
        <w:ind w:firstLine="420" w:firstLineChars="200"/>
        <w:rPr>
          <w:rFonts w:ascii="宋体" w:hAnsi="宋体" w:cs="宋体"/>
          <w:color w:val="auto"/>
          <w:szCs w:val="21"/>
          <w:u w:val="single"/>
        </w:rPr>
      </w:pPr>
      <w:r>
        <w:rPr>
          <w:rFonts w:hint="eastAsia" w:ascii="宋体" w:hAnsi="宋体" w:cs="宋体"/>
          <w:color w:val="auto"/>
          <w:szCs w:val="21"/>
        </w:rPr>
        <w:t>开户行：</w:t>
      </w:r>
      <w:r>
        <w:rPr>
          <w:rFonts w:hint="eastAsia" w:ascii="宋体" w:hAnsi="宋体" w:cs="宋体"/>
          <w:color w:val="auto"/>
          <w:szCs w:val="21"/>
          <w:u w:val="single"/>
        </w:rPr>
        <w:t xml:space="preserve">                               </w:t>
      </w:r>
    </w:p>
    <w:p>
      <w:pPr>
        <w:adjustRightInd w:val="0"/>
        <w:snapToGrid w:val="0"/>
        <w:spacing w:before="50" w:line="360" w:lineRule="auto"/>
        <w:ind w:firstLine="420" w:firstLineChars="200"/>
        <w:rPr>
          <w:rFonts w:ascii="宋体" w:hAnsi="宋体" w:cs="宋体"/>
          <w:color w:val="auto"/>
          <w:szCs w:val="21"/>
        </w:rPr>
      </w:pPr>
      <w:r>
        <w:rPr>
          <w:rFonts w:hint="eastAsia" w:ascii="宋体" w:hAnsi="宋体" w:cs="宋体"/>
          <w:color w:val="auto"/>
          <w:szCs w:val="21"/>
        </w:rPr>
        <w:t>开户行地址：</w:t>
      </w:r>
      <w:r>
        <w:rPr>
          <w:rFonts w:hint="eastAsia" w:ascii="宋体" w:hAnsi="宋体" w:cs="宋体"/>
          <w:color w:val="auto"/>
          <w:szCs w:val="21"/>
          <w:u w:val="single"/>
        </w:rPr>
        <w:t xml:space="preserve">          </w:t>
      </w:r>
      <w:r>
        <w:rPr>
          <w:rFonts w:hint="eastAsia" w:ascii="宋体" w:hAnsi="宋体" w:cs="宋体"/>
          <w:color w:val="auto"/>
          <w:szCs w:val="21"/>
        </w:rPr>
        <w:t>省</w:t>
      </w:r>
      <w:r>
        <w:rPr>
          <w:rFonts w:hint="eastAsia" w:ascii="宋体" w:hAnsi="宋体" w:cs="宋体"/>
          <w:color w:val="auto"/>
          <w:szCs w:val="21"/>
          <w:u w:val="single"/>
        </w:rPr>
        <w:t xml:space="preserve">            </w:t>
      </w:r>
      <w:r>
        <w:rPr>
          <w:rFonts w:hint="eastAsia" w:ascii="宋体" w:hAnsi="宋体" w:cs="宋体"/>
          <w:color w:val="auto"/>
          <w:szCs w:val="21"/>
        </w:rPr>
        <w:t>市</w:t>
      </w:r>
    </w:p>
    <w:p>
      <w:pPr>
        <w:adjustRightInd w:val="0"/>
        <w:snapToGrid w:val="0"/>
        <w:spacing w:before="50" w:line="360" w:lineRule="auto"/>
        <w:ind w:firstLine="420" w:firstLineChars="200"/>
        <w:rPr>
          <w:rFonts w:ascii="宋体" w:hAnsi="宋体" w:cs="宋体"/>
          <w:color w:val="auto"/>
          <w:szCs w:val="21"/>
        </w:rPr>
      </w:pPr>
      <w:r>
        <w:rPr>
          <w:rFonts w:hint="eastAsia" w:ascii="宋体" w:hAnsi="宋体" w:cs="宋体"/>
          <w:color w:val="auto"/>
          <w:szCs w:val="21"/>
        </w:rPr>
        <w:t>如果提供的账户信息有误或因账户信息变更未及时通知，一切后果均由本单位自行负责。</w:t>
      </w:r>
    </w:p>
    <w:p>
      <w:pPr>
        <w:adjustRightInd w:val="0"/>
        <w:snapToGrid w:val="0"/>
        <w:spacing w:before="50" w:line="360" w:lineRule="auto"/>
        <w:ind w:left="4429" w:leftChars="2109"/>
        <w:rPr>
          <w:rFonts w:ascii="宋体" w:hAnsi="宋体" w:cs="宋体"/>
          <w:color w:val="auto"/>
          <w:szCs w:val="21"/>
        </w:rPr>
      </w:pPr>
      <w:r>
        <w:rPr>
          <w:rFonts w:hint="eastAsia" w:ascii="宋体" w:hAnsi="宋体" w:cs="宋体"/>
          <w:color w:val="auto"/>
          <w:szCs w:val="21"/>
        </w:rPr>
        <w:t xml:space="preserve">                                        </w:t>
      </w:r>
    </w:p>
    <w:p>
      <w:pPr>
        <w:adjustRightInd w:val="0"/>
        <w:snapToGrid w:val="0"/>
        <w:spacing w:before="50" w:line="360" w:lineRule="auto"/>
        <w:rPr>
          <w:rFonts w:ascii="宋体" w:hAnsi="宋体" w:cs="宋体"/>
          <w:color w:val="auto"/>
          <w:szCs w:val="21"/>
        </w:rPr>
      </w:pPr>
      <w:r>
        <w:rPr>
          <w:rFonts w:hint="eastAsia" w:ascii="宋体" w:hAnsi="宋体" w:cs="宋体"/>
          <w:color w:val="auto"/>
          <w:szCs w:val="21"/>
        </w:rPr>
        <w:t xml:space="preserve">                                          供应商(盖单位章)：</w:t>
      </w:r>
    </w:p>
    <w:p>
      <w:pPr>
        <w:adjustRightInd w:val="0"/>
        <w:snapToGrid w:val="0"/>
        <w:spacing w:before="50" w:line="360" w:lineRule="auto"/>
        <w:ind w:left="4429" w:leftChars="2109"/>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before="50" w:line="360" w:lineRule="auto"/>
        <w:ind w:left="4429" w:leftChars="2109"/>
        <w:rPr>
          <w:rFonts w:ascii="宋体" w:hAnsi="宋体" w:cs="宋体"/>
          <w:color w:val="auto"/>
          <w:szCs w:val="21"/>
        </w:rPr>
      </w:pPr>
      <w:r>
        <w:rPr>
          <w:rFonts w:hint="eastAsia" w:ascii="宋体" w:hAnsi="宋体" w:cs="宋体"/>
          <w:color w:val="auto"/>
          <w:szCs w:val="21"/>
        </w:rPr>
        <w:t>移动电话：</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before="50" w:line="360" w:lineRule="auto"/>
        <w:ind w:left="4429" w:leftChars="2109"/>
        <w:rPr>
          <w:rFonts w:ascii="宋体" w:hAnsi="宋体" w:cs="宋体"/>
          <w:color w:val="auto"/>
          <w:szCs w:val="21"/>
        </w:rPr>
      </w:pPr>
      <w:r>
        <w:rPr>
          <w:rFonts w:hint="eastAsia" w:ascii="宋体" w:hAnsi="宋体" w:cs="宋体"/>
          <w:color w:val="auto"/>
          <w:szCs w:val="21"/>
        </w:rPr>
        <w:t>固定电话：</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before="50" w:line="360" w:lineRule="auto"/>
        <w:ind w:left="4429" w:leftChars="2109"/>
        <w:rPr>
          <w:rFonts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 xml:space="preserve">年 </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12"/>
        <w:adjustRightInd w:val="0"/>
        <w:snapToGrid w:val="0"/>
        <w:spacing w:beforeLines="50" w:line="360" w:lineRule="auto"/>
        <w:rPr>
          <w:rFonts w:hAnsi="宋体" w:cs="宋体"/>
          <w:color w:val="auto"/>
        </w:rPr>
      </w:pPr>
    </w:p>
    <w:p>
      <w:pPr>
        <w:pStyle w:val="12"/>
        <w:adjustRightInd w:val="0"/>
        <w:snapToGrid w:val="0"/>
        <w:spacing w:beforeLines="50" w:line="360" w:lineRule="auto"/>
        <w:rPr>
          <w:rFonts w:hAnsi="宋体" w:cs="宋体"/>
          <w:b/>
          <w:color w:val="auto"/>
          <w:sz w:val="18"/>
          <w:szCs w:val="18"/>
        </w:rPr>
      </w:pPr>
    </w:p>
    <w:p>
      <w:pPr>
        <w:pStyle w:val="12"/>
        <w:adjustRightInd w:val="0"/>
        <w:snapToGrid w:val="0"/>
        <w:spacing w:beforeLines="50" w:line="360" w:lineRule="auto"/>
        <w:rPr>
          <w:rFonts w:hAnsi="宋体" w:cs="宋体"/>
          <w:b/>
          <w:color w:val="auto"/>
          <w:sz w:val="18"/>
          <w:szCs w:val="18"/>
        </w:rPr>
      </w:pPr>
    </w:p>
    <w:p>
      <w:pPr>
        <w:pStyle w:val="12"/>
        <w:adjustRightInd w:val="0"/>
        <w:snapToGrid w:val="0"/>
        <w:spacing w:beforeLines="50" w:line="360" w:lineRule="auto"/>
        <w:rPr>
          <w:rFonts w:hAnsi="宋体" w:cs="宋体"/>
          <w:b/>
          <w:color w:val="auto"/>
          <w:sz w:val="18"/>
          <w:szCs w:val="18"/>
        </w:rPr>
      </w:pPr>
    </w:p>
    <w:p>
      <w:pPr>
        <w:pStyle w:val="12"/>
        <w:adjustRightInd w:val="0"/>
        <w:snapToGrid w:val="0"/>
        <w:spacing w:beforeLines="50" w:line="360" w:lineRule="auto"/>
        <w:rPr>
          <w:rFonts w:hAnsi="宋体" w:cs="宋体"/>
          <w:b/>
          <w:color w:val="auto"/>
          <w:sz w:val="18"/>
          <w:szCs w:val="18"/>
        </w:rPr>
      </w:pPr>
    </w:p>
    <w:p>
      <w:pPr>
        <w:tabs>
          <w:tab w:val="left" w:pos="843"/>
        </w:tabs>
        <w:jc w:val="left"/>
        <w:rPr>
          <w:rFonts w:ascii="宋体" w:hAnsi="宋体" w:cs="宋体"/>
          <w:b/>
          <w:color w:val="auto"/>
          <w:sz w:val="18"/>
          <w:szCs w:val="18"/>
        </w:rPr>
      </w:pPr>
      <w:r>
        <w:rPr>
          <w:rFonts w:hint="eastAsia" w:ascii="宋体" w:hAnsi="宋体" w:cs="宋体"/>
          <w:b/>
          <w:color w:val="auto"/>
          <w:sz w:val="18"/>
          <w:szCs w:val="18"/>
        </w:rPr>
        <w:t>说明：根据供应商递交的《投标保证金退还申请书》上的账户信息，以转账或电汇方式退还至供应商的原缴纳账户。</w:t>
      </w:r>
    </w:p>
    <w:p>
      <w:pPr>
        <w:tabs>
          <w:tab w:val="left" w:pos="843"/>
        </w:tabs>
        <w:jc w:val="left"/>
        <w:rPr>
          <w:rFonts w:ascii="宋体" w:hAnsi="宋体" w:cs="宋体"/>
          <w:b/>
          <w:color w:val="auto"/>
          <w:sz w:val="18"/>
          <w:szCs w:val="18"/>
        </w:rPr>
      </w:pPr>
      <w:r>
        <w:rPr>
          <w:rFonts w:hint="eastAsia" w:ascii="宋体" w:hAnsi="宋体" w:cs="宋体"/>
          <w:b/>
          <w:color w:val="auto"/>
          <w:sz w:val="18"/>
          <w:szCs w:val="18"/>
        </w:rPr>
        <w:t>《保证金退还申请书》需单独递交，不得装订在响应文件中；可在办理保证金交割手续时提交，也可在提交首次响应文件截止时间后补交，未交《保证金退还申请书》的供应商，将影响其保证金的正常退还。</w:t>
      </w:r>
    </w:p>
    <w:p>
      <w:pPr>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br w:type="page"/>
      </w:r>
    </w:p>
    <w:p>
      <w:pPr>
        <w:adjustRightInd w:val="0"/>
        <w:snapToGrid w:val="0"/>
        <w:spacing w:line="360" w:lineRule="auto"/>
        <w:jc w:val="center"/>
        <w:outlineLvl w:val="1"/>
        <w:rPr>
          <w:rFonts w:hint="eastAsia" w:asciiTheme="majorEastAsia" w:hAnsiTheme="majorEastAsia" w:eastAsiaTheme="majorEastAsia" w:cstheme="majorEastAsia"/>
          <w:b/>
          <w:color w:val="auto"/>
          <w:sz w:val="28"/>
          <w:szCs w:val="28"/>
        </w:rPr>
      </w:pPr>
      <w:bookmarkStart w:id="13" w:name="_Toc24434"/>
      <w:r>
        <w:rPr>
          <w:rFonts w:hint="eastAsia" w:asciiTheme="majorEastAsia" w:hAnsiTheme="majorEastAsia" w:eastAsiaTheme="majorEastAsia" w:cstheme="majorEastAsia"/>
          <w:b/>
          <w:color w:val="auto"/>
          <w:sz w:val="28"/>
          <w:szCs w:val="28"/>
        </w:rPr>
        <w:t>磋商须知正文</w:t>
      </w:r>
      <w:bookmarkEnd w:id="13"/>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textAlignment w:val="auto"/>
        <w:outlineLvl w:val="2"/>
        <w:rPr>
          <w:rFonts w:hint="eastAsia" w:ascii="宋体" w:hAnsi="宋体" w:eastAsia="宋体" w:cs="宋体"/>
          <w:b/>
          <w:color w:val="auto"/>
          <w:szCs w:val="21"/>
          <w:highlight w:val="none"/>
        </w:rPr>
      </w:pPr>
      <w:bookmarkStart w:id="14" w:name="_Toc10122"/>
      <w:bookmarkStart w:id="15" w:name="_Toc22204"/>
      <w:r>
        <w:rPr>
          <w:rFonts w:hint="eastAsia" w:ascii="宋体" w:hAnsi="宋体" w:eastAsia="宋体" w:cs="宋体"/>
          <w:b/>
          <w:color w:val="auto"/>
          <w:szCs w:val="21"/>
          <w:highlight w:val="none"/>
        </w:rPr>
        <w:t>一、说明</w:t>
      </w:r>
      <w:bookmarkEnd w:id="14"/>
      <w:bookmarkEnd w:id="15"/>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1.适用范围</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本磋商文件仅适用于磋商须知前附表(以下简称</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中所叙述的采购项目。</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2.定义</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2.1 “采购人”是指依法进行政府采购的国家机关、事业单位、团体组织。本次政府采购的采购人名称、地址、电话、联系人见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
          <w:color w:val="auto"/>
          <w:szCs w:val="21"/>
          <w:highlight w:val="none"/>
        </w:rPr>
        <w:t>磋商须知前附表。</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Cs/>
          <w:color w:val="auto"/>
          <w:kern w:val="36"/>
          <w:szCs w:val="21"/>
          <w:highlight w:val="none"/>
          <w:lang w:eastAsia="zh-CN"/>
        </w:rPr>
      </w:pPr>
      <w:r>
        <w:rPr>
          <w:rFonts w:hint="eastAsia" w:ascii="宋体" w:hAnsi="宋体" w:eastAsia="宋体" w:cs="宋体"/>
          <w:color w:val="auto"/>
          <w:szCs w:val="21"/>
          <w:highlight w:val="none"/>
        </w:rPr>
        <w:t>2.3 “供应商”是指响应磋商文件要求、参加竞争性磋商采购的法人、其他组织或者自然人。本次政府采购项目</w:t>
      </w:r>
      <w:r>
        <w:rPr>
          <w:rFonts w:hint="eastAsia" w:ascii="宋体" w:hAnsi="宋体" w:eastAsia="宋体" w:cs="宋体"/>
          <w:color w:val="auto"/>
          <w:kern w:val="0"/>
          <w:szCs w:val="21"/>
          <w:highlight w:val="none"/>
        </w:rPr>
        <w:t>邀请</w:t>
      </w:r>
      <w:r>
        <w:rPr>
          <w:rFonts w:hint="eastAsia" w:ascii="宋体" w:hAnsi="宋体" w:eastAsia="宋体" w:cs="宋体"/>
          <w:color w:val="auto"/>
          <w:szCs w:val="21"/>
          <w:highlight w:val="none"/>
        </w:rPr>
        <w:t>的</w:t>
      </w:r>
      <w:r>
        <w:rPr>
          <w:rFonts w:hint="eastAsia" w:ascii="宋体" w:hAnsi="宋体" w:eastAsia="宋体" w:cs="宋体"/>
          <w:color w:val="auto"/>
          <w:kern w:val="0"/>
          <w:szCs w:val="21"/>
          <w:highlight w:val="none"/>
        </w:rPr>
        <w:t>供应商通过</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所述方式</w:t>
      </w:r>
      <w:r>
        <w:rPr>
          <w:rFonts w:hint="eastAsia" w:ascii="宋体" w:hAnsi="宋体" w:cs="宋体"/>
          <w:color w:val="auto"/>
          <w:kern w:val="0"/>
          <w:szCs w:val="21"/>
          <w:highlight w:val="none"/>
          <w:lang w:eastAsia="zh-CN"/>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2.4 “磋商小组”是指</w:t>
      </w:r>
      <w:r>
        <w:rPr>
          <w:rFonts w:hint="eastAsia" w:ascii="宋体" w:hAnsi="宋体" w:eastAsia="宋体" w:cs="宋体"/>
          <w:color w:val="auto"/>
          <w:kern w:val="0"/>
          <w:szCs w:val="21"/>
          <w:highlight w:val="none"/>
        </w:rPr>
        <w:t>依据《中华人民共和国政府采购法》和财政部</w:t>
      </w:r>
      <w:r>
        <w:rPr>
          <w:rFonts w:hint="eastAsia" w:ascii="宋体" w:hAnsi="宋体" w:eastAsia="宋体" w:cs="宋体"/>
          <w:bCs/>
          <w:color w:val="auto"/>
          <w:kern w:val="36"/>
          <w:szCs w:val="21"/>
          <w:highlight w:val="none"/>
        </w:rPr>
        <w:t>《</w:t>
      </w:r>
      <w:r>
        <w:rPr>
          <w:rFonts w:hint="eastAsia" w:ascii="宋体" w:hAnsi="宋体" w:eastAsia="宋体" w:cs="宋体"/>
          <w:color w:val="auto"/>
          <w:kern w:val="0"/>
          <w:szCs w:val="21"/>
          <w:highlight w:val="none"/>
        </w:rPr>
        <w:t>政府采购竞争性磋商采购方式管理暂行办法</w:t>
      </w:r>
      <w:r>
        <w:rPr>
          <w:rFonts w:hint="eastAsia" w:ascii="宋体" w:hAnsi="宋体" w:eastAsia="宋体" w:cs="宋体"/>
          <w:bCs/>
          <w:color w:val="auto"/>
          <w:kern w:val="36"/>
          <w:szCs w:val="21"/>
          <w:highlight w:val="none"/>
        </w:rPr>
        <w:t>》有关规定组建，依法依规</w:t>
      </w:r>
      <w:r>
        <w:rPr>
          <w:rFonts w:hint="eastAsia" w:ascii="宋体" w:hAnsi="宋体" w:eastAsia="宋体" w:cs="宋体"/>
          <w:color w:val="auto"/>
          <w:kern w:val="0"/>
          <w:szCs w:val="21"/>
          <w:highlight w:val="none"/>
        </w:rPr>
        <w:t>履行其职责和义务的机构。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“货物”是指各种形态和种类的物品，包括原材料、燃料、设备、产品等，详见《政府采购品目分类目录》(</w:t>
      </w:r>
      <w:r>
        <w:rPr>
          <w:rStyle w:val="23"/>
          <w:rFonts w:hint="eastAsia" w:ascii="宋体" w:hAnsi="宋体" w:eastAsia="宋体" w:cs="宋体"/>
          <w:b w:val="0"/>
          <w:color w:val="auto"/>
          <w:szCs w:val="21"/>
          <w:highlight w:val="none"/>
        </w:rPr>
        <w:t>财库[2013]189号</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 “工程”是指建设工程，包括建筑物和构筑物的新建、改建、扩建、装修、拆除、修缮等，详见《政府采购品目分类目录》(</w:t>
      </w:r>
      <w:r>
        <w:rPr>
          <w:rStyle w:val="23"/>
          <w:rFonts w:hint="eastAsia" w:ascii="宋体" w:hAnsi="宋体" w:eastAsia="宋体" w:cs="宋体"/>
          <w:b w:val="0"/>
          <w:color w:val="auto"/>
          <w:szCs w:val="21"/>
          <w:highlight w:val="none"/>
        </w:rPr>
        <w:t>财库[2013]189号</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 “服务”是指除货物和工程以外的其他政府采购对象，详见《政府采购品目分类目录》(</w:t>
      </w:r>
      <w:r>
        <w:rPr>
          <w:rStyle w:val="23"/>
          <w:rFonts w:hint="eastAsia" w:ascii="宋体" w:hAnsi="宋体" w:eastAsia="宋体" w:cs="宋体"/>
          <w:b w:val="0"/>
          <w:color w:val="auto"/>
          <w:szCs w:val="21"/>
          <w:highlight w:val="none"/>
        </w:rPr>
        <w:t>财库[2013]189号</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2.8 </w:t>
      </w:r>
      <w:r>
        <w:rPr>
          <w:rFonts w:hint="eastAsia" w:ascii="宋体" w:hAnsi="宋体" w:eastAsia="宋体" w:cs="宋体"/>
          <w:color w:val="auto"/>
          <w:kern w:val="0"/>
          <w:szCs w:val="21"/>
          <w:highlight w:val="none"/>
        </w:rPr>
        <w:t>“进口产品”是指符合《政府采购进口产品管理办法》（财库〔2007〕119号）和《关于政府采购进口产品管理有关问题的通知》（财办库〔2008〕248号）文件规定的产品。除</w:t>
      </w:r>
      <w:r>
        <w:rPr>
          <w:rFonts w:hint="eastAsia" w:ascii="宋体" w:hAnsi="宋体" w:eastAsia="宋体"/>
          <w:b/>
          <w:color w:val="auto"/>
          <w:szCs w:val="21"/>
          <w:highlight w:val="none"/>
        </w:rPr>
        <w:t>【</w:t>
      </w:r>
      <w:r>
        <w:rPr>
          <w:rFonts w:hint="eastAsia" w:ascii="宋体" w:hAnsi="宋体" w:eastAsia="宋体" w:cs="宋体"/>
          <w:b/>
          <w:color w:val="auto"/>
          <w:szCs w:val="21"/>
          <w:highlight w:val="none"/>
        </w:rPr>
        <w:t>磋商须知前附表</w:t>
      </w:r>
      <w:r>
        <w:rPr>
          <w:rFonts w:hint="eastAsia" w:ascii="宋体" w:hAnsi="宋体" w:eastAsia="宋体"/>
          <w:b/>
          <w:color w:val="auto"/>
          <w:szCs w:val="21"/>
          <w:highlight w:val="none"/>
        </w:rPr>
        <w:t>】</w:t>
      </w:r>
      <w:r>
        <w:rPr>
          <w:rFonts w:hint="eastAsia" w:ascii="宋体" w:hAnsi="宋体" w:eastAsia="宋体" w:cs="宋体"/>
          <w:color w:val="auto"/>
          <w:kern w:val="0"/>
          <w:szCs w:val="21"/>
          <w:highlight w:val="none"/>
        </w:rPr>
        <w:t>另有规定外，采购项目</w:t>
      </w:r>
      <w:r>
        <w:rPr>
          <w:rFonts w:hint="eastAsia" w:ascii="宋体" w:hAnsi="宋体" w:eastAsia="宋体" w:cs="宋体"/>
          <w:b/>
          <w:color w:val="auto"/>
          <w:kern w:val="0"/>
          <w:szCs w:val="21"/>
          <w:highlight w:val="none"/>
        </w:rPr>
        <w:t>拒绝进口产品参加投标</w:t>
      </w:r>
      <w:r>
        <w:rPr>
          <w:rFonts w:hint="eastAsia" w:ascii="宋体" w:hAnsi="宋体" w:eastAsia="宋体" w:cs="宋体"/>
          <w:color w:val="auto"/>
          <w:kern w:val="0"/>
          <w:szCs w:val="21"/>
          <w:highlight w:val="none"/>
        </w:rPr>
        <w:t>。本款规定同意购买进口产品的，不限制满足招标文件要求的国内产品参与投标竞争。</w:t>
      </w:r>
    </w:p>
    <w:p>
      <w:pPr>
        <w:shd w:val="clear" w:color="auto" w:fill="auto"/>
        <w:adjustRightInd w:val="0"/>
        <w:snapToGrid w:val="0"/>
        <w:spacing w:beforeLines="50" w:line="360" w:lineRule="auto"/>
        <w:ind w:firstLine="422" w:firstLineChars="200"/>
        <w:jc w:val="left"/>
        <w:rPr>
          <w:rFonts w:ascii="宋体" w:hAnsi="宋体" w:eastAsia="宋体"/>
          <w:color w:val="auto"/>
          <w:szCs w:val="21"/>
          <w:highlight w:val="none"/>
        </w:rPr>
      </w:pPr>
      <w:r>
        <w:rPr>
          <w:rFonts w:hint="eastAsia" w:ascii="宋体" w:hAnsi="宋体" w:eastAsia="宋体"/>
          <w:b/>
          <w:color w:val="auto"/>
          <w:szCs w:val="21"/>
          <w:highlight w:val="none"/>
          <w:lang w:val="en-US" w:eastAsia="zh-CN"/>
        </w:rPr>
        <w:t>2.9</w:t>
      </w:r>
      <w:r>
        <w:rPr>
          <w:rFonts w:hint="eastAsia" w:ascii="宋体" w:hAnsi="宋体" w:eastAsia="宋体"/>
          <w:b/>
          <w:color w:val="auto"/>
          <w:szCs w:val="21"/>
          <w:highlight w:val="none"/>
        </w:rPr>
        <w:t>【</w:t>
      </w:r>
      <w:r>
        <w:rPr>
          <w:rFonts w:hint="eastAsia" w:ascii="宋体" w:hAnsi="宋体" w:eastAsia="宋体" w:cs="宋体"/>
          <w:b/>
          <w:color w:val="auto"/>
          <w:szCs w:val="21"/>
          <w:highlight w:val="none"/>
        </w:rPr>
        <w:t>磋商须知前附表</w:t>
      </w:r>
      <w:r>
        <w:rPr>
          <w:rFonts w:hint="eastAsia" w:ascii="宋体" w:hAnsi="宋体" w:eastAsia="宋体"/>
          <w:b/>
          <w:color w:val="auto"/>
          <w:szCs w:val="21"/>
          <w:highlight w:val="none"/>
        </w:rPr>
        <w:t>】</w:t>
      </w:r>
      <w:r>
        <w:rPr>
          <w:rFonts w:hint="eastAsia" w:ascii="宋体" w:hAnsi="宋体" w:eastAsia="宋体"/>
          <w:color w:val="auto"/>
          <w:szCs w:val="21"/>
          <w:highlight w:val="none"/>
        </w:rPr>
        <w:t>规定采购项目专门面向中小企业采购的，如</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为非中小企业，其</w:t>
      </w:r>
      <w:r>
        <w:rPr>
          <w:rFonts w:hint="eastAsia" w:ascii="宋体" w:hAnsi="宋体" w:eastAsia="宋体"/>
          <w:b/>
          <w:color w:val="auto"/>
          <w:szCs w:val="21"/>
          <w:highlight w:val="none"/>
          <w:lang w:eastAsia="zh-CN"/>
        </w:rPr>
        <w:t>响应</w:t>
      </w:r>
      <w:r>
        <w:rPr>
          <w:rFonts w:hint="eastAsia" w:ascii="宋体" w:hAnsi="宋体" w:eastAsia="宋体"/>
          <w:b/>
          <w:color w:val="auto"/>
          <w:szCs w:val="21"/>
          <w:highlight w:val="none"/>
        </w:rPr>
        <w:t>无效</w:t>
      </w:r>
      <w:r>
        <w:rPr>
          <w:rFonts w:hint="eastAsia" w:ascii="宋体" w:hAnsi="宋体" w:eastAsia="宋体"/>
          <w:color w:val="auto"/>
          <w:szCs w:val="21"/>
          <w:highlight w:val="none"/>
        </w:rPr>
        <w:t>。</w:t>
      </w:r>
    </w:p>
    <w:p>
      <w:pPr>
        <w:pStyle w:val="11"/>
        <w:shd w:val="clear" w:color="auto" w:fill="auto"/>
        <w:rPr>
          <w:rFonts w:hint="eastAsia"/>
          <w:color w:val="auto"/>
          <w:highlight w:val="none"/>
        </w:rPr>
      </w:pP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3.供应商的资格要求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供应商应当符合</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中规定的下列资格条件要求；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（l）</w:t>
      </w:r>
      <w:r>
        <w:rPr>
          <w:rFonts w:hint="eastAsia" w:ascii="宋体" w:hAnsi="宋体" w:eastAsia="宋体" w:cs="宋体"/>
          <w:color w:val="auto"/>
          <w:kern w:val="0"/>
          <w:szCs w:val="21"/>
          <w:highlight w:val="none"/>
          <w:lang w:val="zh-CN"/>
        </w:rPr>
        <w:t>《政府采购法》第二十二条第一款规定的</w:t>
      </w:r>
      <w:r>
        <w:rPr>
          <w:rFonts w:hint="eastAsia" w:ascii="宋体" w:hAnsi="宋体" w:eastAsia="宋体" w:cs="宋体"/>
          <w:color w:val="auto"/>
          <w:szCs w:val="21"/>
          <w:highlight w:val="none"/>
        </w:rPr>
        <w:t>供应商基本资格条件</w:t>
      </w:r>
      <w:r>
        <w:rPr>
          <w:rFonts w:hint="eastAsia" w:ascii="宋体" w:hAnsi="宋体" w:eastAsia="宋体" w:cs="宋体"/>
          <w:color w:val="auto"/>
          <w:kern w:val="0"/>
          <w:szCs w:val="21"/>
          <w:highlight w:val="none"/>
          <w:lang w:val="zh-CN"/>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磋商文件</w:t>
      </w:r>
      <w:r>
        <w:rPr>
          <w:rFonts w:hint="eastAsia" w:ascii="宋体" w:hAnsi="宋体" w:eastAsia="宋体" w:cs="宋体"/>
          <w:color w:val="auto"/>
          <w:kern w:val="0"/>
          <w:szCs w:val="21"/>
          <w:highlight w:val="none"/>
          <w:lang w:val="zh-CN"/>
        </w:rPr>
        <w:t>规定的</w:t>
      </w:r>
      <w:r>
        <w:rPr>
          <w:rFonts w:hint="eastAsia" w:ascii="宋体" w:hAnsi="宋体" w:eastAsia="宋体" w:cs="宋体"/>
          <w:color w:val="auto"/>
          <w:szCs w:val="21"/>
          <w:highlight w:val="none"/>
        </w:rPr>
        <w:t xml:space="preserve">供应商特定资格条件。 </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供应商不得存在下列情形之一：</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（l）与采购人、采购代理机构存在</w:t>
      </w:r>
      <w:r>
        <w:rPr>
          <w:rFonts w:hint="eastAsia" w:ascii="宋体" w:hAnsi="宋体" w:eastAsia="宋体" w:cs="宋体"/>
          <w:bCs/>
          <w:color w:val="auto"/>
          <w:szCs w:val="21"/>
          <w:highlight w:val="none"/>
        </w:rPr>
        <w:t>隶属关系或者其他利害关系</w:t>
      </w:r>
      <w:r>
        <w:rPr>
          <w:rFonts w:hint="eastAsia" w:ascii="宋体" w:hAnsi="宋体" w:eastAsia="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（2）与其他供应商的法定代表人（或者负责人）为同一人，或者与其他供应商存在控股、关联关系。</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受到刑事处罚，或者受到责令停产停业、暂扣或者吊销许可证、暂扣或者吊销执照等情形之一的行政处罚，或者存在</w:t>
      </w:r>
      <w:r>
        <w:rPr>
          <w:rFonts w:hint="eastAsia" w:ascii="宋体" w:hAnsi="宋体" w:eastAsia="宋体" w:cs="宋体"/>
          <w:color w:val="auto"/>
          <w:szCs w:val="21"/>
          <w:highlight w:val="none"/>
        </w:rPr>
        <w:t>财政部门认定的其他重大违法记录。</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4.参与磋商的费用 </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无论磋商的结果如何，供应商应自行承担所有与竞争性磋商采购活动有关的全部费用。</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 w:val="21"/>
          <w:highlight w:val="none"/>
        </w:rPr>
      </w:pPr>
      <w:r>
        <w:rPr>
          <w:rFonts w:hint="eastAsia" w:ascii="宋体" w:hAnsi="宋体" w:eastAsia="宋体" w:cs="宋体"/>
          <w:b/>
          <w:color w:val="auto"/>
          <w:sz w:val="21"/>
          <w:highlight w:val="none"/>
        </w:rPr>
        <w:t>5．</w:t>
      </w:r>
      <w:r>
        <w:rPr>
          <w:rFonts w:hint="eastAsia" w:ascii="宋体" w:hAnsi="宋体" w:eastAsia="宋体" w:cs="宋体"/>
          <w:b/>
          <w:bCs/>
          <w:color w:val="auto"/>
          <w:sz w:val="21"/>
          <w:highlight w:val="none"/>
        </w:rPr>
        <w:t>授权委托</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5.1供应商代表为供应商法定代表人的，应持有法定代表人身份证明。供应商代表不是供应商法定代表人的，应持有法定代表人授权书，并附法定代表人身份证明。</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6．联合体形式</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6.1除</w:t>
      </w:r>
      <w:r>
        <w:rPr>
          <w:rFonts w:hint="eastAsia" w:ascii="宋体" w:hAnsi="宋体" w:eastAsia="宋体" w:cs="宋体"/>
          <w:b/>
          <w:color w:val="auto"/>
          <w:sz w:val="21"/>
          <w:highlight w:val="none"/>
        </w:rPr>
        <w:t>磋商须知前附表</w:t>
      </w:r>
      <w:r>
        <w:rPr>
          <w:rFonts w:hint="eastAsia" w:ascii="宋体" w:hAnsi="宋体" w:eastAsia="宋体" w:cs="宋体"/>
          <w:color w:val="auto"/>
          <w:sz w:val="21"/>
          <w:highlight w:val="none"/>
        </w:rPr>
        <w:t>中另有规定，本次磋商采购不接受为联合体形式的供应商。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6.2供应商为联合体形式的，除应符合本章第3条规定外，还应遵守以下规定：</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（l）联合体各方必须签订联合体协议书，明确联合体牵头人和各方的义务、工作、合同工作量比例；</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（2）联合体各方均应当符合本章第3.1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规定的供应商基本资格条件；</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中另有规定，联合体各方中至少有一方应当符合本章第3.1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规定的供应商特定资格条件；</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lang w:val="zh-CN"/>
        </w:rPr>
        <w:t>联合体各方不得再单独或与其他供应商组成新的联合体参加同一项目的采购活动。</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7.现场勘察</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7.1供应商应按</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中规定对采购项目现场和周围环境的现场考察。</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7.2勘察现场的费用由供应商自己承担，勘察期间所发生的人身伤害及财产损失由供应商自己负责。</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7.3采购人不对供应商据此而做出的推论、理解和结论负责。一旦成交，供应商不得以任何借口，提出额外补偿，或延长合同期限的要求。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8.采购进口产品</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8.1除</w:t>
      </w:r>
      <w:r>
        <w:rPr>
          <w:rFonts w:hint="eastAsia" w:ascii="宋体" w:hAnsi="宋体" w:cs="宋体"/>
          <w:b/>
          <w:color w:val="auto"/>
          <w:szCs w:val="21"/>
          <w:highlight w:val="none"/>
          <w:lang w:eastAsia="zh-CN"/>
        </w:rPr>
        <w:t>磋商须知前附表</w:t>
      </w:r>
      <w:r>
        <w:rPr>
          <w:rFonts w:hint="eastAsia" w:ascii="宋体" w:hAnsi="宋体" w:eastAsia="宋体" w:cs="宋体"/>
          <w:color w:val="auto"/>
          <w:szCs w:val="21"/>
          <w:highlight w:val="none"/>
        </w:rPr>
        <w:t>另有规定外，本项目</w:t>
      </w:r>
      <w:r>
        <w:rPr>
          <w:rFonts w:hint="eastAsia" w:ascii="宋体" w:hAnsi="宋体" w:eastAsia="宋体" w:cs="宋体"/>
          <w:color w:val="auto"/>
          <w:kern w:val="0"/>
          <w:szCs w:val="21"/>
          <w:highlight w:val="none"/>
        </w:rPr>
        <w:t>拒绝进口产品参加</w:t>
      </w:r>
      <w:r>
        <w:rPr>
          <w:rFonts w:hint="eastAsia" w:ascii="宋体" w:hAnsi="宋体" w:eastAsia="宋体" w:cs="宋体"/>
          <w:color w:val="auto"/>
          <w:szCs w:val="21"/>
          <w:highlight w:val="none"/>
        </w:rPr>
        <w:t>竞争性磋商采购活动</w:t>
      </w:r>
      <w:r>
        <w:rPr>
          <w:rFonts w:hint="eastAsia" w:ascii="宋体" w:hAnsi="宋体" w:eastAsia="宋体" w:cs="宋体"/>
          <w:color w:val="auto"/>
          <w:kern w:val="0"/>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r>
        <w:rPr>
          <w:rFonts w:hint="eastAsia" w:ascii="宋体" w:hAnsi="宋体" w:eastAsia="宋体" w:cs="宋体"/>
          <w:color w:val="auto"/>
          <w:szCs w:val="21"/>
          <w:highlight w:val="none"/>
        </w:rPr>
        <w:t>本章第8.1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w:t>
      </w:r>
      <w:r>
        <w:rPr>
          <w:rFonts w:hint="eastAsia" w:ascii="宋体" w:hAnsi="宋体" w:eastAsia="宋体" w:cs="宋体"/>
          <w:color w:val="auto"/>
          <w:kern w:val="0"/>
          <w:szCs w:val="21"/>
          <w:highlight w:val="none"/>
        </w:rPr>
        <w:t>同意购买进口产品的，</w:t>
      </w:r>
      <w:r>
        <w:rPr>
          <w:rFonts w:hint="eastAsia" w:ascii="宋体" w:hAnsi="宋体" w:eastAsia="宋体" w:cs="宋体"/>
          <w:color w:val="auto"/>
          <w:szCs w:val="21"/>
          <w:highlight w:val="none"/>
        </w:rPr>
        <w:t>本项目</w:t>
      </w:r>
      <w:r>
        <w:rPr>
          <w:rFonts w:hint="eastAsia" w:ascii="宋体" w:hAnsi="宋体" w:eastAsia="宋体" w:cs="宋体"/>
          <w:color w:val="auto"/>
          <w:kern w:val="0"/>
          <w:szCs w:val="21"/>
          <w:highlight w:val="none"/>
          <w:lang w:val="zh-CN"/>
        </w:rPr>
        <w:t>采购活动</w:t>
      </w:r>
      <w:r>
        <w:rPr>
          <w:rFonts w:hint="eastAsia" w:ascii="宋体" w:hAnsi="宋体" w:eastAsia="宋体" w:cs="宋体"/>
          <w:color w:val="auto"/>
          <w:kern w:val="0"/>
          <w:szCs w:val="21"/>
          <w:highlight w:val="none"/>
        </w:rPr>
        <w:t>不限制满足</w:t>
      </w:r>
      <w:r>
        <w:rPr>
          <w:rFonts w:hint="eastAsia" w:ascii="宋体" w:hAnsi="宋体" w:eastAsia="宋体" w:cs="宋体"/>
          <w:color w:val="auto"/>
          <w:szCs w:val="21"/>
          <w:highlight w:val="none"/>
        </w:rPr>
        <w:t>磋商文件要求</w:t>
      </w:r>
      <w:r>
        <w:rPr>
          <w:rFonts w:hint="eastAsia" w:ascii="宋体" w:hAnsi="宋体" w:eastAsia="宋体" w:cs="宋体"/>
          <w:color w:val="auto"/>
          <w:kern w:val="0"/>
          <w:szCs w:val="21"/>
          <w:highlight w:val="none"/>
        </w:rPr>
        <w:t>的国内产品参与</w:t>
      </w:r>
      <w:r>
        <w:rPr>
          <w:rFonts w:hint="eastAsia" w:ascii="宋体" w:hAnsi="宋体" w:eastAsia="宋体" w:cs="宋体"/>
          <w:color w:val="auto"/>
          <w:szCs w:val="21"/>
          <w:highlight w:val="none"/>
        </w:rPr>
        <w:t>竞争性磋商</w:t>
      </w:r>
      <w:r>
        <w:rPr>
          <w:rFonts w:hint="eastAsia" w:ascii="宋体" w:hAnsi="宋体" w:eastAsia="宋体" w:cs="宋体"/>
          <w:color w:val="auto"/>
          <w:kern w:val="0"/>
          <w:szCs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hanging="793" w:hangingChars="376"/>
        <w:textAlignment w:val="auto"/>
        <w:outlineLvl w:val="2"/>
        <w:rPr>
          <w:rFonts w:hint="eastAsia" w:ascii="宋体" w:hAnsi="宋体" w:eastAsia="宋体" w:cs="宋体"/>
          <w:b/>
          <w:color w:val="auto"/>
          <w:szCs w:val="21"/>
          <w:highlight w:val="none"/>
        </w:rPr>
      </w:pPr>
      <w:bookmarkStart w:id="16" w:name="_Toc18280"/>
      <w:bookmarkStart w:id="17" w:name="_Toc3727"/>
      <w:r>
        <w:rPr>
          <w:rFonts w:hint="eastAsia" w:ascii="宋体" w:hAnsi="宋体" w:eastAsia="宋体" w:cs="宋体"/>
          <w:b/>
          <w:color w:val="auto"/>
          <w:szCs w:val="21"/>
          <w:highlight w:val="none"/>
        </w:rPr>
        <w:t>二、磋商文件</w:t>
      </w:r>
      <w:bookmarkEnd w:id="16"/>
      <w:bookmarkEnd w:id="17"/>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eastAsia="宋体" w:cs="宋体"/>
          <w:b/>
          <w:bCs/>
          <w:color w:val="auto"/>
          <w:szCs w:val="21"/>
          <w:highlight w:val="none"/>
        </w:rPr>
        <w:t>．磋商文件的组成</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color w:val="auto"/>
          <w:sz w:val="21"/>
          <w:highlight w:val="none"/>
          <w:lang w:val="en-US" w:eastAsia="zh-CN"/>
        </w:rPr>
        <w:t>9</w:t>
      </w:r>
      <w:r>
        <w:rPr>
          <w:rFonts w:hint="eastAsia" w:ascii="宋体" w:hAnsi="宋体" w:eastAsia="宋体" w:cs="宋体"/>
          <w:color w:val="auto"/>
          <w:sz w:val="21"/>
          <w:highlight w:val="none"/>
        </w:rPr>
        <w:t>.1 磋商文件由下列文件组成：</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 xml:space="preserve">第一章 </w:t>
      </w:r>
      <w:r>
        <w:rPr>
          <w:rFonts w:hint="eastAsia" w:hAnsi="宋体" w:cs="宋体"/>
          <w:color w:val="auto"/>
          <w:sz w:val="21"/>
          <w:highlight w:val="none"/>
          <w:lang w:eastAsia="zh-CN"/>
        </w:rPr>
        <w:t>磋商邀请公告（</w:t>
      </w:r>
      <w:r>
        <w:rPr>
          <w:rFonts w:hint="eastAsia" w:ascii="宋体" w:hAnsi="宋体" w:eastAsia="宋体" w:cs="宋体"/>
          <w:color w:val="auto"/>
          <w:sz w:val="21"/>
          <w:highlight w:val="none"/>
        </w:rPr>
        <w:t>磋商通知</w:t>
      </w:r>
      <w:r>
        <w:rPr>
          <w:rFonts w:hint="eastAsia" w:hAnsi="宋体" w:cs="宋体"/>
          <w:color w:val="auto"/>
          <w:sz w:val="21"/>
          <w:highlight w:val="none"/>
          <w:lang w:eastAsia="zh-CN"/>
        </w:rPr>
        <w:t>）</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第二章 磋商须知</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rPr>
        <w:t xml:space="preserve">第三章 </w:t>
      </w:r>
      <w:r>
        <w:rPr>
          <w:rFonts w:hint="eastAsia" w:hAnsi="宋体" w:cs="宋体"/>
          <w:color w:val="auto"/>
          <w:sz w:val="21"/>
          <w:highlight w:val="none"/>
          <w:lang w:eastAsia="zh-CN"/>
        </w:rPr>
        <w:t>资格审查</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第四章评审方法及标准</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w:t>
      </w:r>
      <w:r>
        <w:rPr>
          <w:rFonts w:hint="eastAsia" w:hAnsi="宋体" w:cs="宋体"/>
          <w:color w:val="auto"/>
          <w:sz w:val="21"/>
          <w:highlight w:val="none"/>
          <w:lang w:eastAsia="zh-CN"/>
        </w:rPr>
        <w:t>五</w:t>
      </w:r>
      <w:r>
        <w:rPr>
          <w:rFonts w:hint="eastAsia" w:ascii="宋体" w:hAnsi="宋体" w:eastAsia="宋体" w:cs="宋体"/>
          <w:color w:val="auto"/>
          <w:sz w:val="21"/>
          <w:highlight w:val="none"/>
        </w:rPr>
        <w:t>章 政府采购合同格式条款</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w:t>
      </w:r>
      <w:r>
        <w:rPr>
          <w:rFonts w:hint="eastAsia" w:hAnsi="宋体" w:cs="宋体"/>
          <w:color w:val="auto"/>
          <w:sz w:val="21"/>
          <w:highlight w:val="none"/>
          <w:lang w:eastAsia="zh-CN"/>
        </w:rPr>
        <w:t>六</w:t>
      </w:r>
      <w:r>
        <w:rPr>
          <w:rFonts w:hint="eastAsia" w:ascii="宋体" w:hAnsi="宋体" w:eastAsia="宋体" w:cs="宋体"/>
          <w:color w:val="auto"/>
          <w:sz w:val="21"/>
          <w:highlight w:val="none"/>
        </w:rPr>
        <w:t>章 采购需求</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第</w:t>
      </w:r>
      <w:r>
        <w:rPr>
          <w:rFonts w:hint="eastAsia" w:hAnsi="宋体" w:cs="宋体"/>
          <w:color w:val="auto"/>
          <w:sz w:val="21"/>
          <w:highlight w:val="none"/>
          <w:lang w:eastAsia="zh-CN"/>
        </w:rPr>
        <w:t>七</w:t>
      </w:r>
      <w:r>
        <w:rPr>
          <w:rFonts w:hint="eastAsia" w:ascii="宋体" w:hAnsi="宋体" w:eastAsia="宋体" w:cs="宋体"/>
          <w:color w:val="auto"/>
          <w:sz w:val="21"/>
          <w:highlight w:val="none"/>
        </w:rPr>
        <w:t>章 响应文件组成</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color w:val="auto"/>
          <w:sz w:val="21"/>
          <w:highlight w:val="none"/>
          <w:lang w:val="en-US" w:eastAsia="zh-CN"/>
        </w:rPr>
        <w:t>9</w:t>
      </w:r>
      <w:r>
        <w:rPr>
          <w:rFonts w:hint="eastAsia" w:ascii="宋体" w:hAnsi="宋体" w:eastAsia="宋体" w:cs="宋体"/>
          <w:color w:val="auto"/>
          <w:sz w:val="21"/>
          <w:highlight w:val="none"/>
        </w:rPr>
        <w:t>.2</w:t>
      </w:r>
      <w:r>
        <w:rPr>
          <w:rFonts w:hint="eastAsia" w:ascii="宋体" w:hAnsi="宋体" w:eastAsia="宋体" w:cs="宋体"/>
          <w:bCs/>
          <w:color w:val="auto"/>
          <w:sz w:val="21"/>
          <w:highlight w:val="none"/>
        </w:rPr>
        <w:t>本章第</w:t>
      </w:r>
      <w:r>
        <w:rPr>
          <w:rFonts w:hint="eastAsia" w:hAnsi="宋体" w:cs="宋体"/>
          <w:bCs/>
          <w:color w:val="auto"/>
          <w:sz w:val="21"/>
          <w:highlight w:val="none"/>
          <w:lang w:eastAsia="zh-CN"/>
        </w:rPr>
        <w:t>10.1</w:t>
      </w:r>
      <w:r>
        <w:rPr>
          <w:rFonts w:hint="eastAsia" w:ascii="宋体" w:hAnsi="宋体" w:eastAsia="宋体" w:cs="宋体"/>
          <w:color w:val="auto"/>
          <w:sz w:val="21"/>
          <w:highlight w:val="none"/>
          <w:lang w:val="zh-CN"/>
        </w:rPr>
        <w:t>款</w:t>
      </w:r>
      <w:r>
        <w:rPr>
          <w:rFonts w:hint="eastAsia" w:ascii="宋体" w:hAnsi="宋体" w:eastAsia="宋体" w:cs="宋体"/>
          <w:bCs/>
          <w:color w:val="auto"/>
          <w:sz w:val="21"/>
          <w:highlight w:val="none"/>
        </w:rPr>
        <w:t>规定的</w:t>
      </w:r>
      <w:r>
        <w:rPr>
          <w:rFonts w:hint="eastAsia" w:ascii="宋体" w:hAnsi="宋体" w:eastAsia="宋体" w:cs="宋体"/>
          <w:color w:val="auto"/>
          <w:sz w:val="21"/>
          <w:highlight w:val="none"/>
        </w:rPr>
        <w:t>提交首次响应文件截止时间前对磋商文件澄清或者修改内容，为磋商文件的组成部分。</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color w:val="auto"/>
          <w:sz w:val="21"/>
          <w:highlight w:val="none"/>
          <w:lang w:val="en-US" w:eastAsia="zh-CN"/>
        </w:rPr>
        <w:t>9</w:t>
      </w:r>
      <w:r>
        <w:rPr>
          <w:rFonts w:hint="eastAsia" w:ascii="宋体" w:hAnsi="宋体" w:eastAsia="宋体" w:cs="宋体"/>
          <w:color w:val="auto"/>
          <w:sz w:val="21"/>
          <w:highlight w:val="none"/>
        </w:rPr>
        <w:t>.3磋商小组根据与供应商磋商情况可能实质性变动的内容，包括采购需求中的技术、服务要求以及合同条款，在</w:t>
      </w:r>
      <w:r>
        <w:rPr>
          <w:rFonts w:hint="eastAsia" w:ascii="宋体" w:hAnsi="宋体" w:eastAsia="宋体" w:cs="宋体"/>
          <w:b/>
          <w:color w:val="auto"/>
          <w:sz w:val="21"/>
          <w:highlight w:val="none"/>
        </w:rPr>
        <w:t>磋商须知前附表</w:t>
      </w:r>
      <w:r>
        <w:rPr>
          <w:rFonts w:hint="eastAsia" w:ascii="宋体" w:hAnsi="宋体" w:eastAsia="宋体" w:cs="宋体"/>
          <w:color w:val="auto"/>
          <w:sz w:val="21"/>
          <w:highlight w:val="none"/>
        </w:rPr>
        <w:t>中明确。</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.4供应商应仔细阅读</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文件的全部内容，按照</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文件要求编制响应文件。任何对</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文件的忽略或误解不能作为响应文件存在缺陷或瑕疵的理由，其风险由供应商承担。</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color w:val="auto"/>
          <w:sz w:val="21"/>
          <w:highlight w:val="none"/>
        </w:rPr>
      </w:pPr>
      <w:r>
        <w:rPr>
          <w:rFonts w:hint="eastAsia" w:ascii="宋体" w:hAnsi="宋体" w:eastAsia="宋体" w:cs="宋体"/>
          <w:b/>
          <w:color w:val="auto"/>
          <w:sz w:val="21"/>
          <w:highlight w:val="none"/>
        </w:rPr>
        <w:t>1</w:t>
      </w:r>
      <w:r>
        <w:rPr>
          <w:rFonts w:hint="eastAsia" w:hAnsi="宋体" w:cs="宋体"/>
          <w:b/>
          <w:color w:val="auto"/>
          <w:sz w:val="21"/>
          <w:highlight w:val="none"/>
          <w:lang w:val="en-US" w:eastAsia="zh-CN"/>
        </w:rPr>
        <w:t>0</w:t>
      </w:r>
      <w:r>
        <w:rPr>
          <w:rFonts w:hint="eastAsia" w:ascii="宋体" w:hAnsi="宋体" w:eastAsia="宋体" w:cs="宋体"/>
          <w:b/>
          <w:color w:val="auto"/>
          <w:sz w:val="21"/>
          <w:highlight w:val="none"/>
        </w:rPr>
        <w:t>.提交首次响应文件的截止时间</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hAnsi="宋体" w:cs="宋体"/>
          <w:color w:val="auto"/>
          <w:sz w:val="21"/>
          <w:highlight w:val="none"/>
          <w:lang w:val="en-US" w:eastAsia="zh-CN"/>
        </w:rPr>
        <w:t>0</w:t>
      </w:r>
      <w:r>
        <w:rPr>
          <w:rFonts w:hint="eastAsia" w:ascii="宋体" w:hAnsi="宋体" w:eastAsia="宋体" w:cs="宋体"/>
          <w:color w:val="auto"/>
          <w:sz w:val="21"/>
          <w:highlight w:val="none"/>
        </w:rPr>
        <w:t>.1供应商提交首次响应文件截止时间见</w:t>
      </w:r>
      <w:r>
        <w:rPr>
          <w:rFonts w:hint="eastAsia" w:ascii="宋体" w:hAnsi="宋体" w:eastAsia="宋体" w:cs="宋体"/>
          <w:b/>
          <w:color w:val="auto"/>
          <w:sz w:val="21"/>
          <w:highlight w:val="none"/>
        </w:rPr>
        <w:t>磋商须知前附表</w:t>
      </w:r>
      <w:r>
        <w:rPr>
          <w:rFonts w:hint="eastAsia" w:ascii="宋体" w:hAnsi="宋体" w:eastAsia="宋体" w:cs="宋体"/>
          <w:color w:val="auto"/>
          <w:sz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rPr>
        <w:t>.磋商文件的澄清</w:t>
      </w:r>
      <w:r>
        <w:rPr>
          <w:rFonts w:hint="eastAsia" w:ascii="宋体" w:hAnsi="宋体" w:eastAsia="宋体" w:cs="宋体"/>
          <w:b/>
          <w:color w:val="auto"/>
          <w:kern w:val="0"/>
          <w:szCs w:val="21"/>
          <w:highlight w:val="none"/>
          <w:lang w:val="zh-CN"/>
        </w:rPr>
        <w:t>或者</w:t>
      </w:r>
      <w:r>
        <w:rPr>
          <w:rFonts w:hint="eastAsia" w:ascii="宋体" w:hAnsi="宋体" w:eastAsia="宋体" w:cs="宋体"/>
          <w:b/>
          <w:bCs/>
          <w:color w:val="auto"/>
          <w:szCs w:val="21"/>
          <w:highlight w:val="none"/>
        </w:rPr>
        <w:t>修改</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.1在</w:t>
      </w:r>
      <w:r>
        <w:rPr>
          <w:rFonts w:hint="eastAsia" w:ascii="宋体" w:hAnsi="宋体" w:eastAsia="宋体" w:cs="宋体"/>
          <w:bCs/>
          <w:color w:val="auto"/>
          <w:szCs w:val="21"/>
          <w:highlight w:val="none"/>
        </w:rPr>
        <w:t>本章第1</w:t>
      </w:r>
      <w:r>
        <w:rPr>
          <w:rFonts w:hint="eastAsia" w:ascii="宋体" w:hAnsi="宋体" w:cs="宋体"/>
          <w:bCs/>
          <w:color w:val="auto"/>
          <w:szCs w:val="21"/>
          <w:highlight w:val="none"/>
          <w:lang w:val="en-US" w:eastAsia="zh-CN"/>
        </w:rPr>
        <w:t>0</w:t>
      </w:r>
      <w:r>
        <w:rPr>
          <w:rFonts w:hint="eastAsia" w:ascii="宋体" w:hAnsi="宋体" w:eastAsia="宋体" w:cs="宋体"/>
          <w:bCs/>
          <w:color w:val="auto"/>
          <w:szCs w:val="21"/>
          <w:highlight w:val="none"/>
        </w:rPr>
        <w:t>.1</w:t>
      </w:r>
      <w:r>
        <w:rPr>
          <w:rFonts w:hint="eastAsia" w:ascii="宋体" w:hAnsi="宋体" w:eastAsia="宋体" w:cs="宋体"/>
          <w:color w:val="auto"/>
          <w:kern w:val="0"/>
          <w:szCs w:val="21"/>
          <w:highlight w:val="none"/>
          <w:lang w:val="zh-CN"/>
        </w:rPr>
        <w:t>款</w:t>
      </w:r>
      <w:r>
        <w:rPr>
          <w:rFonts w:hint="eastAsia" w:ascii="宋体" w:hAnsi="宋体" w:eastAsia="宋体" w:cs="宋体"/>
          <w:bCs/>
          <w:color w:val="auto"/>
          <w:szCs w:val="21"/>
          <w:highlight w:val="none"/>
        </w:rPr>
        <w:t>规定的</w:t>
      </w:r>
      <w:r>
        <w:rPr>
          <w:rFonts w:hint="eastAsia" w:ascii="宋体" w:hAnsi="宋体" w:eastAsia="宋体" w:cs="宋体"/>
          <w:color w:val="auto"/>
          <w:kern w:val="0"/>
          <w:szCs w:val="21"/>
          <w:highlight w:val="none"/>
        </w:rPr>
        <w:t xml:space="preserve">提交首次响应文件截止之日前，采购人、采购代理机构或者磋商小组可以对已发出的磋商文件进行必要的澄清或者修改。 </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rPr>
        <w:t>澄清或者修改的内容可能影响响应文件编制的，采购人、采购代理机构或者磋商小组应当在</w:t>
      </w:r>
      <w:r>
        <w:rPr>
          <w:rFonts w:hint="eastAsia" w:ascii="宋体" w:hAnsi="宋体" w:eastAsia="宋体" w:cs="宋体"/>
          <w:bCs/>
          <w:color w:val="auto"/>
          <w:szCs w:val="21"/>
          <w:highlight w:val="none"/>
        </w:rPr>
        <w:t>本章第1</w:t>
      </w:r>
      <w:r>
        <w:rPr>
          <w:rFonts w:hint="eastAsia" w:ascii="宋体" w:hAnsi="宋体" w:cs="宋体"/>
          <w:bCs/>
          <w:color w:val="auto"/>
          <w:szCs w:val="21"/>
          <w:highlight w:val="none"/>
          <w:lang w:val="en-US" w:eastAsia="zh-CN"/>
        </w:rPr>
        <w:t>0</w:t>
      </w:r>
      <w:r>
        <w:rPr>
          <w:rFonts w:hint="eastAsia" w:ascii="宋体" w:hAnsi="宋体" w:eastAsia="宋体" w:cs="宋体"/>
          <w:bCs/>
          <w:color w:val="auto"/>
          <w:szCs w:val="21"/>
          <w:highlight w:val="none"/>
        </w:rPr>
        <w:t>.1</w:t>
      </w:r>
      <w:r>
        <w:rPr>
          <w:rFonts w:hint="eastAsia" w:ascii="宋体" w:hAnsi="宋体" w:eastAsia="宋体" w:cs="宋体"/>
          <w:color w:val="auto"/>
          <w:kern w:val="0"/>
          <w:szCs w:val="21"/>
          <w:highlight w:val="none"/>
          <w:lang w:val="zh-CN"/>
        </w:rPr>
        <w:t>款</w:t>
      </w:r>
      <w:r>
        <w:rPr>
          <w:rFonts w:hint="eastAsia" w:ascii="宋体" w:hAnsi="宋体" w:eastAsia="宋体" w:cs="宋体"/>
          <w:bCs/>
          <w:color w:val="auto"/>
          <w:szCs w:val="21"/>
          <w:highlight w:val="none"/>
        </w:rPr>
        <w:t>规定的</w:t>
      </w:r>
      <w:r>
        <w:rPr>
          <w:rFonts w:hint="eastAsia" w:ascii="宋体" w:hAnsi="宋体" w:eastAsia="宋体" w:cs="宋体"/>
          <w:color w:val="auto"/>
          <w:kern w:val="0"/>
          <w:szCs w:val="21"/>
          <w:highlight w:val="none"/>
        </w:rPr>
        <w:t>提交首次响应文件截止之日5日前，以书面形式通知所有接收磋商文件的供应商，不足5日的，顺延供应商提交首次响应文件截止时间。</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textAlignment w:val="auto"/>
        <w:outlineLvl w:val="2"/>
        <w:rPr>
          <w:rFonts w:hint="eastAsia" w:ascii="宋体" w:hAnsi="宋体" w:eastAsia="宋体" w:cs="宋体"/>
          <w:b/>
          <w:color w:val="auto"/>
          <w:szCs w:val="21"/>
          <w:highlight w:val="none"/>
        </w:rPr>
      </w:pPr>
      <w:bookmarkStart w:id="18" w:name="_Toc29748"/>
      <w:bookmarkStart w:id="19" w:name="_Toc31261"/>
      <w:r>
        <w:rPr>
          <w:rFonts w:hint="eastAsia" w:ascii="宋体" w:hAnsi="宋体" w:eastAsia="宋体" w:cs="宋体"/>
          <w:b/>
          <w:color w:val="auto"/>
          <w:szCs w:val="21"/>
          <w:highlight w:val="none"/>
        </w:rPr>
        <w:t>三、响应文件</w:t>
      </w:r>
      <w:bookmarkEnd w:id="18"/>
      <w:bookmarkEnd w:id="19"/>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.一般要求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12.1</w:t>
      </w:r>
      <w:r>
        <w:rPr>
          <w:rFonts w:hint="eastAsia" w:ascii="宋体" w:hAnsi="宋体" w:eastAsia="宋体" w:cs="宋体"/>
          <w:bCs/>
          <w:color w:val="auto"/>
          <w:szCs w:val="21"/>
          <w:highlight w:val="none"/>
        </w:rPr>
        <w:t xml:space="preserve"> 供应商应仔细阅读磋商文件的所有内容，按磋商文件的要求编制响应文件，并保证所提供的全部资料的真实性，以使其响应文件对磋商文件做出实质性的响应。</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12.2</w:t>
      </w:r>
      <w:r>
        <w:rPr>
          <w:rFonts w:hint="eastAsia" w:ascii="宋体" w:hAnsi="宋体" w:eastAsia="宋体" w:cs="宋体"/>
          <w:bCs/>
          <w:color w:val="auto"/>
          <w:szCs w:val="21"/>
          <w:highlight w:val="none"/>
        </w:rPr>
        <w:t xml:space="preserve"> </w:t>
      </w:r>
      <w:r>
        <w:rPr>
          <w:rFonts w:hint="eastAsia" w:ascii="宋体" w:hAnsi="宋体" w:eastAsia="宋体" w:cs="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bCs/>
          <w:color w:val="auto"/>
          <w:sz w:val="21"/>
          <w:highlight w:val="none"/>
          <w:lang w:eastAsia="zh-CN"/>
        </w:rPr>
        <w:t>12.3</w:t>
      </w:r>
      <w:r>
        <w:rPr>
          <w:rFonts w:hint="eastAsia" w:ascii="宋体" w:hAnsi="宋体" w:eastAsia="宋体" w:cs="宋体"/>
          <w:bCs/>
          <w:color w:val="auto"/>
          <w:sz w:val="21"/>
          <w:highlight w:val="none"/>
        </w:rPr>
        <w:t xml:space="preserve"> </w:t>
      </w:r>
      <w:r>
        <w:rPr>
          <w:rFonts w:hint="eastAsia" w:ascii="宋体" w:hAnsi="宋体" w:eastAsia="宋体" w:cs="宋体"/>
          <w:color w:val="auto"/>
          <w:sz w:val="21"/>
          <w:highlight w:val="none"/>
        </w:rPr>
        <w:t>计量单位应使用我国法定计量单位，未列明时应默认为我国法定计量单位。</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hAnsi="宋体" w:cs="宋体"/>
          <w:color w:val="auto"/>
          <w:sz w:val="21"/>
          <w:highlight w:val="none"/>
          <w:lang w:eastAsia="zh-CN"/>
        </w:rPr>
        <w:t>12.4</w:t>
      </w:r>
      <w:r>
        <w:rPr>
          <w:rFonts w:hint="eastAsia" w:ascii="宋体" w:hAnsi="宋体" w:eastAsia="宋体" w:cs="宋体"/>
          <w:color w:val="auto"/>
          <w:sz w:val="21"/>
          <w:highlight w:val="none"/>
        </w:rPr>
        <w:t xml:space="preserve"> 响应文件应采用书面形式，电报、传真、电子邮件形式的响应文件概不接受。</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12.5</w:t>
      </w:r>
      <w:r>
        <w:rPr>
          <w:rFonts w:hint="eastAsia" w:ascii="宋体" w:hAnsi="宋体" w:eastAsia="宋体" w:cs="宋体"/>
          <w:color w:val="auto"/>
          <w:szCs w:val="21"/>
          <w:highlight w:val="none"/>
        </w:rPr>
        <w:t xml:space="preserve"> 供应商应按磋商文件中提供的响应文件格式填写。</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的组成</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13.1</w:t>
      </w:r>
      <w:r>
        <w:rPr>
          <w:rFonts w:hint="eastAsia" w:ascii="宋体" w:hAnsi="宋体" w:eastAsia="宋体" w:cs="宋体"/>
          <w:color w:val="auto"/>
          <w:szCs w:val="21"/>
          <w:highlight w:val="none"/>
        </w:rPr>
        <w:t xml:space="preserve"> 响应文件包括下列内容： </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textAlignment w:val="auto"/>
        <w:outlineLvl w:val="9"/>
        <w:rPr>
          <w:rFonts w:hint="default" w:ascii="宋体" w:hAnsi="宋体" w:eastAsia="宋体" w:cs="宋体"/>
          <w:color w:val="auto"/>
          <w:sz w:val="21"/>
          <w:highlight w:val="none"/>
          <w:lang w:val="en-US" w:eastAsia="zh-CN"/>
        </w:rPr>
      </w:pPr>
      <w:r>
        <w:rPr>
          <w:rFonts w:hint="eastAsia" w:hAnsi="宋体" w:cs="宋体"/>
          <w:color w:val="auto"/>
          <w:sz w:val="21"/>
          <w:highlight w:val="none"/>
          <w:lang w:eastAsia="zh-CN"/>
        </w:rPr>
        <w:t>第一部分</w:t>
      </w:r>
      <w:r>
        <w:rPr>
          <w:rFonts w:hint="eastAsia" w:hAnsi="宋体" w:cs="宋体"/>
          <w:color w:val="auto"/>
          <w:sz w:val="21"/>
          <w:highlight w:val="none"/>
          <w:lang w:val="en-US" w:eastAsia="zh-CN"/>
        </w:rPr>
        <w:t xml:space="preserve">  资格证明文件</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textAlignment w:val="auto"/>
        <w:outlineLvl w:val="9"/>
        <w:rPr>
          <w:rFonts w:hint="eastAsia" w:ascii="宋体" w:hAnsi="宋体" w:eastAsia="宋体" w:cs="宋体"/>
          <w:color w:val="auto"/>
          <w:sz w:val="21"/>
          <w:highlight w:val="none"/>
        </w:rPr>
      </w:pPr>
      <w:r>
        <w:rPr>
          <w:rFonts w:hint="eastAsia" w:ascii="宋体" w:hAnsi="宋体" w:eastAsia="宋体" w:cs="宋体"/>
          <w:color w:val="auto"/>
          <w:sz w:val="21"/>
          <w:highlight w:val="none"/>
        </w:rPr>
        <w:t>（1）磋商响应声明</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textAlignment w:val="auto"/>
        <w:outlineLvl w:val="9"/>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（2）</w:t>
      </w:r>
      <w:r>
        <w:rPr>
          <w:rFonts w:hint="eastAsia" w:hAnsi="宋体" w:cs="宋体"/>
          <w:color w:val="auto"/>
          <w:sz w:val="21"/>
          <w:highlight w:val="none"/>
          <w:lang w:eastAsia="zh-CN"/>
        </w:rPr>
        <w:t>法定代表人身份证明（法定代表人授权书）</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textAlignment w:val="auto"/>
        <w:outlineLvl w:val="9"/>
        <w:rPr>
          <w:rFonts w:hint="eastAsia" w:ascii="宋体" w:hAnsi="宋体" w:eastAsia="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lang w:val="en-US" w:eastAsia="zh-CN"/>
        </w:rPr>
        <w:t>3</w:t>
      </w:r>
      <w:r>
        <w:rPr>
          <w:rFonts w:hint="eastAsia" w:hAnsi="宋体" w:cs="宋体"/>
          <w:color w:val="auto"/>
          <w:sz w:val="21"/>
          <w:highlight w:val="none"/>
          <w:lang w:eastAsia="zh-CN"/>
        </w:rPr>
        <w:t>）</w:t>
      </w:r>
      <w:r>
        <w:rPr>
          <w:rFonts w:hint="eastAsia" w:ascii="宋体" w:hAnsi="宋体" w:eastAsia="宋体" w:cs="宋体"/>
          <w:color w:val="auto"/>
          <w:sz w:val="21"/>
          <w:highlight w:val="none"/>
        </w:rPr>
        <w:t>保证金</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4</w:t>
      </w:r>
      <w:r>
        <w:rPr>
          <w:rFonts w:hint="eastAsia" w:ascii="宋体" w:hAnsi="宋体" w:eastAsia="宋体" w:cs="宋体"/>
          <w:color w:val="auto"/>
          <w:sz w:val="21"/>
          <w:highlight w:val="none"/>
        </w:rPr>
        <w:t>）供应商的资格证明文件</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default" w:ascii="宋体" w:hAnsi="宋体" w:eastAsia="宋体" w:cs="宋体"/>
          <w:color w:val="auto"/>
          <w:sz w:val="21"/>
          <w:highlight w:val="none"/>
          <w:lang w:val="en-US" w:eastAsia="zh-CN"/>
        </w:rPr>
      </w:pPr>
      <w:r>
        <w:rPr>
          <w:rFonts w:hint="eastAsia" w:hAnsi="宋体" w:cs="宋体"/>
          <w:color w:val="auto"/>
          <w:sz w:val="21"/>
          <w:highlight w:val="none"/>
          <w:lang w:eastAsia="zh-CN"/>
        </w:rPr>
        <w:t>第二部分</w:t>
      </w:r>
      <w:r>
        <w:rPr>
          <w:rFonts w:hint="eastAsia" w:hAnsi="宋体" w:cs="宋体"/>
          <w:color w:val="auto"/>
          <w:sz w:val="21"/>
          <w:highlight w:val="none"/>
          <w:lang w:val="en-US" w:eastAsia="zh-CN"/>
        </w:rPr>
        <w:t xml:space="preserve">  商务技术文件</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5</w:t>
      </w:r>
      <w:r>
        <w:rPr>
          <w:rFonts w:hint="eastAsia" w:ascii="宋体" w:hAnsi="宋体" w:eastAsia="宋体" w:cs="宋体"/>
          <w:color w:val="auto"/>
          <w:sz w:val="21"/>
          <w:highlight w:val="none"/>
        </w:rPr>
        <w:t>）技术/商务响应与偏离表</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6</w:t>
      </w:r>
      <w:r>
        <w:rPr>
          <w:rFonts w:hint="eastAsia" w:ascii="宋体" w:hAnsi="宋体" w:eastAsia="宋体" w:cs="宋体"/>
          <w:color w:val="auto"/>
          <w:sz w:val="21"/>
          <w:highlight w:val="none"/>
        </w:rPr>
        <w:t>）报价一览表及报价文件</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以及规定格式的首次报价的报价一览表及报价文件的电子文件</w:t>
      </w:r>
      <w:r>
        <w:rPr>
          <w:rFonts w:hint="eastAsia" w:ascii="宋体" w:hAnsi="宋体" w:eastAsia="宋体" w:cs="宋体"/>
          <w:color w:val="auto"/>
          <w:sz w:val="21"/>
          <w:highlight w:val="none"/>
          <w:lang w:eastAsia="zh-CN"/>
        </w:rPr>
        <w:t>）</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lang w:eastAsia="zh-CN"/>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7</w:t>
      </w:r>
      <w:r>
        <w:rPr>
          <w:rFonts w:hint="eastAsia" w:ascii="宋体" w:hAnsi="宋体" w:eastAsia="宋体" w:cs="宋体"/>
          <w:color w:val="auto"/>
          <w:sz w:val="21"/>
          <w:highlight w:val="none"/>
        </w:rPr>
        <w:t>）</w:t>
      </w:r>
      <w:r>
        <w:rPr>
          <w:rFonts w:hint="eastAsia" w:hAnsi="宋体" w:cs="宋体"/>
          <w:color w:val="auto"/>
          <w:sz w:val="21"/>
          <w:highlight w:val="none"/>
          <w:lang w:eastAsia="zh-CN"/>
        </w:rPr>
        <w:t>施工组织设计</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8</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享受</w:t>
      </w:r>
      <w:r>
        <w:rPr>
          <w:rFonts w:hint="eastAsia" w:ascii="宋体" w:hAnsi="宋体" w:eastAsia="宋体" w:cs="宋体"/>
          <w:color w:val="auto"/>
          <w:sz w:val="21"/>
          <w:highlight w:val="none"/>
        </w:rPr>
        <w:t>政府采购政策</w:t>
      </w:r>
      <w:r>
        <w:rPr>
          <w:rFonts w:hint="eastAsia" w:ascii="宋体" w:hAnsi="宋体" w:eastAsia="宋体" w:cs="宋体"/>
          <w:color w:val="auto"/>
          <w:sz w:val="21"/>
          <w:highlight w:val="none"/>
          <w:lang w:eastAsia="zh-CN"/>
        </w:rPr>
        <w:t>优惠的</w:t>
      </w:r>
      <w:r>
        <w:rPr>
          <w:rFonts w:hint="eastAsia" w:ascii="宋体" w:hAnsi="宋体" w:eastAsia="宋体" w:cs="宋体"/>
          <w:color w:val="auto"/>
          <w:sz w:val="21"/>
          <w:highlight w:val="none"/>
        </w:rPr>
        <w:t>证明材料</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hAnsi="宋体" w:cs="宋体"/>
          <w:color w:val="auto"/>
          <w:sz w:val="21"/>
          <w:highlight w:val="none"/>
          <w:lang w:val="en-US" w:eastAsia="zh-CN"/>
        </w:rPr>
        <w:t>9</w:t>
      </w:r>
      <w:r>
        <w:rPr>
          <w:rFonts w:hint="eastAsia" w:ascii="宋体" w:hAnsi="宋体" w:eastAsia="宋体" w:cs="宋体"/>
          <w:color w:val="auto"/>
          <w:sz w:val="21"/>
          <w:highlight w:val="none"/>
        </w:rPr>
        <w:t>）供应商认为需提供的其他资料</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lang w:eastAsia="zh-CN"/>
        </w:rPr>
      </w:pPr>
      <w:r>
        <w:rPr>
          <w:rFonts w:hint="eastAsia" w:hAnsi="宋体" w:cs="宋体"/>
          <w:color w:val="auto"/>
          <w:sz w:val="21"/>
          <w:highlight w:val="none"/>
          <w:lang w:eastAsia="zh-CN"/>
        </w:rPr>
        <w:t>（</w:t>
      </w:r>
      <w:r>
        <w:rPr>
          <w:rFonts w:hint="eastAsia" w:hAnsi="宋体" w:cs="宋体"/>
          <w:color w:val="auto"/>
          <w:sz w:val="21"/>
          <w:highlight w:val="none"/>
          <w:lang w:val="en-US" w:eastAsia="zh-CN"/>
        </w:rPr>
        <w:t>10</w:t>
      </w:r>
      <w:r>
        <w:rPr>
          <w:rFonts w:hint="eastAsia" w:hAnsi="宋体" w:cs="宋体"/>
          <w:color w:val="auto"/>
          <w:sz w:val="21"/>
          <w:highlight w:val="none"/>
          <w:lang w:eastAsia="zh-CN"/>
        </w:rPr>
        <w:t>）代理服务费承诺</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 w:val="21"/>
          <w:highlight w:val="none"/>
          <w:lang w:eastAsia="zh-CN"/>
        </w:rPr>
      </w:pPr>
      <w:r>
        <w:rPr>
          <w:rFonts w:hint="eastAsia" w:hAnsi="宋体" w:cs="宋体"/>
          <w:color w:val="auto"/>
          <w:sz w:val="21"/>
          <w:highlight w:val="none"/>
          <w:lang w:eastAsia="zh-CN"/>
        </w:rPr>
        <w:t>（</w:t>
      </w:r>
      <w:r>
        <w:rPr>
          <w:rFonts w:hint="eastAsia" w:hAnsi="宋体" w:cs="宋体"/>
          <w:color w:val="auto"/>
          <w:sz w:val="21"/>
          <w:highlight w:val="none"/>
          <w:lang w:val="en-US" w:eastAsia="zh-CN"/>
        </w:rPr>
        <w:t>11</w:t>
      </w:r>
      <w:r>
        <w:rPr>
          <w:rFonts w:hint="eastAsia" w:hAnsi="宋体" w:cs="宋体"/>
          <w:color w:val="auto"/>
          <w:sz w:val="21"/>
          <w:highlight w:val="none"/>
          <w:lang w:eastAsia="zh-CN"/>
        </w:rPr>
        <w:t>）最后报价</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13.2</w:t>
      </w:r>
      <w:r>
        <w:rPr>
          <w:rFonts w:hint="eastAsia" w:ascii="宋体" w:hAnsi="宋体" w:eastAsia="宋体" w:cs="宋体"/>
          <w:color w:val="auto"/>
          <w:szCs w:val="21"/>
          <w:highlight w:val="none"/>
        </w:rPr>
        <w:t>在磋商过程中，供应商根据</w:t>
      </w:r>
      <w:r>
        <w:rPr>
          <w:rFonts w:hint="eastAsia" w:ascii="宋体" w:hAnsi="宋体" w:eastAsia="宋体" w:cs="宋体"/>
          <w:color w:val="auto"/>
          <w:kern w:val="0"/>
          <w:szCs w:val="21"/>
          <w:highlight w:val="none"/>
        </w:rPr>
        <w:t>磋商小组</w:t>
      </w:r>
      <w:r>
        <w:rPr>
          <w:rFonts w:hint="eastAsia" w:ascii="宋体" w:hAnsi="宋体" w:eastAsia="宋体" w:cs="宋体"/>
          <w:bCs/>
          <w:color w:val="auto"/>
          <w:szCs w:val="21"/>
          <w:highlight w:val="none"/>
        </w:rPr>
        <w:t>书面形式要求</w:t>
      </w:r>
      <w:r>
        <w:rPr>
          <w:rFonts w:hint="eastAsia" w:ascii="宋体" w:hAnsi="宋体" w:eastAsia="宋体" w:cs="宋体"/>
          <w:color w:val="auto"/>
          <w:kern w:val="0"/>
          <w:szCs w:val="21"/>
          <w:highlight w:val="none"/>
        </w:rPr>
        <w:t>提交的</w:t>
      </w:r>
      <w:r>
        <w:rPr>
          <w:rFonts w:hint="eastAsia" w:ascii="宋体" w:hAnsi="宋体" w:eastAsia="宋体" w:cs="宋体"/>
          <w:color w:val="auto"/>
          <w:szCs w:val="21"/>
          <w:highlight w:val="none"/>
        </w:rPr>
        <w:t>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新提交的响应文件和</w:t>
      </w:r>
      <w:r>
        <w:rPr>
          <w:rFonts w:hint="eastAsia" w:ascii="宋体" w:hAnsi="宋体" w:eastAsia="宋体" w:cs="宋体"/>
          <w:color w:val="auto"/>
          <w:szCs w:val="21"/>
          <w:highlight w:val="none"/>
        </w:rPr>
        <w:t>最后报价)是响应文件的有效组成部分。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b/>
          <w:color w:val="auto"/>
          <w:szCs w:val="21"/>
          <w:highlight w:val="none"/>
        </w:rPr>
      </w:pPr>
      <w:r>
        <w:rPr>
          <w:rFonts w:hint="eastAsia" w:ascii="宋体" w:hAnsi="宋体" w:cs="宋体"/>
          <w:color w:val="auto"/>
          <w:szCs w:val="21"/>
          <w:highlight w:val="none"/>
          <w:lang w:eastAsia="zh-CN"/>
        </w:rPr>
        <w:t>13.3</w:t>
      </w:r>
      <w:r>
        <w:rPr>
          <w:rFonts w:hint="eastAsia" w:ascii="宋体" w:hAnsi="宋体" w:eastAsia="宋体" w:cs="宋体"/>
          <w:color w:val="auto"/>
          <w:kern w:val="0"/>
          <w:szCs w:val="21"/>
          <w:highlight w:val="none"/>
        </w:rPr>
        <w:t>磋商文件规定可能发生实质性变动的，供应商应当在</w:t>
      </w:r>
      <w:r>
        <w:rPr>
          <w:rFonts w:hint="eastAsia" w:ascii="宋体" w:hAnsi="宋体" w:cs="宋体"/>
          <w:b/>
          <w:bCs/>
          <w:color w:val="auto"/>
          <w:szCs w:val="21"/>
          <w:highlight w:val="none"/>
          <w:lang w:eastAsia="zh-CN"/>
        </w:rPr>
        <w:t>“技术</w:t>
      </w:r>
      <w:r>
        <w:rPr>
          <w:rFonts w:hint="eastAsia" w:ascii="宋体" w:hAnsi="宋体" w:eastAsia="宋体" w:cs="宋体"/>
          <w:b/>
          <w:bCs/>
          <w:color w:val="auto"/>
          <w:szCs w:val="21"/>
          <w:highlight w:val="none"/>
        </w:rPr>
        <w:t>/商务响应与偏离表</w:t>
      </w:r>
      <w:r>
        <w:rPr>
          <w:rFonts w:hint="eastAsia" w:ascii="宋体" w:hAnsi="宋体" w:cs="宋体"/>
          <w:b/>
          <w:bCs/>
          <w:color w:val="auto"/>
          <w:szCs w:val="21"/>
          <w:highlight w:val="none"/>
          <w:lang w:eastAsia="zh-CN"/>
        </w:rPr>
        <w:t>”</w:t>
      </w:r>
      <w:r>
        <w:rPr>
          <w:rFonts w:hint="eastAsia" w:ascii="宋体" w:hAnsi="宋体" w:eastAsia="宋体" w:cs="宋体"/>
          <w:color w:val="auto"/>
          <w:szCs w:val="21"/>
          <w:highlight w:val="none"/>
        </w:rPr>
        <w:t>中对应内容注明。</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color w:val="auto"/>
          <w:highlight w:val="none"/>
        </w:rPr>
      </w:pPr>
      <w:r>
        <w:rPr>
          <w:rFonts w:hint="eastAsia" w:ascii="宋体" w:hAnsi="宋体" w:cs="宋体"/>
          <w:color w:val="auto"/>
          <w:szCs w:val="21"/>
          <w:highlight w:val="none"/>
          <w:lang w:eastAsia="zh-CN"/>
        </w:rPr>
        <w:t>13.4</w:t>
      </w:r>
      <w:r>
        <w:rPr>
          <w:rFonts w:hint="eastAsia" w:ascii="宋体" w:hAnsi="宋体" w:eastAsia="宋体" w:cs="宋体"/>
          <w:color w:val="auto"/>
          <w:szCs w:val="21"/>
          <w:highlight w:val="none"/>
        </w:rPr>
        <w:t>根据《政府采购法》第四十二条的规定，供应商无论成交与否，其响应文件不予退还。</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.报价</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14.1</w:t>
      </w:r>
      <w:r>
        <w:rPr>
          <w:rFonts w:hint="eastAsia" w:ascii="宋体" w:hAnsi="宋体" w:cs="宋体"/>
          <w:color w:val="auto"/>
          <w:szCs w:val="21"/>
          <w:highlight w:val="none"/>
        </w:rPr>
        <w:t>供应商应当根据磋商文件要求和范围，以</w:t>
      </w:r>
      <w:r>
        <w:rPr>
          <w:rFonts w:hint="eastAsia" w:ascii="宋体" w:hAnsi="宋体" w:cs="宋体"/>
          <w:bCs/>
          <w:color w:val="auto"/>
          <w:szCs w:val="21"/>
          <w:highlight w:val="none"/>
        </w:rPr>
        <w:t>人民币</w:t>
      </w:r>
      <w:r>
        <w:rPr>
          <w:rFonts w:hint="eastAsia" w:ascii="宋体" w:hAnsi="宋体" w:cs="宋体"/>
          <w:color w:val="auto"/>
          <w:szCs w:val="21"/>
          <w:highlight w:val="none"/>
        </w:rPr>
        <w:t>报价，以元为单位，保留小数点后两位。</w:t>
      </w:r>
    </w:p>
    <w:p>
      <w:pPr>
        <w:pStyle w:val="41"/>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 w:val="21"/>
          <w:highlight w:val="none"/>
        </w:rPr>
      </w:pPr>
      <w:r>
        <w:rPr>
          <w:rFonts w:hint="eastAsia" w:ascii="宋体" w:hAnsi="宋体" w:cs="宋体"/>
          <w:color w:val="auto"/>
          <w:sz w:val="21"/>
          <w:highlight w:val="none"/>
          <w:lang w:eastAsia="zh-CN"/>
        </w:rPr>
        <w:t>14.2</w:t>
      </w:r>
      <w:r>
        <w:rPr>
          <w:rFonts w:hint="eastAsia" w:ascii="宋体" w:hAnsi="宋体" w:cs="宋体"/>
          <w:color w:val="auto"/>
          <w:sz w:val="21"/>
          <w:highlight w:val="none"/>
        </w:rPr>
        <w:t>供应商应按第</w:t>
      </w:r>
      <w:r>
        <w:rPr>
          <w:rFonts w:hint="eastAsia" w:ascii="宋体" w:hAnsi="宋体" w:cs="宋体"/>
          <w:color w:val="auto"/>
          <w:sz w:val="21"/>
          <w:highlight w:val="none"/>
          <w:lang w:eastAsia="zh-CN"/>
        </w:rPr>
        <w:t>六</w:t>
      </w:r>
      <w:r>
        <w:rPr>
          <w:rFonts w:hint="eastAsia" w:ascii="宋体" w:hAnsi="宋体" w:cs="宋体"/>
          <w:color w:val="auto"/>
          <w:sz w:val="21"/>
          <w:highlight w:val="none"/>
        </w:rPr>
        <w:t>章“采购需求”要求及第</w:t>
      </w:r>
      <w:r>
        <w:rPr>
          <w:rFonts w:hint="eastAsia" w:ascii="宋体" w:hAnsi="宋体" w:cs="宋体"/>
          <w:color w:val="auto"/>
          <w:sz w:val="21"/>
          <w:highlight w:val="none"/>
          <w:lang w:eastAsia="zh-CN"/>
        </w:rPr>
        <w:t>七</w:t>
      </w:r>
      <w:r>
        <w:rPr>
          <w:rFonts w:hint="eastAsia" w:ascii="宋体" w:hAnsi="宋体" w:cs="宋体"/>
          <w:color w:val="auto"/>
          <w:sz w:val="21"/>
          <w:highlight w:val="none"/>
        </w:rPr>
        <w:t>章“响应文件组成”格式填写。供应商在</w:t>
      </w:r>
      <w:r>
        <w:rPr>
          <w:rFonts w:hint="eastAsia" w:ascii="宋体" w:hAnsi="宋体" w:cs="宋体"/>
          <w:bCs/>
          <w:color w:val="auto"/>
          <w:sz w:val="21"/>
          <w:highlight w:val="none"/>
        </w:rPr>
        <w:t>本章第1</w:t>
      </w:r>
      <w:r>
        <w:rPr>
          <w:rFonts w:hint="eastAsia" w:ascii="宋体" w:hAnsi="宋体" w:cs="宋体"/>
          <w:bCs/>
          <w:color w:val="auto"/>
          <w:sz w:val="21"/>
          <w:highlight w:val="none"/>
          <w:lang w:val="en-US" w:eastAsia="zh-CN"/>
        </w:rPr>
        <w:t>0</w:t>
      </w:r>
      <w:r>
        <w:rPr>
          <w:rFonts w:hint="eastAsia" w:ascii="宋体" w:hAnsi="宋体" w:cs="宋体"/>
          <w:bCs/>
          <w:color w:val="auto"/>
          <w:sz w:val="21"/>
          <w:highlight w:val="none"/>
        </w:rPr>
        <w:t>.1</w:t>
      </w:r>
      <w:r>
        <w:rPr>
          <w:rFonts w:hint="eastAsia" w:ascii="宋体" w:hAnsi="宋体" w:cs="宋体"/>
          <w:color w:val="auto"/>
          <w:sz w:val="21"/>
          <w:highlight w:val="none"/>
          <w:lang w:val="zh-CN"/>
        </w:rPr>
        <w:t>款</w:t>
      </w:r>
      <w:r>
        <w:rPr>
          <w:rFonts w:hint="eastAsia" w:ascii="宋体" w:hAnsi="宋体" w:cs="宋体"/>
          <w:bCs/>
          <w:color w:val="auto"/>
          <w:sz w:val="21"/>
          <w:highlight w:val="none"/>
        </w:rPr>
        <w:t>规定的</w:t>
      </w:r>
      <w:r>
        <w:rPr>
          <w:rFonts w:hint="eastAsia" w:ascii="宋体" w:hAnsi="宋体" w:cs="宋体"/>
          <w:color w:val="auto"/>
          <w:sz w:val="21"/>
          <w:highlight w:val="none"/>
        </w:rPr>
        <w:t>提交首次响应文件截止之日前修改报价一览表中的报价，应同时修改其按第</w:t>
      </w:r>
      <w:r>
        <w:rPr>
          <w:rFonts w:hint="eastAsia" w:ascii="宋体" w:hAnsi="宋体" w:cs="宋体"/>
          <w:color w:val="auto"/>
          <w:sz w:val="21"/>
          <w:highlight w:val="none"/>
          <w:lang w:eastAsia="zh-CN"/>
        </w:rPr>
        <w:t>七</w:t>
      </w:r>
      <w:r>
        <w:rPr>
          <w:rFonts w:hint="eastAsia" w:ascii="宋体" w:hAnsi="宋体" w:cs="宋体"/>
          <w:color w:val="auto"/>
          <w:sz w:val="21"/>
          <w:highlight w:val="none"/>
        </w:rPr>
        <w:t>章要求填写的相应表格中的报价。此修改须符合本章第</w:t>
      </w:r>
      <w:r>
        <w:rPr>
          <w:rFonts w:hint="eastAsia" w:ascii="宋体" w:hAnsi="宋体" w:cs="宋体"/>
          <w:color w:val="auto"/>
          <w:sz w:val="21"/>
          <w:highlight w:val="none"/>
          <w:lang w:eastAsia="zh-CN"/>
        </w:rPr>
        <w:t>20.1</w:t>
      </w:r>
      <w:r>
        <w:rPr>
          <w:rFonts w:hint="eastAsia" w:ascii="宋体" w:hAnsi="宋体" w:cs="宋体"/>
          <w:color w:val="auto"/>
          <w:sz w:val="21"/>
          <w:highlight w:val="none"/>
        </w:rPr>
        <w:t>款的有关要求。</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2" w:firstLineChars="200"/>
        <w:textAlignment w:val="auto"/>
        <w:rPr>
          <w:rFonts w:hint="eastAsia" w:hAnsi="宋体" w:cs="宋体"/>
          <w:b/>
          <w:color w:val="auto"/>
          <w:sz w:val="21"/>
          <w:highlight w:val="none"/>
        </w:rPr>
      </w:pPr>
      <w:r>
        <w:rPr>
          <w:rFonts w:hint="eastAsia" w:hAnsi="宋体" w:cs="宋体"/>
          <w:b/>
          <w:color w:val="auto"/>
          <w:sz w:val="21"/>
          <w:highlight w:val="none"/>
          <w:lang w:eastAsia="zh-CN"/>
        </w:rPr>
        <w:t>14.3</w:t>
      </w:r>
      <w:r>
        <w:rPr>
          <w:rFonts w:hint="eastAsia" w:hAnsi="宋体" w:cs="宋体"/>
          <w:b/>
          <w:color w:val="auto"/>
          <w:sz w:val="21"/>
          <w:highlight w:val="none"/>
        </w:rPr>
        <w:t>响应文件中标明的价格在合同执行过程中是固定不变的，不得以任何理由予以变更。以可变动价格提交的报价将被认为是非实质响应而被拒绝。</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14.4</w:t>
      </w:r>
      <w:r>
        <w:rPr>
          <w:rFonts w:hint="eastAsia" w:hAnsi="宋体" w:cs="宋体"/>
          <w:color w:val="auto"/>
          <w:sz w:val="21"/>
          <w:highlight w:val="none"/>
          <w:lang w:val="zh-CN"/>
        </w:rPr>
        <w:t>供应商</w:t>
      </w:r>
      <w:r>
        <w:rPr>
          <w:rFonts w:hint="eastAsia" w:hAnsi="宋体" w:cs="宋体"/>
          <w:color w:val="auto"/>
          <w:sz w:val="21"/>
          <w:highlight w:val="none"/>
        </w:rPr>
        <w:t>的报价不得超过采购项目预算</w:t>
      </w:r>
      <w:r>
        <w:rPr>
          <w:rFonts w:hint="eastAsia" w:hAnsi="宋体" w:cs="宋体"/>
          <w:color w:val="auto"/>
          <w:sz w:val="21"/>
          <w:highlight w:val="none"/>
          <w:lang w:eastAsia="zh-CN"/>
        </w:rPr>
        <w:t>（最高限价）</w:t>
      </w:r>
      <w:r>
        <w:rPr>
          <w:rFonts w:hint="eastAsia" w:hAnsi="宋体" w:cs="宋体"/>
          <w:color w:val="auto"/>
          <w:sz w:val="21"/>
          <w:highlight w:val="none"/>
        </w:rPr>
        <w:t>，采购项目预算</w:t>
      </w:r>
      <w:r>
        <w:rPr>
          <w:rFonts w:hint="eastAsia" w:hAnsi="宋体" w:cs="宋体"/>
          <w:color w:val="auto"/>
          <w:sz w:val="21"/>
          <w:highlight w:val="none"/>
          <w:lang w:eastAsia="zh-CN"/>
        </w:rPr>
        <w:t>（最高限价）</w:t>
      </w:r>
      <w:r>
        <w:rPr>
          <w:rFonts w:hint="eastAsia" w:hAnsi="宋体" w:cs="宋体"/>
          <w:color w:val="auto"/>
          <w:sz w:val="21"/>
          <w:highlight w:val="none"/>
        </w:rPr>
        <w:t>或其计算方法见</w:t>
      </w:r>
      <w:r>
        <w:rPr>
          <w:rFonts w:hint="eastAsia" w:hAnsi="宋体" w:cs="宋体"/>
          <w:b/>
          <w:color w:val="auto"/>
          <w:sz w:val="21"/>
          <w:highlight w:val="none"/>
        </w:rPr>
        <w:t>磋商须知前附表</w:t>
      </w:r>
      <w:r>
        <w:rPr>
          <w:rFonts w:hint="eastAsia" w:hAnsi="宋体" w:cs="宋体"/>
          <w:color w:val="auto"/>
          <w:sz w:val="21"/>
          <w:highlight w:val="none"/>
        </w:rPr>
        <w:t>。</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hAnsi="宋体" w:cs="宋体"/>
          <w:b/>
          <w:color w:val="auto"/>
          <w:sz w:val="21"/>
          <w:highlight w:val="none"/>
        </w:rPr>
      </w:pPr>
      <w:r>
        <w:rPr>
          <w:rFonts w:hint="eastAsia" w:hAnsi="宋体" w:cs="宋体"/>
          <w:b/>
          <w:color w:val="auto"/>
          <w:sz w:val="21"/>
          <w:highlight w:val="none"/>
        </w:rPr>
        <w:t>1</w:t>
      </w:r>
      <w:r>
        <w:rPr>
          <w:rFonts w:hint="eastAsia" w:hAnsi="宋体" w:cs="宋体"/>
          <w:b/>
          <w:color w:val="auto"/>
          <w:sz w:val="21"/>
          <w:highlight w:val="none"/>
          <w:lang w:val="en-US" w:eastAsia="zh-CN"/>
        </w:rPr>
        <w:t>5</w:t>
      </w:r>
      <w:r>
        <w:rPr>
          <w:rFonts w:hint="eastAsia" w:hAnsi="宋体" w:cs="宋体"/>
          <w:b/>
          <w:color w:val="auto"/>
          <w:sz w:val="21"/>
          <w:highlight w:val="none"/>
        </w:rPr>
        <w:t>.供应商符合磋商文件规定的证明文件</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15.1</w:t>
      </w:r>
      <w:r>
        <w:rPr>
          <w:rFonts w:hint="eastAsia" w:ascii="宋体" w:hAnsi="宋体" w:cs="宋体"/>
          <w:color w:val="auto"/>
          <w:szCs w:val="21"/>
          <w:highlight w:val="none"/>
        </w:rPr>
        <w:t>已进行资格预审的，可以不再对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资格进行审查，</w:t>
      </w:r>
      <w:r>
        <w:rPr>
          <w:rFonts w:hint="eastAsia" w:ascii="宋体" w:hAnsi="宋体" w:cs="宋体"/>
          <w:color w:val="auto"/>
          <w:szCs w:val="21"/>
          <w:highlight w:val="none"/>
          <w:lang w:eastAsia="zh-CN"/>
        </w:rPr>
        <w:t>资格审查合格</w:t>
      </w:r>
      <w:r>
        <w:rPr>
          <w:rFonts w:hint="eastAsia" w:ascii="宋体" w:hAnsi="宋体" w:cs="宋体"/>
          <w:color w:val="auto"/>
          <w:szCs w:val="21"/>
          <w:highlight w:val="none"/>
        </w:rPr>
        <w:t>供应商</w:t>
      </w:r>
      <w:r>
        <w:rPr>
          <w:rFonts w:hint="eastAsia" w:ascii="宋体" w:hAnsi="宋体" w:cs="宋体"/>
          <w:color w:val="auto"/>
          <w:szCs w:val="21"/>
          <w:highlight w:val="none"/>
          <w:lang w:eastAsia="zh-CN"/>
        </w:rPr>
        <w:t>的</w:t>
      </w:r>
      <w:r>
        <w:rPr>
          <w:rFonts w:hint="eastAsia" w:ascii="宋体" w:hAnsi="宋体" w:cs="宋体"/>
          <w:color w:val="auto"/>
          <w:szCs w:val="21"/>
          <w:highlight w:val="none"/>
        </w:rPr>
        <w:t>资格条件发生重大变化，影响或者可能影响资格条件的，供应商应更新或者补充提供的资格证明材料，以证实其各项条件仍能继续满足本章第3.1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规定的供应商资格条件要求。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lang w:val="zh-CN"/>
        </w:rPr>
      </w:pPr>
      <w:r>
        <w:rPr>
          <w:rFonts w:hint="eastAsia" w:ascii="宋体" w:hAnsi="宋体" w:cs="宋体"/>
          <w:color w:val="auto"/>
          <w:szCs w:val="21"/>
          <w:highlight w:val="none"/>
          <w:lang w:eastAsia="zh-CN"/>
        </w:rPr>
        <w:t>15.2</w:t>
      </w:r>
      <w:r>
        <w:rPr>
          <w:rFonts w:hint="eastAsia" w:ascii="宋体" w:hAnsi="宋体" w:cs="宋体"/>
          <w:color w:val="auto"/>
          <w:kern w:val="0"/>
          <w:szCs w:val="21"/>
          <w:highlight w:val="none"/>
          <w:lang w:val="zh-CN"/>
        </w:rPr>
        <w:t>供应商</w:t>
      </w:r>
      <w:r>
        <w:rPr>
          <w:rFonts w:hint="eastAsia" w:ascii="宋体" w:hAnsi="宋体" w:cs="宋体"/>
          <w:color w:val="auto"/>
          <w:szCs w:val="21"/>
          <w:highlight w:val="none"/>
        </w:rPr>
        <w:t>为联合体形式的，则应提交联合体各方资格文件、联合体协议，否则将视为非实质响应而被拒绝。</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w:t>
      </w:r>
      <w:r>
        <w:rPr>
          <w:rFonts w:hint="eastAsia" w:ascii="宋体" w:hAnsi="宋体" w:cs="宋体"/>
          <w:b/>
          <w:bCs/>
          <w:color w:val="auto"/>
          <w:szCs w:val="21"/>
          <w:highlight w:val="none"/>
          <w:lang w:eastAsia="zh-CN"/>
        </w:rPr>
        <w:t>磋商</w:t>
      </w:r>
      <w:r>
        <w:rPr>
          <w:rFonts w:hint="eastAsia" w:ascii="宋体" w:hAnsi="宋体" w:cs="宋体"/>
          <w:b/>
          <w:bCs/>
          <w:color w:val="auto"/>
          <w:szCs w:val="21"/>
          <w:highlight w:val="none"/>
        </w:rPr>
        <w:t>保证金</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bCs/>
          <w:color w:val="auto"/>
          <w:sz w:val="21"/>
          <w:highlight w:val="none"/>
        </w:rPr>
      </w:pPr>
      <w:r>
        <w:rPr>
          <w:rFonts w:hint="eastAsia" w:hAnsi="宋体" w:cs="宋体"/>
          <w:color w:val="auto"/>
          <w:sz w:val="21"/>
          <w:highlight w:val="none"/>
          <w:lang w:eastAsia="zh-CN"/>
        </w:rPr>
        <w:t>16.1</w:t>
      </w:r>
      <w:r>
        <w:rPr>
          <w:rFonts w:hint="eastAsia" w:hAnsi="宋体" w:cs="宋体"/>
          <w:b/>
          <w:color w:val="auto"/>
          <w:sz w:val="21"/>
          <w:highlight w:val="none"/>
        </w:rPr>
        <w:t>磋商须知前附表</w:t>
      </w:r>
      <w:r>
        <w:rPr>
          <w:rFonts w:hint="eastAsia" w:hAnsi="宋体" w:cs="宋体"/>
          <w:color w:val="auto"/>
          <w:sz w:val="21"/>
          <w:highlight w:val="none"/>
        </w:rPr>
        <w:t>规定交纳</w:t>
      </w:r>
      <w:r>
        <w:rPr>
          <w:rFonts w:hint="eastAsia" w:hAnsi="宋体" w:cs="宋体"/>
          <w:bCs/>
          <w:color w:val="auto"/>
          <w:sz w:val="21"/>
          <w:highlight w:val="none"/>
        </w:rPr>
        <w:t>保证金的</w:t>
      </w:r>
      <w:r>
        <w:rPr>
          <w:rFonts w:hint="eastAsia" w:hAnsi="宋体" w:cs="宋体"/>
          <w:color w:val="auto"/>
          <w:sz w:val="21"/>
          <w:highlight w:val="none"/>
        </w:rPr>
        <w:t>，应按</w:t>
      </w:r>
      <w:r>
        <w:rPr>
          <w:rFonts w:hint="eastAsia" w:hAnsi="宋体" w:cs="宋体"/>
          <w:b/>
          <w:color w:val="auto"/>
          <w:sz w:val="21"/>
          <w:highlight w:val="none"/>
        </w:rPr>
        <w:t>磋商须知前附表</w:t>
      </w:r>
      <w:r>
        <w:rPr>
          <w:rFonts w:hint="eastAsia" w:hAnsi="宋体" w:cs="宋体"/>
          <w:color w:val="auto"/>
          <w:sz w:val="21"/>
          <w:highlight w:val="none"/>
        </w:rPr>
        <w:t>规定的</w:t>
      </w:r>
      <w:r>
        <w:rPr>
          <w:rFonts w:hint="eastAsia" w:hAnsi="宋体" w:cs="宋体"/>
          <w:bCs/>
          <w:color w:val="auto"/>
          <w:sz w:val="21"/>
          <w:highlight w:val="none"/>
        </w:rPr>
        <w:t>保证金形式交纳，不得以现金方式交纳</w:t>
      </w:r>
      <w:r>
        <w:rPr>
          <w:rFonts w:hint="eastAsia" w:hAnsi="宋体" w:cs="宋体"/>
          <w:color w:val="auto"/>
          <w:sz w:val="21"/>
          <w:highlight w:val="none"/>
        </w:rPr>
        <w:t>，在本章第</w:t>
      </w:r>
      <w:r>
        <w:rPr>
          <w:rFonts w:hint="eastAsia" w:hAnsi="宋体" w:cs="宋体"/>
          <w:color w:val="auto"/>
          <w:sz w:val="21"/>
          <w:highlight w:val="none"/>
          <w:lang w:eastAsia="zh-CN"/>
        </w:rPr>
        <w:t>10.1</w:t>
      </w:r>
      <w:r>
        <w:rPr>
          <w:rFonts w:hint="eastAsia" w:hAnsi="宋体" w:cs="宋体"/>
          <w:color w:val="auto"/>
          <w:sz w:val="21"/>
          <w:highlight w:val="none"/>
          <w:lang w:val="zh-CN"/>
        </w:rPr>
        <w:t>款</w:t>
      </w:r>
      <w:r>
        <w:rPr>
          <w:rFonts w:hint="eastAsia" w:hAnsi="宋体" w:cs="宋体"/>
          <w:color w:val="auto"/>
          <w:sz w:val="21"/>
          <w:highlight w:val="none"/>
        </w:rPr>
        <w:t>规定的提交首次响应文件截止时间前，</w:t>
      </w:r>
      <w:r>
        <w:rPr>
          <w:rFonts w:hint="eastAsia" w:hAnsi="宋体" w:cs="宋体"/>
          <w:bCs/>
          <w:color w:val="auto"/>
          <w:sz w:val="21"/>
          <w:highlight w:val="none"/>
        </w:rPr>
        <w:t>交纳不超过</w:t>
      </w:r>
      <w:r>
        <w:rPr>
          <w:rFonts w:hint="eastAsia" w:hAnsi="宋体" w:cs="宋体"/>
          <w:color w:val="auto"/>
          <w:sz w:val="21"/>
          <w:highlight w:val="none"/>
          <w:lang w:val="zh-CN"/>
        </w:rPr>
        <w:t>采购项目预算2﹪</w:t>
      </w:r>
      <w:r>
        <w:rPr>
          <w:rFonts w:hint="eastAsia" w:hAnsi="宋体" w:cs="宋体"/>
          <w:bCs/>
          <w:color w:val="auto"/>
          <w:sz w:val="21"/>
          <w:highlight w:val="none"/>
        </w:rPr>
        <w:t>的保证金(</w:t>
      </w:r>
      <w:r>
        <w:rPr>
          <w:rFonts w:hint="eastAsia" w:ascii="宋体" w:hAnsi="宋体" w:eastAsia="宋体" w:cs="宋体"/>
          <w:bCs/>
          <w:color w:val="auto"/>
          <w:sz w:val="21"/>
          <w:highlight w:val="none"/>
        </w:rPr>
        <w:t>数额详见</w:t>
      </w:r>
      <w:r>
        <w:rPr>
          <w:rFonts w:hint="eastAsia" w:ascii="宋体" w:hAnsi="宋体" w:eastAsia="宋体" w:cs="宋体"/>
          <w:b/>
          <w:bCs w:val="0"/>
          <w:color w:val="auto"/>
          <w:sz w:val="21"/>
          <w:highlight w:val="none"/>
        </w:rPr>
        <w:t>磋商须知前附表</w:t>
      </w:r>
      <w:r>
        <w:rPr>
          <w:rFonts w:hint="eastAsia" w:hAnsi="宋体" w:cs="宋体"/>
          <w:bCs/>
          <w:color w:val="auto"/>
          <w:sz w:val="21"/>
          <w:highlight w:val="none"/>
        </w:rPr>
        <w:t>)</w:t>
      </w:r>
      <w:r>
        <w:rPr>
          <w:rFonts w:hint="eastAsia" w:hAnsi="宋体" w:cs="宋体"/>
          <w:color w:val="auto"/>
          <w:sz w:val="21"/>
          <w:highlight w:val="none"/>
        </w:rPr>
        <w:t>。</w:t>
      </w:r>
      <w:r>
        <w:rPr>
          <w:rFonts w:hint="eastAsia" w:hAnsi="宋体" w:cs="宋体"/>
          <w:bCs/>
          <w:color w:val="auto"/>
          <w:sz w:val="21"/>
          <w:highlight w:val="none"/>
        </w:rPr>
        <w:t>保证金有效期应当与</w:t>
      </w:r>
      <w:r>
        <w:rPr>
          <w:rFonts w:hint="eastAsia" w:hAnsi="宋体" w:cs="宋体"/>
          <w:color w:val="auto"/>
          <w:sz w:val="21"/>
          <w:highlight w:val="none"/>
        </w:rPr>
        <w:t>本章第</w:t>
      </w:r>
      <w:r>
        <w:rPr>
          <w:rFonts w:hint="eastAsia" w:hAnsi="宋体" w:cs="宋体"/>
          <w:color w:val="auto"/>
          <w:sz w:val="21"/>
          <w:highlight w:val="none"/>
          <w:lang w:eastAsia="zh-CN"/>
        </w:rPr>
        <w:t>17.1</w:t>
      </w:r>
      <w:r>
        <w:rPr>
          <w:rFonts w:hint="eastAsia" w:hAnsi="宋体" w:cs="宋体"/>
          <w:color w:val="auto"/>
          <w:sz w:val="21"/>
          <w:highlight w:val="none"/>
          <w:lang w:val="zh-CN"/>
        </w:rPr>
        <w:t>款</w:t>
      </w:r>
      <w:r>
        <w:rPr>
          <w:rFonts w:hint="eastAsia" w:hAnsi="宋体" w:cs="宋体"/>
          <w:color w:val="auto"/>
          <w:sz w:val="21"/>
          <w:highlight w:val="none"/>
        </w:rPr>
        <w:t>规定的</w:t>
      </w:r>
      <w:r>
        <w:rPr>
          <w:rFonts w:hint="eastAsia" w:hAnsi="宋体" w:cs="宋体"/>
          <w:bCs/>
          <w:color w:val="auto"/>
          <w:sz w:val="21"/>
          <w:highlight w:val="none"/>
        </w:rPr>
        <w:t>响应文件有效期一致。</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lang w:eastAsia="zh-CN"/>
        </w:rPr>
        <w:t>16.2</w:t>
      </w:r>
      <w:r>
        <w:rPr>
          <w:rFonts w:hint="eastAsia" w:ascii="宋体" w:hAnsi="宋体" w:cs="宋体"/>
          <w:color w:val="auto"/>
          <w:kern w:val="0"/>
          <w:szCs w:val="21"/>
          <w:highlight w:val="none"/>
          <w:lang w:val="zh-CN"/>
        </w:rPr>
        <w:t>供应商为联合体的，可以由联合体中的一方或者共同交纳保证金，其交纳的保证金，对联合体各方均具有约束力。</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16.3</w:t>
      </w:r>
      <w:r>
        <w:rPr>
          <w:rFonts w:hint="eastAsia" w:hAnsi="宋体" w:cs="宋体"/>
          <w:color w:val="auto"/>
          <w:sz w:val="21"/>
          <w:highlight w:val="none"/>
        </w:rPr>
        <w:t xml:space="preserve"> 未按磋商文件规定提交保证金的，</w:t>
      </w:r>
      <w:r>
        <w:rPr>
          <w:rFonts w:hint="eastAsia" w:hAnsi="宋体" w:cs="宋体"/>
          <w:bCs/>
          <w:color w:val="auto"/>
          <w:sz w:val="21"/>
          <w:highlight w:val="none"/>
        </w:rPr>
        <w:t>采购人或采购代理机构应当拒绝接收供应商的响应文件</w:t>
      </w:r>
      <w:r>
        <w:rPr>
          <w:rFonts w:hint="eastAsia" w:hAnsi="宋体" w:cs="宋体"/>
          <w:color w:val="auto"/>
          <w:sz w:val="21"/>
          <w:highlight w:val="none"/>
        </w:rPr>
        <w:t>。</w:t>
      </w:r>
    </w:p>
    <w:p>
      <w:pPr>
        <w:pStyle w:val="12"/>
        <w:keepNext w:val="0"/>
        <w:keepLines w:val="0"/>
        <w:pageBreakBefore w:val="0"/>
        <w:shd w:val="clear" w:color="auto" w:fill="auto"/>
        <w:tabs>
          <w:tab w:val="left" w:pos="6300"/>
        </w:tabs>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16.4</w:t>
      </w:r>
      <w:r>
        <w:rPr>
          <w:rFonts w:hint="eastAsia" w:hAnsi="宋体" w:cs="宋体"/>
          <w:color w:val="auto"/>
          <w:sz w:val="21"/>
          <w:highlight w:val="none"/>
        </w:rPr>
        <w:t>采购代理机构在成交通知书发出后5个工作日内退还未成交供应商的保证金；在采购合同签定后5个工作日内退还成交供应商的保证金，但因供应商自身原因导致无法及时退还的除外。</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16.5</w:t>
      </w:r>
      <w:r>
        <w:rPr>
          <w:rFonts w:hint="eastAsia" w:hAnsi="宋体" w:cs="宋体"/>
          <w:color w:val="auto"/>
          <w:sz w:val="21"/>
          <w:highlight w:val="none"/>
        </w:rPr>
        <w:t xml:space="preserve"> 有下列情形之一的，保证金不予退还，并上缴</w:t>
      </w:r>
      <w:r>
        <w:rPr>
          <w:rFonts w:hint="eastAsia" w:hAnsi="宋体" w:cs="宋体"/>
          <w:color w:val="auto"/>
          <w:sz w:val="21"/>
          <w:highlight w:val="none"/>
          <w:lang w:eastAsia="zh-CN"/>
        </w:rPr>
        <w:t>国库</w:t>
      </w:r>
      <w:r>
        <w:rPr>
          <w:rFonts w:hint="eastAsia" w:hAnsi="宋体" w:cs="宋体"/>
          <w:color w:val="auto"/>
          <w:sz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（1）供应商在</w:t>
      </w:r>
      <w:r>
        <w:rPr>
          <w:rFonts w:hint="eastAsia" w:ascii="宋体" w:hAnsi="宋体" w:cs="宋体"/>
          <w:bCs/>
          <w:color w:val="auto"/>
          <w:szCs w:val="21"/>
          <w:highlight w:val="none"/>
        </w:rPr>
        <w:t>本章第</w:t>
      </w:r>
      <w:r>
        <w:rPr>
          <w:rFonts w:hint="eastAsia" w:ascii="宋体" w:hAnsi="宋体" w:cs="宋体"/>
          <w:bCs/>
          <w:color w:val="auto"/>
          <w:szCs w:val="21"/>
          <w:highlight w:val="none"/>
          <w:lang w:eastAsia="zh-CN"/>
        </w:rPr>
        <w:t>10.1</w:t>
      </w:r>
      <w:r>
        <w:rPr>
          <w:rFonts w:hint="eastAsia" w:ascii="宋体" w:hAnsi="宋体" w:cs="宋体"/>
          <w:color w:val="auto"/>
          <w:kern w:val="0"/>
          <w:szCs w:val="21"/>
          <w:highlight w:val="none"/>
          <w:lang w:val="zh-CN"/>
        </w:rPr>
        <w:t>款</w:t>
      </w:r>
      <w:r>
        <w:rPr>
          <w:rFonts w:hint="eastAsia" w:ascii="宋体" w:hAnsi="宋体" w:cs="宋体"/>
          <w:bCs/>
          <w:color w:val="auto"/>
          <w:szCs w:val="21"/>
          <w:highlight w:val="none"/>
        </w:rPr>
        <w:t>规定的</w:t>
      </w:r>
      <w:r>
        <w:rPr>
          <w:rFonts w:hint="eastAsia" w:ascii="宋体" w:hAnsi="宋体" w:cs="宋体"/>
          <w:color w:val="auto"/>
          <w:kern w:val="0"/>
          <w:szCs w:val="21"/>
          <w:highlight w:val="none"/>
        </w:rPr>
        <w:t>提交首次响应文件截止时间后撤回响应文件的；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（2）供应商在响应文件中提供虚假材料的；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hAnsi="宋体"/>
          <w:color w:val="auto"/>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w:t>
      </w:r>
      <w:r>
        <w:rPr>
          <w:rFonts w:hint="eastAsia" w:hAnsi="宋体"/>
          <w:color w:val="auto"/>
          <w:highlight w:val="none"/>
        </w:rPr>
        <w:t>除因不可抗力或谈判文件认可的情形以外，成交供应商不与采购人签订合同的</w:t>
      </w:r>
      <w:r>
        <w:rPr>
          <w:rFonts w:hint="eastAsia" w:hAnsi="宋体"/>
          <w:color w:val="auto"/>
          <w:highlight w:val="none"/>
          <w:lang w:eastAsia="zh-CN"/>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不按照</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文件要求提交履约保证金</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）供应商与采购人、</w:t>
      </w:r>
      <w:r>
        <w:rPr>
          <w:rFonts w:hint="eastAsia" w:ascii="宋体" w:hAnsi="宋体" w:cs="宋体"/>
          <w:color w:val="auto"/>
          <w:kern w:val="0"/>
          <w:szCs w:val="21"/>
          <w:highlight w:val="none"/>
        </w:rPr>
        <w:t>其他供应商或者采购代理机构恶意串通的；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）磋商文件规定的其他情形。</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w:t>
      </w:r>
      <w:r>
        <w:rPr>
          <w:rFonts w:hint="eastAsia" w:ascii="宋体" w:hAnsi="宋体" w:cs="宋体"/>
          <w:color w:val="auto"/>
          <w:szCs w:val="21"/>
          <w:highlight w:val="none"/>
        </w:rPr>
        <w:t xml:space="preserve"> </w:t>
      </w:r>
      <w:r>
        <w:rPr>
          <w:rFonts w:hint="eastAsia" w:ascii="宋体" w:hAnsi="宋体" w:cs="宋体"/>
          <w:b/>
          <w:color w:val="auto"/>
          <w:szCs w:val="21"/>
          <w:highlight w:val="none"/>
        </w:rPr>
        <w:t>响应文件有效期</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17.1</w:t>
      </w:r>
      <w:r>
        <w:rPr>
          <w:rFonts w:hint="eastAsia" w:ascii="宋体" w:hAnsi="宋体" w:cs="宋体"/>
          <w:color w:val="auto"/>
          <w:szCs w:val="21"/>
          <w:highlight w:val="none"/>
        </w:rPr>
        <w:t>响应文件有效期见</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，在此期间响应文件对供应商具有法律约束力，从本章第</w:t>
      </w:r>
      <w:r>
        <w:rPr>
          <w:rFonts w:hint="eastAsia" w:ascii="宋体" w:hAnsi="宋体" w:cs="宋体"/>
          <w:color w:val="auto"/>
          <w:szCs w:val="21"/>
          <w:highlight w:val="none"/>
          <w:lang w:eastAsia="zh-CN"/>
        </w:rPr>
        <w:t>10.1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w:t>
      </w:r>
      <w:r>
        <w:rPr>
          <w:rFonts w:hint="eastAsia" w:ascii="宋体" w:hAnsi="宋体" w:cs="宋体"/>
          <w:color w:val="auto"/>
          <w:kern w:val="0"/>
          <w:szCs w:val="21"/>
          <w:highlight w:val="none"/>
        </w:rPr>
        <w:t>提交首次响应文件截止时间</w:t>
      </w:r>
      <w:r>
        <w:rPr>
          <w:rFonts w:hint="eastAsia" w:ascii="宋体" w:hAnsi="宋体" w:cs="宋体"/>
          <w:color w:val="auto"/>
          <w:szCs w:val="21"/>
          <w:highlight w:val="none"/>
        </w:rPr>
        <w:t>之日起计算。响应文件有效期不足的将被视为无效响应。</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.响应文件的签署及规定</w:t>
      </w:r>
    </w:p>
    <w:p>
      <w:pPr>
        <w:pStyle w:val="12"/>
        <w:shd w:val="clear" w:color="auto" w:fill="auto"/>
        <w:adjustRightInd w:val="0"/>
        <w:snapToGrid w:val="0"/>
        <w:spacing w:before="156" w:beforeLines="50" w:line="360" w:lineRule="auto"/>
        <w:ind w:firstLine="420" w:firstLineChars="200"/>
        <w:rPr>
          <w:rFonts w:hint="eastAsia" w:hAnsi="宋体"/>
          <w:color w:val="auto"/>
          <w:sz w:val="21"/>
          <w:szCs w:val="21"/>
          <w:highlight w:val="none"/>
        </w:rPr>
      </w:pPr>
      <w:r>
        <w:rPr>
          <w:rFonts w:hint="eastAsia" w:hAnsi="宋体" w:cs="宋体"/>
          <w:color w:val="auto"/>
          <w:sz w:val="21"/>
          <w:szCs w:val="21"/>
          <w:highlight w:val="none"/>
          <w:lang w:eastAsia="zh-CN"/>
        </w:rPr>
        <w:t>18.1</w:t>
      </w:r>
      <w:r>
        <w:rPr>
          <w:rFonts w:hint="eastAsia" w:hAnsi="宋体" w:cs="宋体"/>
          <w:color w:val="auto"/>
          <w:sz w:val="21"/>
          <w:szCs w:val="21"/>
          <w:highlight w:val="none"/>
        </w:rPr>
        <w:t>响应文件的正本一份，副本份数见</w:t>
      </w:r>
      <w:r>
        <w:rPr>
          <w:rFonts w:hint="eastAsia" w:hAnsi="宋体" w:cs="宋体"/>
          <w:b/>
          <w:color w:val="auto"/>
          <w:sz w:val="21"/>
          <w:szCs w:val="21"/>
          <w:highlight w:val="none"/>
        </w:rPr>
        <w:t>磋商须知前附表</w:t>
      </w:r>
      <w:r>
        <w:rPr>
          <w:rFonts w:hint="eastAsia" w:hAnsi="宋体" w:cs="宋体"/>
          <w:color w:val="auto"/>
          <w:sz w:val="21"/>
          <w:szCs w:val="21"/>
          <w:highlight w:val="none"/>
        </w:rPr>
        <w:t>。</w:t>
      </w:r>
      <w:r>
        <w:rPr>
          <w:rFonts w:hint="eastAsia" w:hAnsi="宋体"/>
          <w:color w:val="auto"/>
          <w:sz w:val="21"/>
          <w:szCs w:val="21"/>
          <w:highlight w:val="none"/>
        </w:rPr>
        <w:t>响应文件电子文档（U盘或光盘形式）：</w:t>
      </w:r>
      <w:r>
        <w:rPr>
          <w:rFonts w:hint="eastAsia" w:hAnsi="宋体"/>
          <w:color w:val="auto"/>
          <w:sz w:val="21"/>
          <w:szCs w:val="21"/>
          <w:highlight w:val="none"/>
          <w:lang w:eastAsia="zh-CN"/>
        </w:rPr>
        <w:t>一</w:t>
      </w:r>
      <w:r>
        <w:rPr>
          <w:rFonts w:hint="eastAsia" w:hAnsi="宋体"/>
          <w:color w:val="auto"/>
          <w:sz w:val="21"/>
          <w:szCs w:val="21"/>
          <w:highlight w:val="none"/>
        </w:rPr>
        <w:t>份</w:t>
      </w:r>
      <w:r>
        <w:rPr>
          <w:rFonts w:hint="eastAsia" w:hAnsi="宋体"/>
          <w:b w:val="0"/>
          <w:bCs/>
          <w:color w:val="auto"/>
          <w:sz w:val="21"/>
          <w:szCs w:val="21"/>
          <w:highlight w:val="none"/>
        </w:rPr>
        <w:t>。</w:t>
      </w:r>
      <w:r>
        <w:rPr>
          <w:rFonts w:hint="eastAsia" w:hAnsi="宋体"/>
          <w:color w:val="auto"/>
          <w:sz w:val="21"/>
          <w:szCs w:val="21"/>
          <w:highlight w:val="none"/>
        </w:rPr>
        <w:t>纸质响应文件须清楚地注明“正本”或“副本”的字样。若副本和正本不一致或电子版文件和纸质正本文件不一致时，以纸质正本文件为准。响应文件的正本与副本应分别装订成册，并编制目录。响应文件的副本可为正本的复印件。</w:t>
      </w:r>
    </w:p>
    <w:p>
      <w:pPr>
        <w:pStyle w:val="12"/>
        <w:shd w:val="clear" w:color="auto" w:fill="auto"/>
        <w:adjustRightInd w:val="0"/>
        <w:snapToGrid w:val="0"/>
        <w:spacing w:before="156" w:beforeLines="50" w:line="360" w:lineRule="auto"/>
        <w:ind w:firstLine="420" w:firstLineChars="200"/>
        <w:rPr>
          <w:rFonts w:hint="eastAsia" w:hAnsi="宋体"/>
          <w:color w:val="auto"/>
          <w:sz w:val="21"/>
          <w:szCs w:val="21"/>
          <w:highlight w:val="none"/>
        </w:rPr>
      </w:pPr>
      <w:r>
        <w:rPr>
          <w:rFonts w:hint="eastAsia" w:hAnsi="宋体" w:cs="宋体"/>
          <w:color w:val="auto"/>
          <w:sz w:val="21"/>
          <w:szCs w:val="21"/>
          <w:highlight w:val="none"/>
          <w:lang w:eastAsia="zh-CN"/>
        </w:rPr>
        <w:t>18.2</w:t>
      </w:r>
      <w:r>
        <w:rPr>
          <w:rFonts w:hint="eastAsia" w:hAnsi="宋体" w:cs="宋体"/>
          <w:color w:val="auto"/>
          <w:sz w:val="21"/>
          <w:szCs w:val="21"/>
          <w:highlight w:val="none"/>
        </w:rPr>
        <w:t xml:space="preserve"> 响应文件正本和副本应按磋商文件要求</w:t>
      </w:r>
      <w:r>
        <w:rPr>
          <w:rFonts w:hint="eastAsia" w:hAnsi="宋体" w:cs="宋体"/>
          <w:color w:val="auto"/>
          <w:sz w:val="21"/>
          <w:szCs w:val="21"/>
          <w:highlight w:val="none"/>
          <w:lang w:eastAsia="zh-CN"/>
        </w:rPr>
        <w:t>在</w:t>
      </w:r>
      <w:r>
        <w:rPr>
          <w:rFonts w:hint="eastAsia" w:hAnsi="宋体" w:cs="宋体"/>
          <w:color w:val="auto"/>
          <w:sz w:val="21"/>
          <w:szCs w:val="21"/>
          <w:highlight w:val="none"/>
        </w:rPr>
        <w:t>签章处盖</w:t>
      </w:r>
      <w:r>
        <w:rPr>
          <w:rFonts w:hint="eastAsia" w:hAnsi="宋体" w:cs="宋体"/>
          <w:color w:val="auto"/>
          <w:sz w:val="21"/>
          <w:szCs w:val="21"/>
          <w:highlight w:val="none"/>
          <w:lang w:eastAsia="zh-CN"/>
        </w:rPr>
        <w:t>供应商单位公</w:t>
      </w:r>
      <w:r>
        <w:rPr>
          <w:rFonts w:hint="eastAsia" w:hAnsi="宋体" w:cs="宋体"/>
          <w:color w:val="auto"/>
          <w:sz w:val="21"/>
          <w:szCs w:val="21"/>
          <w:highlight w:val="none"/>
        </w:rPr>
        <w:t>章和</w:t>
      </w:r>
      <w:r>
        <w:rPr>
          <w:rFonts w:hint="eastAsia" w:hAnsi="宋体"/>
          <w:color w:val="auto"/>
          <w:sz w:val="21"/>
          <w:szCs w:val="21"/>
          <w:highlight w:val="none"/>
        </w:rPr>
        <w:t>在签字处</w:t>
      </w:r>
      <w:r>
        <w:rPr>
          <w:rFonts w:hint="eastAsia" w:hAnsi="宋体" w:cs="宋体"/>
          <w:color w:val="auto"/>
          <w:sz w:val="21"/>
          <w:szCs w:val="21"/>
          <w:highlight w:val="none"/>
        </w:rPr>
        <w:t>由</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代表签字</w:t>
      </w:r>
      <w:r>
        <w:rPr>
          <w:rFonts w:hint="eastAsia" w:hAnsi="宋体"/>
          <w:color w:val="auto"/>
          <w:sz w:val="21"/>
          <w:szCs w:val="21"/>
          <w:highlight w:val="none"/>
        </w:rPr>
        <w:t>。供应商代表可为供应商法定代表人(非法人组织为负责人或合伙人、个体工商户为负责人，</w:t>
      </w:r>
      <w:r>
        <w:rPr>
          <w:rFonts w:hint="eastAsia" w:hAnsi="宋体"/>
          <w:color w:val="auto"/>
          <w:sz w:val="21"/>
          <w:szCs w:val="21"/>
          <w:highlight w:val="none"/>
          <w:lang w:eastAsia="zh-CN"/>
        </w:rPr>
        <w:t>磋商</w:t>
      </w:r>
      <w:r>
        <w:rPr>
          <w:rFonts w:hint="eastAsia" w:hAnsi="宋体"/>
          <w:color w:val="auto"/>
          <w:sz w:val="21"/>
          <w:szCs w:val="21"/>
          <w:highlight w:val="none"/>
        </w:rPr>
        <w:t>文件统称单位负责人)；供应商代表不是供应商的法定代表人（单位负责人）的，应提供法定代表人（单位负责人）授权委托书。</w:t>
      </w:r>
    </w:p>
    <w:p>
      <w:pPr>
        <w:pStyle w:val="12"/>
        <w:shd w:val="clear" w:color="auto" w:fill="auto"/>
        <w:adjustRightInd w:val="0"/>
        <w:snapToGrid w:val="0"/>
        <w:spacing w:before="156" w:beforeLines="50" w:line="360" w:lineRule="auto"/>
        <w:ind w:firstLine="420" w:firstLineChars="200"/>
        <w:rPr>
          <w:rFonts w:hint="eastAsia" w:hAnsi="宋体" w:cs="宋体"/>
          <w:color w:val="auto"/>
          <w:sz w:val="21"/>
          <w:highlight w:val="none"/>
        </w:rPr>
      </w:pPr>
      <w:r>
        <w:rPr>
          <w:rFonts w:hint="eastAsia" w:hAnsi="宋体"/>
          <w:color w:val="auto"/>
          <w:sz w:val="21"/>
          <w:szCs w:val="21"/>
          <w:highlight w:val="none"/>
          <w:lang w:val="en-US" w:eastAsia="zh-CN"/>
        </w:rPr>
        <w:t xml:space="preserve">18.3 </w:t>
      </w:r>
      <w:r>
        <w:rPr>
          <w:rFonts w:hint="eastAsia" w:hAnsi="宋体"/>
          <w:color w:val="auto"/>
          <w:sz w:val="21"/>
          <w:szCs w:val="21"/>
          <w:highlight w:val="none"/>
        </w:rPr>
        <w:t>响应文件任何加行、涂改、增删等改动，改动之处应由</w:t>
      </w:r>
      <w:r>
        <w:rPr>
          <w:rFonts w:hint="eastAsia" w:hAnsi="宋体" w:cs="宋体"/>
          <w:color w:val="auto"/>
          <w:sz w:val="21"/>
          <w:highlight w:val="none"/>
          <w:lang w:eastAsia="zh-CN"/>
        </w:rPr>
        <w:t>供应商代表</w:t>
      </w:r>
      <w:r>
        <w:rPr>
          <w:rFonts w:hint="eastAsia" w:hAnsi="宋体" w:cs="宋体"/>
          <w:color w:val="auto"/>
          <w:sz w:val="21"/>
          <w:highlight w:val="none"/>
        </w:rPr>
        <w:t>签字</w:t>
      </w:r>
      <w:r>
        <w:rPr>
          <w:rFonts w:hint="eastAsia" w:hAnsi="宋体"/>
          <w:color w:val="auto"/>
          <w:sz w:val="21"/>
          <w:szCs w:val="21"/>
          <w:highlight w:val="none"/>
        </w:rPr>
        <w:t>。否则，将导致</w:t>
      </w:r>
      <w:r>
        <w:rPr>
          <w:rFonts w:hint="eastAsia" w:hAnsi="宋体"/>
          <w:b/>
          <w:color w:val="auto"/>
          <w:sz w:val="21"/>
          <w:szCs w:val="21"/>
          <w:highlight w:val="none"/>
        </w:rPr>
        <w:t>响应文件无效。</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18.</w:t>
      </w:r>
      <w:r>
        <w:rPr>
          <w:rFonts w:hint="eastAsia" w:hAnsi="宋体" w:cs="宋体"/>
          <w:color w:val="auto"/>
          <w:sz w:val="21"/>
          <w:highlight w:val="none"/>
          <w:lang w:val="en-US" w:eastAsia="zh-CN"/>
        </w:rPr>
        <w:t>4</w:t>
      </w:r>
      <w:r>
        <w:rPr>
          <w:rFonts w:hint="eastAsia" w:hAnsi="宋体" w:cs="宋体"/>
          <w:color w:val="auto"/>
          <w:sz w:val="21"/>
          <w:highlight w:val="none"/>
        </w:rPr>
        <w:t xml:space="preserve"> 在磋商过程中，供应商按磋商文件规定和磋商小组要求提交的最后报价(或者</w:t>
      </w:r>
      <w:r>
        <w:rPr>
          <w:rFonts w:hint="eastAsia" w:hAnsi="宋体" w:cs="宋体"/>
          <w:bCs/>
          <w:color w:val="auto"/>
          <w:sz w:val="21"/>
          <w:highlight w:val="none"/>
        </w:rPr>
        <w:t>重</w:t>
      </w:r>
      <w:r>
        <w:rPr>
          <w:rFonts w:hint="eastAsia" w:hAnsi="宋体" w:cs="宋体"/>
          <w:color w:val="auto"/>
          <w:sz w:val="21"/>
          <w:highlight w:val="none"/>
        </w:rPr>
        <w:t>新提交的响应文件和最后报价)，可打印或用不退色</w:t>
      </w:r>
      <w:r>
        <w:rPr>
          <w:rFonts w:hint="eastAsia" w:hAnsi="宋体" w:cs="宋体"/>
          <w:color w:val="auto"/>
          <w:sz w:val="21"/>
          <w:highlight w:val="none"/>
          <w:lang w:eastAsia="zh-CN"/>
        </w:rPr>
        <w:t>材料</w:t>
      </w:r>
      <w:r>
        <w:rPr>
          <w:rFonts w:hint="eastAsia" w:hAnsi="宋体" w:cs="宋体"/>
          <w:color w:val="auto"/>
          <w:sz w:val="21"/>
          <w:highlight w:val="none"/>
        </w:rPr>
        <w:t>书写，</w:t>
      </w:r>
      <w:r>
        <w:rPr>
          <w:rFonts w:hint="eastAsia" w:hAnsi="宋体" w:cs="宋体"/>
          <w:color w:val="auto"/>
          <w:sz w:val="21"/>
          <w:highlight w:val="none"/>
          <w:lang w:eastAsia="zh-CN"/>
        </w:rPr>
        <w:t>并经供应商代表签字</w:t>
      </w:r>
      <w:r>
        <w:rPr>
          <w:rFonts w:hint="eastAsia" w:hAnsi="宋体" w:cs="宋体"/>
          <w:color w:val="auto"/>
          <w:sz w:val="21"/>
          <w:highlight w:val="none"/>
        </w:rPr>
        <w:t>，或者加盖供应商单位</w:t>
      </w:r>
      <w:r>
        <w:rPr>
          <w:rFonts w:hint="eastAsia" w:hAnsi="宋体" w:cs="宋体"/>
          <w:color w:val="auto"/>
          <w:sz w:val="21"/>
          <w:highlight w:val="none"/>
          <w:lang w:eastAsia="zh-CN"/>
        </w:rPr>
        <w:t>公</w:t>
      </w:r>
      <w:r>
        <w:rPr>
          <w:rFonts w:hint="eastAsia" w:hAnsi="宋体" w:cs="宋体"/>
          <w:color w:val="auto"/>
          <w:sz w:val="21"/>
          <w:highlight w:val="none"/>
        </w:rPr>
        <w:t>章。否则，将导致响应文件无效。</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textAlignment w:val="auto"/>
        <w:outlineLvl w:val="2"/>
        <w:rPr>
          <w:rFonts w:hint="eastAsia" w:ascii="宋体" w:hAnsi="宋体" w:cs="宋体"/>
          <w:b/>
          <w:color w:val="auto"/>
          <w:szCs w:val="21"/>
          <w:highlight w:val="none"/>
        </w:rPr>
      </w:pPr>
      <w:bookmarkStart w:id="20" w:name="_Toc28031"/>
      <w:bookmarkStart w:id="21" w:name="_Toc7132"/>
      <w:r>
        <w:rPr>
          <w:rFonts w:hint="eastAsia" w:ascii="宋体" w:hAnsi="宋体" w:cs="宋体"/>
          <w:b/>
          <w:color w:val="auto"/>
          <w:szCs w:val="21"/>
          <w:highlight w:val="none"/>
        </w:rPr>
        <w:t>四、响应文件的递交</w:t>
      </w:r>
      <w:bookmarkEnd w:id="20"/>
      <w:bookmarkEnd w:id="21"/>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19</w:t>
      </w:r>
      <w:r>
        <w:rPr>
          <w:rFonts w:hint="eastAsia" w:ascii="宋体" w:hAnsi="宋体" w:cs="宋体"/>
          <w:b/>
          <w:bCs/>
          <w:color w:val="auto"/>
          <w:szCs w:val="21"/>
          <w:highlight w:val="none"/>
        </w:rPr>
        <w:t>.</w:t>
      </w:r>
      <w:r>
        <w:rPr>
          <w:rFonts w:hint="eastAsia" w:ascii="宋体" w:hAnsi="宋体" w:cs="宋体"/>
          <w:b/>
          <w:color w:val="auto"/>
          <w:szCs w:val="21"/>
          <w:highlight w:val="none"/>
        </w:rPr>
        <w:t>响应文件</w:t>
      </w:r>
      <w:r>
        <w:rPr>
          <w:rFonts w:hint="eastAsia" w:ascii="宋体" w:hAnsi="宋体" w:cs="宋体"/>
          <w:b/>
          <w:bCs/>
          <w:color w:val="auto"/>
          <w:szCs w:val="21"/>
          <w:highlight w:val="none"/>
        </w:rPr>
        <w:t>的密封和标记</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eastAsia="宋体" w:cs="宋体"/>
          <w:color w:val="auto"/>
          <w:sz w:val="21"/>
          <w:highlight w:val="none"/>
          <w:lang w:eastAsia="zh-CN"/>
        </w:rPr>
      </w:pPr>
      <w:r>
        <w:rPr>
          <w:rFonts w:hint="eastAsia" w:hAnsi="宋体" w:cs="宋体"/>
          <w:color w:val="auto"/>
          <w:sz w:val="21"/>
          <w:highlight w:val="none"/>
          <w:lang w:val="en-US" w:eastAsia="zh-CN"/>
        </w:rPr>
        <w:t>19</w:t>
      </w:r>
      <w:r>
        <w:rPr>
          <w:rFonts w:hint="eastAsia" w:hAnsi="宋体" w:cs="宋体"/>
          <w:color w:val="auto"/>
          <w:sz w:val="21"/>
          <w:highlight w:val="none"/>
        </w:rPr>
        <w:t>.1</w:t>
      </w:r>
      <w:r>
        <w:rPr>
          <w:rFonts w:hint="eastAsia" w:hAnsi="宋体" w:cs="宋体"/>
          <w:color w:val="auto"/>
          <w:sz w:val="21"/>
          <w:highlight w:val="none"/>
          <w:lang w:val="en-US" w:eastAsia="zh-CN"/>
        </w:rPr>
        <w:t xml:space="preserve"> </w:t>
      </w:r>
      <w:r>
        <w:rPr>
          <w:rFonts w:hint="eastAsia" w:hAnsi="宋体" w:cs="宋体"/>
          <w:color w:val="auto"/>
          <w:sz w:val="21"/>
          <w:highlight w:val="none"/>
        </w:rPr>
        <w:t>响应文件应密封包装，加贴封条，并在封套的封口处盖供应商单位</w:t>
      </w:r>
      <w:r>
        <w:rPr>
          <w:rFonts w:hint="eastAsia" w:hAnsi="宋体" w:cs="宋体"/>
          <w:color w:val="auto"/>
          <w:sz w:val="21"/>
          <w:highlight w:val="none"/>
          <w:lang w:eastAsia="zh-CN"/>
        </w:rPr>
        <w:t>公</w:t>
      </w:r>
      <w:r>
        <w:rPr>
          <w:rFonts w:hint="eastAsia" w:hAnsi="宋体" w:cs="宋体"/>
          <w:color w:val="auto"/>
          <w:sz w:val="21"/>
          <w:highlight w:val="none"/>
        </w:rPr>
        <w:t>章或者由</w:t>
      </w:r>
      <w:r>
        <w:rPr>
          <w:rFonts w:hint="eastAsia" w:hAnsi="宋体" w:cs="宋体"/>
          <w:color w:val="auto"/>
          <w:sz w:val="21"/>
          <w:highlight w:val="none"/>
          <w:lang w:eastAsia="zh-CN"/>
        </w:rPr>
        <w:t>供应商代表</w:t>
      </w:r>
      <w:r>
        <w:rPr>
          <w:rFonts w:hint="eastAsia" w:hAnsi="宋体" w:cs="宋体"/>
          <w:color w:val="auto"/>
          <w:sz w:val="21"/>
          <w:highlight w:val="none"/>
        </w:rPr>
        <w:t>签字。</w:t>
      </w:r>
      <w:r>
        <w:rPr>
          <w:rFonts w:hint="eastAsia" w:hAnsi="宋体" w:cs="宋体"/>
          <w:color w:val="auto"/>
          <w:sz w:val="21"/>
          <w:highlight w:val="none"/>
          <w:lang w:eastAsia="zh-CN"/>
        </w:rPr>
        <w:t>响应文件密封见</w:t>
      </w:r>
      <w:r>
        <w:rPr>
          <w:rFonts w:hint="eastAsia" w:ascii="宋体" w:hAnsi="宋体" w:eastAsia="宋体" w:cs="Times New Roman"/>
          <w:b/>
          <w:bCs/>
          <w:color w:val="auto"/>
          <w:kern w:val="0"/>
          <w:sz w:val="21"/>
          <w:szCs w:val="21"/>
          <w:highlight w:val="none"/>
          <w:lang w:val="en-US" w:eastAsia="zh-CN" w:bidi="ar-SA"/>
        </w:rPr>
        <w:t>磋商须知前附表。</w:t>
      </w:r>
    </w:p>
    <w:p>
      <w:pPr>
        <w:shd w:val="clear" w:color="auto" w:fill="auto"/>
        <w:adjustRightInd w:val="0"/>
        <w:snapToGrid w:val="0"/>
        <w:spacing w:beforeLines="50" w:line="360" w:lineRule="auto"/>
        <w:ind w:firstLine="420" w:firstLineChars="200"/>
        <w:jc w:val="left"/>
        <w:rPr>
          <w:rFonts w:hint="eastAsia" w:ascii="宋体" w:hAnsi="宋体" w:eastAsia="宋体" w:cs="Times New Roman"/>
          <w:color w:val="auto"/>
          <w:kern w:val="0"/>
          <w:sz w:val="21"/>
          <w:szCs w:val="21"/>
          <w:highlight w:val="none"/>
          <w:lang w:val="en-US" w:eastAsia="zh-CN" w:bidi="ar-SA"/>
        </w:rPr>
      </w:pPr>
      <w:r>
        <w:rPr>
          <w:rFonts w:hint="eastAsia" w:ascii="宋体" w:hAnsi="宋体" w:cs="宋体"/>
          <w:color w:val="auto"/>
          <w:szCs w:val="21"/>
          <w:highlight w:val="none"/>
          <w:lang w:eastAsia="zh-CN"/>
        </w:rPr>
        <w:t>19.2</w:t>
      </w:r>
      <w:r>
        <w:rPr>
          <w:rFonts w:hint="eastAsia" w:ascii="宋体" w:hAnsi="宋体" w:cs="宋体"/>
          <w:color w:val="auto"/>
          <w:szCs w:val="21"/>
          <w:highlight w:val="none"/>
          <w:lang w:val="en-US" w:eastAsia="zh-CN"/>
        </w:rPr>
        <w:t xml:space="preserve"> </w:t>
      </w:r>
      <w:r>
        <w:rPr>
          <w:rFonts w:hint="eastAsia" w:ascii="宋体" w:hAnsi="宋体" w:eastAsia="宋体" w:cs="Times New Roman"/>
          <w:color w:val="auto"/>
          <w:kern w:val="0"/>
          <w:sz w:val="21"/>
          <w:szCs w:val="21"/>
          <w:highlight w:val="none"/>
          <w:lang w:val="en-US" w:eastAsia="zh-CN" w:bidi="ar-SA"/>
        </w:rPr>
        <w:t>响应文件密封袋上应载明的内容见</w:t>
      </w:r>
      <w:r>
        <w:rPr>
          <w:rFonts w:hint="eastAsia" w:ascii="宋体" w:hAnsi="宋体" w:eastAsia="宋体" w:cs="Times New Roman"/>
          <w:b/>
          <w:bCs/>
          <w:color w:val="auto"/>
          <w:kern w:val="0"/>
          <w:sz w:val="21"/>
          <w:szCs w:val="21"/>
          <w:highlight w:val="none"/>
          <w:lang w:val="en-US" w:eastAsia="zh-CN" w:bidi="ar-SA"/>
        </w:rPr>
        <w:t>磋商须知前附表。</w:t>
      </w:r>
    </w:p>
    <w:p>
      <w:pPr>
        <w:shd w:val="clear" w:color="auto" w:fill="auto"/>
        <w:adjustRightInd w:val="0"/>
        <w:snapToGrid w:val="0"/>
        <w:spacing w:beforeLines="50" w:line="360" w:lineRule="auto"/>
        <w:ind w:firstLine="420" w:firstLineChars="200"/>
        <w:jc w:val="left"/>
        <w:rPr>
          <w:rFonts w:hint="eastAsia"/>
          <w:color w:val="auto"/>
          <w:highlight w:val="none"/>
          <w:lang w:val="en-US" w:eastAsia="zh-CN"/>
        </w:rPr>
      </w:pPr>
      <w:r>
        <w:rPr>
          <w:rFonts w:hint="eastAsia" w:ascii="宋体" w:hAnsi="宋体" w:eastAsia="宋体" w:cs="Times New Roman"/>
          <w:color w:val="auto"/>
          <w:kern w:val="0"/>
          <w:sz w:val="21"/>
          <w:szCs w:val="21"/>
          <w:highlight w:val="none"/>
          <w:lang w:val="en-US" w:eastAsia="zh-CN" w:bidi="ar-SA"/>
        </w:rPr>
        <w:t>19.3 为便于进行资格审查，供应商应将第一部分资格证明文件单独密封，并在响应文件密封袋上标明“资格证明文件”字样，在首次响应文件递交截止时间前单独递交。</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color w:val="auto"/>
          <w:highlight w:val="none"/>
        </w:rPr>
      </w:pPr>
      <w:r>
        <w:rPr>
          <w:rFonts w:hint="eastAsia" w:ascii="宋体" w:hAnsi="宋体" w:cs="宋体"/>
          <w:color w:val="auto"/>
          <w:szCs w:val="21"/>
          <w:highlight w:val="none"/>
          <w:lang w:eastAsia="zh-CN"/>
        </w:rPr>
        <w:t>19.</w:t>
      </w:r>
      <w:r>
        <w:rPr>
          <w:rFonts w:hint="eastAsia" w:ascii="宋体" w:hAnsi="宋体" w:cs="宋体"/>
          <w:color w:val="auto"/>
          <w:szCs w:val="21"/>
          <w:highlight w:val="none"/>
          <w:lang w:val="en-US" w:eastAsia="zh-CN"/>
        </w:rPr>
        <w:t xml:space="preserve">4 </w:t>
      </w:r>
      <w:r>
        <w:rPr>
          <w:rFonts w:hint="eastAsia" w:ascii="宋体" w:hAnsi="宋体" w:cs="宋体"/>
          <w:color w:val="auto"/>
          <w:szCs w:val="21"/>
          <w:highlight w:val="none"/>
        </w:rPr>
        <w:t>响应文件如果未按上述规定密封和加写标记，采购人或采购代理机构</w:t>
      </w:r>
      <w:r>
        <w:rPr>
          <w:rFonts w:hint="eastAsia" w:ascii="宋体" w:hAnsi="宋体" w:cs="宋体"/>
          <w:b/>
          <w:bCs/>
          <w:color w:val="auto"/>
          <w:szCs w:val="21"/>
          <w:highlight w:val="none"/>
          <w:lang w:eastAsia="zh-CN"/>
        </w:rPr>
        <w:t>应当</w:t>
      </w:r>
      <w:r>
        <w:rPr>
          <w:rFonts w:hint="eastAsia" w:ascii="宋体" w:hAnsi="宋体" w:cs="宋体"/>
          <w:b/>
          <w:bCs/>
          <w:color w:val="auto"/>
          <w:szCs w:val="21"/>
          <w:highlight w:val="none"/>
        </w:rPr>
        <w:t>拒收</w:t>
      </w:r>
      <w:r>
        <w:rPr>
          <w:rFonts w:hint="eastAsia" w:ascii="宋体" w:hAnsi="宋体" w:cs="宋体"/>
          <w:color w:val="auto"/>
          <w:szCs w:val="21"/>
          <w:highlight w:val="none"/>
        </w:rPr>
        <w:t>。</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.响应文件的</w:t>
      </w:r>
      <w:r>
        <w:rPr>
          <w:rFonts w:hint="eastAsia" w:ascii="宋体" w:hAnsi="宋体" w:cs="宋体"/>
          <w:b/>
          <w:color w:val="auto"/>
          <w:kern w:val="0"/>
          <w:szCs w:val="21"/>
          <w:highlight w:val="none"/>
          <w:lang w:val="zh-CN"/>
        </w:rPr>
        <w:t>补充、修改或者撤回</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20.1</w:t>
      </w:r>
      <w:r>
        <w:rPr>
          <w:rFonts w:hint="eastAsia" w:hAnsi="宋体" w:cs="宋体"/>
          <w:color w:val="auto"/>
          <w:sz w:val="21"/>
          <w:highlight w:val="none"/>
        </w:rPr>
        <w:t>供应商在本章第</w:t>
      </w:r>
      <w:r>
        <w:rPr>
          <w:rFonts w:hint="eastAsia" w:hAnsi="宋体" w:cs="宋体"/>
          <w:color w:val="auto"/>
          <w:sz w:val="21"/>
          <w:highlight w:val="none"/>
          <w:lang w:eastAsia="zh-CN"/>
        </w:rPr>
        <w:t>10.1</w:t>
      </w:r>
      <w:r>
        <w:rPr>
          <w:rFonts w:hint="eastAsia" w:hAnsi="宋体" w:cs="宋体"/>
          <w:color w:val="auto"/>
          <w:sz w:val="21"/>
          <w:highlight w:val="none"/>
          <w:lang w:val="zh-CN"/>
        </w:rPr>
        <w:t>款</w:t>
      </w:r>
      <w:r>
        <w:rPr>
          <w:rFonts w:hint="eastAsia" w:hAnsi="宋体" w:cs="宋体"/>
          <w:color w:val="auto"/>
          <w:sz w:val="21"/>
          <w:highlight w:val="none"/>
        </w:rPr>
        <w:t>规定的提交首次响应文件截止时间前，可以对所提交的首次响应文件进行补充、修改或者撤回，并书面通知采购人、采购代理机</w:t>
      </w:r>
      <w:r>
        <w:rPr>
          <w:rFonts w:hint="eastAsia" w:ascii="宋体" w:hAnsi="宋体" w:eastAsia="宋体" w:cs="宋体"/>
          <w:color w:val="auto"/>
          <w:sz w:val="21"/>
          <w:highlight w:val="none"/>
        </w:rPr>
        <w:t>构。该通知应</w:t>
      </w:r>
      <w:r>
        <w:rPr>
          <w:rFonts w:hint="eastAsia" w:ascii="宋体" w:hAnsi="宋体" w:eastAsia="宋体" w:cs="宋体"/>
          <w:color w:val="auto"/>
          <w:sz w:val="21"/>
          <w:highlight w:val="none"/>
          <w:lang w:eastAsia="zh-CN"/>
        </w:rPr>
        <w:t>有</w:t>
      </w:r>
      <w:r>
        <w:rPr>
          <w:rFonts w:hint="eastAsia" w:ascii="宋体" w:hAnsi="宋体" w:eastAsia="宋体" w:cs="宋体"/>
          <w:color w:val="auto"/>
          <w:sz w:val="21"/>
          <w:highlight w:val="none"/>
        </w:rPr>
        <w:t>供应商</w:t>
      </w:r>
      <w:r>
        <w:rPr>
          <w:rFonts w:hint="eastAsia" w:hAnsi="宋体" w:cs="宋体"/>
          <w:color w:val="auto"/>
          <w:sz w:val="21"/>
          <w:highlight w:val="none"/>
        </w:rPr>
        <w:t>代表签字。</w:t>
      </w:r>
      <w:r>
        <w:rPr>
          <w:rFonts w:hint="eastAsia" w:ascii="宋体" w:hAnsi="宋体" w:eastAsia="宋体" w:cs="宋体"/>
          <w:color w:val="auto"/>
          <w:sz w:val="21"/>
          <w:highlight w:val="none"/>
        </w:rPr>
        <w:t>补充、修改的内容作为响应文件的组成部分。</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20.2</w:t>
      </w:r>
      <w:r>
        <w:rPr>
          <w:rFonts w:hint="eastAsia" w:hAnsi="宋体" w:cs="宋体"/>
          <w:color w:val="auto"/>
          <w:sz w:val="21"/>
          <w:highlight w:val="none"/>
          <w:lang w:val="zh-CN"/>
        </w:rPr>
        <w:t>补充、修改的内容与响应文件不一致时，以补充、修改的内容为准。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.响应文件的递交与接收</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21.1</w:t>
      </w:r>
      <w:r>
        <w:rPr>
          <w:rFonts w:hint="eastAsia" w:ascii="宋体" w:hAnsi="宋体" w:cs="宋体"/>
          <w:color w:val="auto"/>
          <w:szCs w:val="21"/>
          <w:highlight w:val="none"/>
        </w:rPr>
        <w:t xml:space="preserve"> 供应商应在本章第</w:t>
      </w:r>
      <w:r>
        <w:rPr>
          <w:rFonts w:hint="eastAsia" w:ascii="宋体" w:hAnsi="宋体" w:cs="宋体"/>
          <w:color w:val="auto"/>
          <w:szCs w:val="21"/>
          <w:highlight w:val="none"/>
          <w:lang w:eastAsia="zh-CN"/>
        </w:rPr>
        <w:t>10.1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w:t>
      </w:r>
      <w:r>
        <w:rPr>
          <w:rFonts w:hint="eastAsia" w:ascii="宋体" w:hAnsi="宋体" w:cs="宋体"/>
          <w:color w:val="auto"/>
          <w:kern w:val="0"/>
          <w:szCs w:val="21"/>
          <w:highlight w:val="none"/>
        </w:rPr>
        <w:t>截止时间</w:t>
      </w:r>
      <w:r>
        <w:rPr>
          <w:rFonts w:hint="eastAsia" w:ascii="宋体" w:hAnsi="宋体" w:cs="宋体"/>
          <w:color w:val="auto"/>
          <w:szCs w:val="21"/>
          <w:highlight w:val="none"/>
        </w:rPr>
        <w:t>前，将响应文件送达</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中指定的地点。</w:t>
      </w:r>
      <w:r>
        <w:rPr>
          <w:rFonts w:hint="eastAsia" w:ascii="宋体" w:hAnsi="宋体" w:cs="宋体"/>
          <w:color w:val="auto"/>
          <w:kern w:val="0"/>
          <w:szCs w:val="21"/>
          <w:highlight w:val="none"/>
        </w:rPr>
        <w:t>在截止时间后送达的响应文件，采购人、采购代理机构或者磋商小组应当拒收。</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21.2</w:t>
      </w:r>
      <w:r>
        <w:rPr>
          <w:rFonts w:hint="eastAsia" w:hAnsi="宋体" w:cs="宋体"/>
          <w:color w:val="auto"/>
          <w:sz w:val="21"/>
          <w:highlight w:val="none"/>
        </w:rPr>
        <w:t>在本章第</w:t>
      </w:r>
      <w:r>
        <w:rPr>
          <w:rFonts w:hint="eastAsia" w:hAnsi="宋体" w:cs="宋体"/>
          <w:color w:val="auto"/>
          <w:sz w:val="21"/>
          <w:highlight w:val="none"/>
          <w:lang w:eastAsia="zh-CN"/>
        </w:rPr>
        <w:t>10.1</w:t>
      </w:r>
      <w:r>
        <w:rPr>
          <w:rFonts w:hint="eastAsia" w:hAnsi="宋体" w:cs="宋体"/>
          <w:color w:val="auto"/>
          <w:sz w:val="21"/>
          <w:highlight w:val="none"/>
          <w:lang w:val="zh-CN"/>
        </w:rPr>
        <w:t>款</w:t>
      </w:r>
      <w:r>
        <w:rPr>
          <w:rFonts w:hint="eastAsia" w:hAnsi="宋体" w:cs="宋体"/>
          <w:color w:val="auto"/>
          <w:sz w:val="21"/>
          <w:highlight w:val="none"/>
        </w:rPr>
        <w:t>规定的提交首次响应文件截止时间后，由</w:t>
      </w:r>
      <w:r>
        <w:rPr>
          <w:rFonts w:hint="eastAsia" w:hAnsi="宋体" w:cs="宋体"/>
          <w:bCs/>
          <w:color w:val="auto"/>
          <w:sz w:val="21"/>
          <w:highlight w:val="none"/>
        </w:rPr>
        <w:t>供应商代表</w:t>
      </w:r>
      <w:r>
        <w:rPr>
          <w:rFonts w:hint="eastAsia" w:hAnsi="宋体" w:cs="宋体"/>
          <w:color w:val="auto"/>
          <w:sz w:val="21"/>
          <w:highlight w:val="none"/>
        </w:rPr>
        <w:t>当场查验</w:t>
      </w:r>
      <w:r>
        <w:rPr>
          <w:rFonts w:hint="eastAsia" w:hAnsi="宋体" w:cs="宋体"/>
          <w:bCs/>
          <w:color w:val="auto"/>
          <w:sz w:val="21"/>
          <w:highlight w:val="none"/>
        </w:rPr>
        <w:t>响应文件</w:t>
      </w:r>
      <w:r>
        <w:rPr>
          <w:rFonts w:hint="eastAsia" w:hAnsi="宋体" w:cs="宋体"/>
          <w:color w:val="auto"/>
          <w:sz w:val="21"/>
          <w:highlight w:val="none"/>
        </w:rPr>
        <w:t>的密封状况，采购人或</w:t>
      </w:r>
      <w:r>
        <w:rPr>
          <w:rFonts w:hint="eastAsia" w:hAnsi="宋体" w:cs="宋体"/>
          <w:bCs/>
          <w:color w:val="auto"/>
          <w:sz w:val="21"/>
          <w:highlight w:val="none"/>
        </w:rPr>
        <w:t>采购代理机构</w:t>
      </w:r>
      <w:r>
        <w:rPr>
          <w:rFonts w:hint="eastAsia" w:hAnsi="宋体" w:cs="宋体"/>
          <w:color w:val="auto"/>
          <w:sz w:val="21"/>
          <w:highlight w:val="none"/>
        </w:rPr>
        <w:t>不当场拆封</w:t>
      </w:r>
      <w:r>
        <w:rPr>
          <w:rFonts w:hint="eastAsia" w:hAnsi="宋体" w:cs="宋体"/>
          <w:bCs/>
          <w:color w:val="auto"/>
          <w:sz w:val="21"/>
          <w:highlight w:val="none"/>
        </w:rPr>
        <w:t>响应文件</w:t>
      </w:r>
      <w:r>
        <w:rPr>
          <w:rFonts w:hint="eastAsia" w:hAnsi="宋体" w:cs="宋体"/>
          <w:color w:val="auto"/>
          <w:sz w:val="21"/>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hanging="632" w:hangingChars="300"/>
        <w:textAlignment w:val="auto"/>
        <w:outlineLvl w:val="2"/>
        <w:rPr>
          <w:rFonts w:hint="eastAsia" w:ascii="宋体" w:hAnsi="宋体" w:cs="宋体"/>
          <w:b/>
          <w:bCs/>
          <w:color w:val="auto"/>
          <w:szCs w:val="21"/>
          <w:highlight w:val="none"/>
        </w:rPr>
      </w:pPr>
      <w:bookmarkStart w:id="22" w:name="_Toc24841"/>
      <w:bookmarkStart w:id="23" w:name="_Toc25544"/>
      <w:r>
        <w:rPr>
          <w:rFonts w:hint="eastAsia" w:ascii="宋体" w:hAnsi="宋体" w:cs="宋体"/>
          <w:b/>
          <w:bCs/>
          <w:color w:val="auto"/>
          <w:szCs w:val="21"/>
          <w:highlight w:val="none"/>
        </w:rPr>
        <w:t>五、响应文件的</w:t>
      </w:r>
      <w:r>
        <w:rPr>
          <w:rFonts w:hint="eastAsia" w:ascii="宋体" w:hAnsi="宋体" w:cs="宋体"/>
          <w:b/>
          <w:color w:val="auto"/>
          <w:szCs w:val="21"/>
          <w:highlight w:val="none"/>
        </w:rPr>
        <w:t>评审与磋商</w:t>
      </w:r>
      <w:bookmarkEnd w:id="22"/>
      <w:bookmarkEnd w:id="23"/>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.供应商资格审查</w:t>
      </w:r>
    </w:p>
    <w:p>
      <w:pPr>
        <w:shd w:val="clear" w:color="auto" w:fill="auto"/>
        <w:adjustRightInd w:val="0"/>
        <w:snapToGrid w:val="0"/>
        <w:spacing w:beforeLines="50"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22.1</w:t>
      </w:r>
      <w:r>
        <w:rPr>
          <w:rFonts w:hint="eastAsia" w:ascii="宋体" w:hAnsi="宋体" w:eastAsia="宋体"/>
          <w:color w:val="auto"/>
          <w:szCs w:val="21"/>
          <w:highlight w:val="none"/>
        </w:rPr>
        <w:t>采购人</w:t>
      </w:r>
      <w:r>
        <w:rPr>
          <w:rFonts w:hint="eastAsia" w:ascii="宋体" w:hAnsi="宋体"/>
          <w:color w:val="auto"/>
          <w:szCs w:val="21"/>
          <w:highlight w:val="none"/>
          <w:lang w:eastAsia="zh-CN"/>
        </w:rPr>
        <w:t>、</w:t>
      </w:r>
      <w:r>
        <w:rPr>
          <w:rFonts w:hint="eastAsia" w:ascii="宋体" w:hAnsi="宋体" w:eastAsia="宋体"/>
          <w:color w:val="auto"/>
          <w:szCs w:val="21"/>
          <w:highlight w:val="none"/>
        </w:rPr>
        <w:t>采购代理机构</w:t>
      </w:r>
      <w:r>
        <w:rPr>
          <w:rFonts w:hint="eastAsia" w:ascii="宋体" w:hAnsi="宋体" w:eastAsia="宋体" w:cs="Times New Roman"/>
          <w:color w:val="auto"/>
          <w:kern w:val="0"/>
          <w:sz w:val="21"/>
          <w:szCs w:val="21"/>
          <w:highlight w:val="none"/>
          <w:lang w:val="en-US" w:eastAsia="zh-CN" w:bidi="ar-SA"/>
        </w:rPr>
        <w:t>在</w:t>
      </w:r>
      <w:r>
        <w:rPr>
          <w:rFonts w:hint="eastAsia" w:ascii="宋体" w:hAnsi="宋体" w:cs="宋体"/>
          <w:color w:val="auto"/>
          <w:kern w:val="0"/>
          <w:szCs w:val="21"/>
          <w:highlight w:val="none"/>
          <w:lang w:val="zh-CN"/>
        </w:rPr>
        <w:t>将根据磋商文件第三章规定</w:t>
      </w:r>
      <w:r>
        <w:rPr>
          <w:rFonts w:hint="eastAsia" w:ascii="宋体" w:hAnsi="宋体" w:cs="宋体"/>
          <w:color w:val="auto"/>
          <w:kern w:val="0"/>
          <w:szCs w:val="21"/>
          <w:highlight w:val="none"/>
          <w:lang w:val="zh-CN" w:eastAsia="zh-CN"/>
        </w:rPr>
        <w:t>对所有供应商进行资格审查。</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22.2</w:t>
      </w:r>
      <w:r>
        <w:rPr>
          <w:rFonts w:hint="eastAsia" w:ascii="宋体" w:hAnsi="宋体" w:cs="宋体"/>
          <w:color w:val="auto"/>
          <w:szCs w:val="21"/>
          <w:highlight w:val="none"/>
        </w:rPr>
        <w:t>对未通过资格审查的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，采购代理机构应当告知其未通过的原因</w:t>
      </w:r>
      <w:r>
        <w:rPr>
          <w:rFonts w:hint="eastAsia" w:ascii="宋体" w:hAnsi="宋体" w:cs="宋体"/>
          <w:color w:val="auto"/>
          <w:szCs w:val="21"/>
          <w:highlight w:val="none"/>
          <w:lang w:eastAsia="zh-CN"/>
        </w:rPr>
        <w:t>，</w:t>
      </w:r>
      <w:r>
        <w:rPr>
          <w:rFonts w:hint="eastAsia" w:ascii="宋体" w:hAnsi="宋体" w:cs="宋体"/>
          <w:color w:val="auto"/>
          <w:szCs w:val="21"/>
          <w:highlight w:val="none"/>
        </w:rPr>
        <w:t>合格</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不足3家的，不得进入</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环节。</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lang w:val="zh-CN"/>
        </w:rPr>
      </w:pPr>
      <w:r>
        <w:rPr>
          <w:rFonts w:hint="eastAsia" w:ascii="宋体" w:hAnsi="宋体" w:cs="宋体"/>
          <w:color w:val="auto"/>
          <w:szCs w:val="21"/>
          <w:highlight w:val="none"/>
          <w:lang w:eastAsia="zh-CN"/>
        </w:rPr>
        <w:t>22.3</w:t>
      </w:r>
      <w:r>
        <w:rPr>
          <w:rFonts w:hint="eastAsia" w:ascii="宋体" w:hAnsi="宋体" w:cs="宋体"/>
          <w:color w:val="auto"/>
          <w:szCs w:val="21"/>
          <w:highlight w:val="none"/>
        </w:rPr>
        <w:t>供应商有本章第</w:t>
      </w:r>
      <w:r>
        <w:rPr>
          <w:rFonts w:hint="eastAsia" w:ascii="宋体" w:hAnsi="宋体" w:cs="宋体"/>
          <w:color w:val="auto"/>
          <w:szCs w:val="21"/>
          <w:highlight w:val="none"/>
          <w:lang w:eastAsia="zh-CN"/>
        </w:rPr>
        <w:t>15.1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情形的，</w:t>
      </w:r>
      <w:r>
        <w:rPr>
          <w:rFonts w:hint="eastAsia" w:ascii="宋体" w:hAnsi="宋体" w:eastAsia="宋体"/>
          <w:color w:val="auto"/>
          <w:szCs w:val="21"/>
          <w:highlight w:val="none"/>
        </w:rPr>
        <w:t>采购人、采购代理机构</w:t>
      </w:r>
      <w:r>
        <w:rPr>
          <w:rFonts w:hint="eastAsia" w:ascii="宋体" w:hAnsi="宋体" w:cs="宋体"/>
          <w:bCs/>
          <w:color w:val="auto"/>
          <w:szCs w:val="21"/>
          <w:highlight w:val="none"/>
        </w:rPr>
        <w:t>将</w:t>
      </w:r>
      <w:r>
        <w:rPr>
          <w:rFonts w:hint="eastAsia" w:ascii="宋体" w:hAnsi="宋体" w:cs="宋体"/>
          <w:color w:val="auto"/>
          <w:szCs w:val="21"/>
          <w:highlight w:val="none"/>
        </w:rPr>
        <w:t>根据本章第3.1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规定的供应商资格条件要求，对更新或补充提供的资格证明材料进行审查。不满足资格条件的，视为无效响应。</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22.4</w:t>
      </w:r>
      <w:r>
        <w:rPr>
          <w:rFonts w:hint="eastAsia" w:ascii="宋体" w:hAnsi="宋体" w:cs="宋体"/>
          <w:color w:val="auto"/>
          <w:szCs w:val="21"/>
          <w:highlight w:val="none"/>
        </w:rPr>
        <w:t>供应商</w:t>
      </w:r>
      <w:r>
        <w:rPr>
          <w:rFonts w:hint="eastAsia" w:ascii="宋体" w:hAnsi="宋体" w:cs="宋体"/>
          <w:color w:val="auto"/>
          <w:kern w:val="0"/>
          <w:szCs w:val="21"/>
          <w:highlight w:val="none"/>
          <w:lang w:val="zh-CN"/>
        </w:rPr>
        <w:t>为联合体的，</w:t>
      </w:r>
      <w:r>
        <w:rPr>
          <w:rFonts w:hint="eastAsia" w:ascii="宋体" w:hAnsi="宋体" w:eastAsia="宋体"/>
          <w:color w:val="auto"/>
          <w:szCs w:val="21"/>
          <w:highlight w:val="none"/>
        </w:rPr>
        <w:t>采购人、采购代理机构</w:t>
      </w:r>
      <w:r>
        <w:rPr>
          <w:rFonts w:hint="eastAsia" w:ascii="宋体" w:hAnsi="宋体" w:cs="宋体"/>
          <w:bCs/>
          <w:color w:val="auto"/>
          <w:szCs w:val="21"/>
          <w:highlight w:val="none"/>
        </w:rPr>
        <w:t>将</w:t>
      </w:r>
      <w:r>
        <w:rPr>
          <w:rFonts w:hint="eastAsia" w:ascii="宋体" w:hAnsi="宋体" w:cs="宋体"/>
          <w:color w:val="auto"/>
          <w:szCs w:val="21"/>
          <w:highlight w:val="none"/>
        </w:rPr>
        <w:t>根据本章第6.2</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的规定对联合体各方资格文件、联合体协议进行审查，不满足资格条件的，视为无效响应。</w:t>
      </w:r>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.磋商程序</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bCs/>
          <w:color w:val="auto"/>
          <w:szCs w:val="21"/>
          <w:highlight w:val="none"/>
        </w:rPr>
      </w:pPr>
      <w:r>
        <w:rPr>
          <w:rFonts w:hint="eastAsia" w:ascii="宋体" w:hAnsi="宋体" w:cs="宋体"/>
          <w:color w:val="auto"/>
          <w:kern w:val="0"/>
          <w:szCs w:val="21"/>
          <w:highlight w:val="none"/>
          <w:lang w:eastAsia="zh-CN"/>
        </w:rPr>
        <w:t>23.1</w:t>
      </w:r>
      <w:r>
        <w:rPr>
          <w:rFonts w:hint="eastAsia" w:ascii="宋体" w:hAnsi="宋体" w:cs="宋体"/>
          <w:color w:val="auto"/>
          <w:kern w:val="0"/>
          <w:szCs w:val="21"/>
          <w:highlight w:val="none"/>
        </w:rPr>
        <w:t>磋商程序：初步审查、磋商（</w:t>
      </w:r>
      <w:r>
        <w:rPr>
          <w:rFonts w:hint="eastAsia" w:ascii="宋体" w:hAnsi="宋体"/>
          <w:bCs/>
          <w:color w:val="auto"/>
          <w:szCs w:val="21"/>
          <w:highlight w:val="none"/>
        </w:rPr>
        <w:t>响应文件审查、澄清</w:t>
      </w:r>
      <w:r>
        <w:rPr>
          <w:rFonts w:hint="eastAsia" w:ascii="宋体" w:hAnsi="宋体" w:cs="宋体"/>
          <w:color w:val="auto"/>
          <w:kern w:val="0"/>
          <w:szCs w:val="21"/>
          <w:highlight w:val="none"/>
        </w:rPr>
        <w:t>）、</w:t>
      </w:r>
      <w:r>
        <w:rPr>
          <w:rFonts w:hint="eastAsia" w:ascii="宋体" w:hAnsi="宋体" w:cs="宋体"/>
          <w:bCs/>
          <w:color w:val="auto"/>
          <w:szCs w:val="21"/>
          <w:highlight w:val="none"/>
        </w:rPr>
        <w:t>提出成交供应商。其中，</w:t>
      </w:r>
      <w:r>
        <w:rPr>
          <w:rFonts w:hint="eastAsia" w:ascii="宋体" w:hAnsi="宋体" w:cs="宋体"/>
          <w:color w:val="auto"/>
          <w:kern w:val="0"/>
          <w:szCs w:val="21"/>
          <w:highlight w:val="none"/>
        </w:rPr>
        <w:t>磋商按</w:t>
      </w:r>
      <w:r>
        <w:rPr>
          <w:rFonts w:hint="eastAsia" w:ascii="宋体" w:hAnsi="宋体" w:cs="宋体"/>
          <w:color w:val="auto"/>
          <w:szCs w:val="21"/>
          <w:highlight w:val="none"/>
        </w:rPr>
        <w:t>本章第</w:t>
      </w:r>
      <w:r>
        <w:rPr>
          <w:rFonts w:hint="eastAsia" w:ascii="宋体" w:hAnsi="宋体" w:cs="宋体"/>
          <w:color w:val="auto"/>
          <w:szCs w:val="21"/>
          <w:highlight w:val="none"/>
          <w:lang w:eastAsia="zh-CN"/>
        </w:rPr>
        <w:t>28.1</w:t>
      </w:r>
      <w:r>
        <w:rPr>
          <w:rFonts w:hint="eastAsia" w:ascii="宋体" w:hAnsi="宋体" w:cs="宋体"/>
          <w:color w:val="auto"/>
          <w:kern w:val="0"/>
          <w:szCs w:val="21"/>
          <w:highlight w:val="none"/>
          <w:lang w:val="zh-CN"/>
        </w:rPr>
        <w:t>款或者</w:t>
      </w:r>
      <w:r>
        <w:rPr>
          <w:rFonts w:hint="eastAsia" w:ascii="宋体" w:hAnsi="宋体" w:cs="宋体"/>
          <w:color w:val="auto"/>
          <w:szCs w:val="21"/>
          <w:highlight w:val="none"/>
        </w:rPr>
        <w:t>第</w:t>
      </w:r>
      <w:r>
        <w:rPr>
          <w:rFonts w:hint="eastAsia" w:ascii="宋体" w:hAnsi="宋体" w:cs="宋体"/>
          <w:color w:val="auto"/>
          <w:szCs w:val="21"/>
          <w:highlight w:val="none"/>
          <w:lang w:eastAsia="zh-CN"/>
        </w:rPr>
        <w:t>28.2</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情形</w:t>
      </w:r>
      <w:r>
        <w:rPr>
          <w:rFonts w:hint="eastAsia" w:ascii="宋体" w:hAnsi="宋体" w:cs="宋体"/>
          <w:bCs/>
          <w:color w:val="auto"/>
          <w:szCs w:val="21"/>
          <w:highlight w:val="none"/>
        </w:rPr>
        <w:t>进行。</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r>
        <w:rPr>
          <w:rFonts w:hint="eastAsia" w:ascii="宋体" w:hAnsi="宋体" w:cs="宋体"/>
          <w:b/>
          <w:color w:val="auto"/>
          <w:kern w:val="0"/>
          <w:szCs w:val="21"/>
          <w:highlight w:val="none"/>
          <w:lang w:val="en-US" w:eastAsia="zh-CN"/>
        </w:rPr>
        <w:t>4</w:t>
      </w:r>
      <w:r>
        <w:rPr>
          <w:rFonts w:hint="eastAsia" w:ascii="宋体" w:hAnsi="宋体" w:cs="宋体"/>
          <w:b/>
          <w:color w:val="auto"/>
          <w:kern w:val="0"/>
          <w:szCs w:val="21"/>
          <w:highlight w:val="none"/>
        </w:rPr>
        <w:t>.初步审查</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24.1</w:t>
      </w:r>
      <w:r>
        <w:rPr>
          <w:rFonts w:hint="eastAsia" w:ascii="宋体" w:hAnsi="宋体" w:cs="宋体"/>
          <w:color w:val="auto"/>
          <w:kern w:val="0"/>
          <w:szCs w:val="21"/>
          <w:highlight w:val="none"/>
        </w:rPr>
        <w:t>磋商小组应当对供应商提交的首次响应文件进行初步审查。</w:t>
      </w:r>
      <w:r>
        <w:rPr>
          <w:rFonts w:hint="eastAsia" w:ascii="宋体" w:hAnsi="宋体" w:cs="宋体"/>
          <w:bCs/>
          <w:color w:val="auto"/>
          <w:szCs w:val="21"/>
          <w:highlight w:val="none"/>
        </w:rPr>
        <w:t>响应文件有下列情况之一，</w:t>
      </w:r>
      <w:r>
        <w:rPr>
          <w:rFonts w:hint="eastAsia" w:ascii="宋体" w:hAnsi="宋体" w:cs="宋体"/>
          <w:color w:val="auto"/>
          <w:kern w:val="0"/>
          <w:szCs w:val="21"/>
          <w:highlight w:val="none"/>
          <w:lang w:val="zh-CN"/>
        </w:rPr>
        <w:t>其响应文件无效，</w:t>
      </w:r>
      <w:r>
        <w:rPr>
          <w:rFonts w:hint="eastAsia" w:ascii="宋体" w:hAnsi="宋体" w:cs="宋体"/>
          <w:color w:val="auto"/>
          <w:kern w:val="0"/>
          <w:szCs w:val="21"/>
          <w:highlight w:val="none"/>
        </w:rPr>
        <w:t>磋商小组应当告知有关供应商。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bCs/>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应交未交保证金或金额不足、保函有效期不足、保证金形式或保函出证机构不符合磋商文件要求的；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（2）未按照磋商文件规定要求签署、盖章的；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（3）响应文件有效期不足的；</w:t>
      </w:r>
    </w:p>
    <w:p>
      <w:pPr>
        <w:shd w:val="clear" w:color="auto" w:fill="auto"/>
        <w:adjustRightInd w:val="0"/>
        <w:snapToGrid w:val="0"/>
        <w:spacing w:beforeLines="50"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w:t>
      </w:r>
      <w:r>
        <w:rPr>
          <w:rFonts w:hint="eastAsia" w:ascii="宋体" w:hAnsi="宋体" w:eastAsia="宋体"/>
          <w:color w:val="auto"/>
          <w:szCs w:val="21"/>
          <w:highlight w:val="none"/>
        </w:rPr>
        <w:t>不符合</w:t>
      </w:r>
      <w:r>
        <w:rPr>
          <w:rFonts w:hint="eastAsia" w:ascii="宋体" w:hAnsi="宋体" w:eastAsia="宋体"/>
          <w:color w:val="auto"/>
          <w:szCs w:val="21"/>
          <w:highlight w:val="none"/>
          <w:lang w:eastAsia="zh-CN"/>
        </w:rPr>
        <w:t>“响应文件初步审查表、响应文件</w:t>
      </w:r>
      <w:r>
        <w:rPr>
          <w:rFonts w:hint="eastAsia" w:ascii="宋体" w:hAnsi="宋体" w:eastAsia="宋体"/>
          <w:color w:val="auto"/>
          <w:szCs w:val="21"/>
          <w:highlight w:val="none"/>
        </w:rPr>
        <w:t>符合性审查表</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所列审查项目及审查标准</w:t>
      </w:r>
      <w:r>
        <w:rPr>
          <w:rFonts w:hint="eastAsia" w:ascii="宋体" w:hAnsi="宋体" w:eastAsia="宋体"/>
          <w:color w:val="auto"/>
          <w:szCs w:val="21"/>
          <w:highlight w:val="none"/>
          <w:lang w:eastAsia="zh-CN"/>
        </w:rPr>
        <w:t>的；</w:t>
      </w:r>
    </w:p>
    <w:p>
      <w:pPr>
        <w:shd w:val="clear" w:color="auto" w:fill="auto"/>
        <w:adjustRightInd w:val="0"/>
        <w:snapToGrid w:val="0"/>
        <w:spacing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响应</w:t>
      </w:r>
      <w:r>
        <w:rPr>
          <w:rFonts w:hint="eastAsia" w:ascii="宋体" w:hAnsi="宋体" w:eastAsia="宋体"/>
          <w:color w:val="auto"/>
          <w:szCs w:val="21"/>
          <w:highlight w:val="none"/>
        </w:rPr>
        <w:t>文件没有对</w:t>
      </w:r>
      <w:r>
        <w:rPr>
          <w:rFonts w:hint="eastAsia" w:ascii="宋体" w:hAnsi="宋体" w:eastAsia="宋体"/>
          <w:color w:val="auto"/>
          <w:szCs w:val="21"/>
          <w:highlight w:val="none"/>
          <w:lang w:eastAsia="zh-CN"/>
        </w:rPr>
        <w:t>磋商</w:t>
      </w:r>
      <w:r>
        <w:rPr>
          <w:rFonts w:hint="eastAsia" w:ascii="宋体" w:hAnsi="宋体" w:eastAsia="宋体"/>
          <w:color w:val="auto"/>
          <w:szCs w:val="21"/>
          <w:highlight w:val="none"/>
        </w:rPr>
        <w:t>文件的实质性要求和条件作出响应，或者对</w:t>
      </w:r>
      <w:r>
        <w:rPr>
          <w:rFonts w:hint="eastAsia" w:ascii="宋体" w:hAnsi="宋体" w:eastAsia="宋体"/>
          <w:color w:val="auto"/>
          <w:szCs w:val="21"/>
          <w:highlight w:val="none"/>
          <w:lang w:eastAsia="zh-CN"/>
        </w:rPr>
        <w:t>磋商</w:t>
      </w:r>
      <w:r>
        <w:rPr>
          <w:rFonts w:hint="eastAsia" w:ascii="宋体" w:hAnsi="宋体" w:eastAsia="宋体"/>
          <w:color w:val="auto"/>
          <w:szCs w:val="21"/>
          <w:highlight w:val="none"/>
        </w:rPr>
        <w:t>文件的偏离超出</w:t>
      </w:r>
      <w:r>
        <w:rPr>
          <w:rFonts w:hint="eastAsia" w:ascii="宋体" w:hAnsi="宋体" w:eastAsia="宋体"/>
          <w:color w:val="auto"/>
          <w:szCs w:val="21"/>
          <w:highlight w:val="none"/>
          <w:lang w:eastAsia="zh-CN"/>
        </w:rPr>
        <w:t>磋商</w:t>
      </w:r>
      <w:r>
        <w:rPr>
          <w:rFonts w:hint="eastAsia" w:ascii="宋体" w:hAnsi="宋体" w:eastAsia="宋体"/>
          <w:color w:val="auto"/>
          <w:szCs w:val="21"/>
          <w:highlight w:val="none"/>
        </w:rPr>
        <w:t>文件规定的偏离</w:t>
      </w:r>
      <w:r>
        <w:rPr>
          <w:rFonts w:hint="eastAsia" w:ascii="宋体" w:hAnsi="宋体" w:eastAsia="宋体"/>
          <w:color w:val="auto"/>
          <w:highlight w:val="none"/>
        </w:rPr>
        <w:t>范围和幅度</w:t>
      </w:r>
      <w:r>
        <w:rPr>
          <w:rFonts w:hint="eastAsia" w:ascii="宋体" w:hAnsi="宋体" w:eastAsia="宋体"/>
          <w:color w:val="auto"/>
          <w:szCs w:val="21"/>
          <w:highlight w:val="none"/>
        </w:rPr>
        <w:t>；</w:t>
      </w:r>
    </w:p>
    <w:p>
      <w:pPr>
        <w:shd w:val="clear" w:color="auto" w:fill="auto"/>
        <w:adjustRightInd w:val="0"/>
        <w:snapToGrid w:val="0"/>
        <w:spacing w:beforeLines="50" w:line="360" w:lineRule="auto"/>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响应</w:t>
      </w:r>
      <w:r>
        <w:rPr>
          <w:rFonts w:hint="eastAsia" w:ascii="宋体" w:hAnsi="宋体" w:eastAsia="宋体"/>
          <w:color w:val="auto"/>
          <w:szCs w:val="21"/>
          <w:highlight w:val="none"/>
        </w:rPr>
        <w:t>文件含有采购人不能接受的附加条件的；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rPr>
        <w:t>）</w:t>
      </w:r>
      <w:r>
        <w:rPr>
          <w:rFonts w:hint="eastAsia" w:ascii="宋体" w:hAnsi="宋体" w:eastAsia="宋体" w:cs="宋体"/>
          <w:color w:val="auto"/>
          <w:kern w:val="0"/>
          <w:szCs w:val="21"/>
          <w:highlight w:val="none"/>
          <w:lang w:val="zh-CN"/>
        </w:rPr>
        <w:t>不符合法律、法规和磋商文件规定的其他响应无效情形</w:t>
      </w:r>
      <w:r>
        <w:rPr>
          <w:rFonts w:hint="eastAsia" w:ascii="宋体" w:hAnsi="宋体" w:eastAsia="宋体"/>
          <w:color w:val="auto"/>
          <w:szCs w:val="21"/>
          <w:highlight w:val="none"/>
        </w:rPr>
        <w:t>。</w:t>
      </w:r>
    </w:p>
    <w:p>
      <w:pPr>
        <w:pStyle w:val="12"/>
        <w:keepNext w:val="0"/>
        <w:keepLines w:val="0"/>
        <w:pageBreakBefore w:val="0"/>
        <w:shd w:val="clear" w:color="auto" w:fill="auto"/>
        <w:tabs>
          <w:tab w:val="center" w:pos="4422"/>
        </w:tabs>
        <w:kinsoku/>
        <w:wordWrap/>
        <w:overflowPunct/>
        <w:topLinePunct w:val="0"/>
        <w:autoSpaceDE/>
        <w:bidi w:val="0"/>
        <w:adjustRightInd w:val="0"/>
        <w:snapToGrid w:val="0"/>
        <w:spacing w:line="360" w:lineRule="auto"/>
        <w:ind w:left="0" w:right="0" w:rightChars="0"/>
        <w:textAlignment w:val="auto"/>
        <w:rPr>
          <w:rFonts w:hint="eastAsia" w:hAnsi="宋体" w:cs="宋体"/>
          <w:b/>
          <w:color w:val="auto"/>
          <w:sz w:val="21"/>
          <w:highlight w:val="none"/>
        </w:rPr>
      </w:pPr>
      <w:r>
        <w:rPr>
          <w:rFonts w:hint="eastAsia" w:hAnsi="宋体" w:cs="宋体"/>
          <w:b/>
          <w:color w:val="auto"/>
          <w:sz w:val="21"/>
          <w:highlight w:val="none"/>
        </w:rPr>
        <w:t>2</w:t>
      </w:r>
      <w:r>
        <w:rPr>
          <w:rFonts w:hint="eastAsia" w:hAnsi="宋体" w:cs="宋体"/>
          <w:b/>
          <w:color w:val="auto"/>
          <w:sz w:val="21"/>
          <w:highlight w:val="none"/>
          <w:lang w:val="en-US" w:eastAsia="zh-CN"/>
        </w:rPr>
        <w:t>5</w:t>
      </w:r>
      <w:r>
        <w:rPr>
          <w:rFonts w:hint="eastAsia" w:hAnsi="宋体" w:cs="宋体"/>
          <w:b/>
          <w:color w:val="auto"/>
          <w:sz w:val="21"/>
          <w:highlight w:val="none"/>
        </w:rPr>
        <w:t>. 偏离</w:t>
      </w:r>
      <w:r>
        <w:rPr>
          <w:rFonts w:hint="eastAsia" w:hAnsi="宋体" w:cs="宋体"/>
          <w:b/>
          <w:color w:val="auto"/>
          <w:sz w:val="21"/>
          <w:highlight w:val="none"/>
        </w:rPr>
        <w:tab/>
      </w:r>
    </w:p>
    <w:p>
      <w:pPr>
        <w:pStyle w:val="19"/>
        <w:keepNext w:val="0"/>
        <w:keepLines w:val="0"/>
        <w:pageBreakBefore w:val="0"/>
        <w:shd w:val="clear" w:color="auto" w:fill="auto"/>
        <w:kinsoku/>
        <w:wordWrap/>
        <w:overflowPunct/>
        <w:topLinePunct w:val="0"/>
        <w:autoSpaceDE/>
        <w:bidi w:val="0"/>
        <w:adjustRightInd w:val="0"/>
        <w:snapToGrid w:val="0"/>
        <w:spacing w:before="0" w:beforeAutospacing="0" w:after="0" w:afterAutospacing="0" w:line="360" w:lineRule="auto"/>
        <w:ind w:left="0" w:right="0" w:rightChars="0" w:firstLine="420" w:firstLineChars="200"/>
        <w:jc w:val="both"/>
        <w:textAlignment w:val="auto"/>
        <w:rPr>
          <w:rFonts w:hint="eastAsia"/>
          <w:color w:val="auto"/>
          <w:sz w:val="21"/>
          <w:szCs w:val="21"/>
          <w:highlight w:val="none"/>
        </w:rPr>
      </w:pPr>
      <w:r>
        <w:rPr>
          <w:rFonts w:hint="eastAsia"/>
          <w:bCs/>
          <w:color w:val="auto"/>
          <w:sz w:val="21"/>
          <w:szCs w:val="21"/>
          <w:highlight w:val="none"/>
          <w:lang w:eastAsia="zh-CN"/>
        </w:rPr>
        <w:t>25.1</w:t>
      </w:r>
      <w:r>
        <w:rPr>
          <w:rFonts w:hint="eastAsia"/>
          <w:bCs/>
          <w:color w:val="auto"/>
          <w:sz w:val="21"/>
          <w:szCs w:val="21"/>
          <w:highlight w:val="none"/>
        </w:rPr>
        <w:t>本条所称</w:t>
      </w:r>
      <w:r>
        <w:rPr>
          <w:rFonts w:hint="eastAsia"/>
          <w:color w:val="auto"/>
          <w:sz w:val="21"/>
          <w:szCs w:val="21"/>
          <w:highlight w:val="none"/>
        </w:rPr>
        <w:t>偏离为</w:t>
      </w:r>
      <w:r>
        <w:rPr>
          <w:rFonts w:hint="eastAsia"/>
          <w:bCs/>
          <w:color w:val="auto"/>
          <w:sz w:val="21"/>
          <w:szCs w:val="21"/>
          <w:highlight w:val="none"/>
        </w:rPr>
        <w:t>响应文件</w:t>
      </w:r>
      <w:r>
        <w:rPr>
          <w:rFonts w:hint="eastAsia"/>
          <w:color w:val="auto"/>
          <w:sz w:val="21"/>
          <w:szCs w:val="21"/>
          <w:highlight w:val="none"/>
        </w:rPr>
        <w:t>对磋商文件的偏离，即不满足、或不响应磋商文件的要求。偏离分为对磋商文件的实质性要求条款偏离和对磋商文件的一般商务</w:t>
      </w:r>
      <w:r>
        <w:rPr>
          <w:rFonts w:hint="eastAsia"/>
          <w:color w:val="auto"/>
          <w:spacing w:val="4"/>
          <w:sz w:val="21"/>
          <w:szCs w:val="21"/>
          <w:highlight w:val="none"/>
        </w:rPr>
        <w:t>和</w:t>
      </w:r>
      <w:r>
        <w:rPr>
          <w:rFonts w:hint="eastAsia"/>
          <w:color w:val="auto"/>
          <w:sz w:val="21"/>
          <w:szCs w:val="21"/>
          <w:highlight w:val="none"/>
        </w:rPr>
        <w:t>技术条款（参数）偏离。</w:t>
      </w:r>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lang w:eastAsia="zh-CN"/>
        </w:rPr>
        <w:t>25.2</w:t>
      </w:r>
      <w:r>
        <w:rPr>
          <w:rFonts w:hint="eastAsia" w:ascii="宋体" w:hAnsi="宋体" w:cs="宋体"/>
          <w:bCs/>
          <w:color w:val="auto"/>
          <w:szCs w:val="21"/>
          <w:highlight w:val="none"/>
        </w:rPr>
        <w:t>除法律、法规和规章规定外，</w:t>
      </w:r>
      <w:r>
        <w:rPr>
          <w:rFonts w:hint="eastAsia" w:ascii="宋体" w:hAnsi="宋体" w:cs="宋体"/>
          <w:color w:val="auto"/>
          <w:szCs w:val="21"/>
          <w:highlight w:val="none"/>
        </w:rPr>
        <w:t>磋商文件中用“拒绝”、“不接受”、“无效”、“不得”等文字规定或标注“★”符号的条款为实质性要求条款（即重要条款），对其中任何一条的偏离，在磋商时将其视为无效响应文件。未用上述文字规定或符号标注的条款为非实质性要求条款(即一般条款)。</w:t>
      </w:r>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lang w:eastAsia="zh-CN"/>
        </w:rPr>
        <w:t>25.3</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磋商须知前附表</w:t>
      </w:r>
      <w:r>
        <w:rPr>
          <w:rFonts w:hint="eastAsia" w:ascii="宋体" w:hAnsi="宋体" w:cs="宋体"/>
          <w:color w:val="auto"/>
          <w:szCs w:val="21"/>
          <w:highlight w:val="none"/>
        </w:rPr>
        <w:t>”中和 “技术规格、参数及要求”中的一般商务</w:t>
      </w:r>
      <w:r>
        <w:rPr>
          <w:rFonts w:hint="eastAsia" w:ascii="宋体" w:hAnsi="宋体" w:cs="宋体"/>
          <w:color w:val="auto"/>
          <w:spacing w:val="4"/>
          <w:szCs w:val="21"/>
          <w:highlight w:val="none"/>
        </w:rPr>
        <w:t>和</w:t>
      </w:r>
      <w:r>
        <w:rPr>
          <w:rFonts w:hint="eastAsia" w:ascii="宋体" w:hAnsi="宋体" w:cs="宋体"/>
          <w:color w:val="auto"/>
          <w:szCs w:val="21"/>
          <w:highlight w:val="none"/>
        </w:rPr>
        <w:t>技术条款（参数），在超出允许偏离的条款数（最高项数）时，在磋商时将其视为无效响应文件。前述章节中一般商务</w:t>
      </w:r>
      <w:r>
        <w:rPr>
          <w:rFonts w:hint="eastAsia" w:ascii="宋体" w:hAnsi="宋体" w:cs="宋体"/>
          <w:color w:val="auto"/>
          <w:spacing w:val="4"/>
          <w:szCs w:val="21"/>
          <w:highlight w:val="none"/>
        </w:rPr>
        <w:t>和</w:t>
      </w:r>
      <w:r>
        <w:rPr>
          <w:rFonts w:hint="eastAsia" w:ascii="宋体" w:hAnsi="宋体" w:cs="宋体"/>
          <w:color w:val="auto"/>
          <w:szCs w:val="21"/>
          <w:highlight w:val="none"/>
        </w:rPr>
        <w:t>技术条款允许偏离的最高项数见</w:t>
      </w:r>
      <w:r>
        <w:rPr>
          <w:rFonts w:hint="eastAsia" w:ascii="宋体" w:hAnsi="宋体" w:cs="宋体"/>
          <w:b/>
          <w:color w:val="auto"/>
          <w:szCs w:val="21"/>
          <w:highlight w:val="none"/>
          <w:lang w:eastAsia="zh-CN"/>
        </w:rPr>
        <w:t>磋商须知前附表</w:t>
      </w:r>
      <w:r>
        <w:rPr>
          <w:rFonts w:hint="eastAsia" w:ascii="宋体" w:hAnsi="宋体" w:cs="宋体"/>
          <w:b/>
          <w:color w:val="auto"/>
          <w:szCs w:val="21"/>
          <w:highlight w:val="none"/>
        </w:rPr>
        <w:t>。</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210" w:firstLineChars="100"/>
        <w:textAlignment w:val="auto"/>
        <w:rPr>
          <w:rFonts w:hint="eastAsia" w:hAnsi="宋体" w:cs="宋体"/>
          <w:color w:val="auto"/>
          <w:sz w:val="21"/>
          <w:highlight w:val="none"/>
        </w:rPr>
      </w:pPr>
      <w:r>
        <w:rPr>
          <w:rFonts w:hint="eastAsia" w:hAnsi="宋体" w:cs="宋体"/>
          <w:color w:val="auto"/>
          <w:sz w:val="21"/>
          <w:highlight w:val="none"/>
          <w:lang w:eastAsia="zh-CN"/>
        </w:rPr>
        <w:t>25.4</w:t>
      </w:r>
      <w:r>
        <w:rPr>
          <w:rFonts w:hint="eastAsia" w:hAnsi="宋体" w:cs="宋体"/>
          <w:color w:val="auto"/>
          <w:sz w:val="21"/>
          <w:highlight w:val="none"/>
        </w:rPr>
        <w:t>本章第</w:t>
      </w:r>
      <w:r>
        <w:rPr>
          <w:rFonts w:hint="eastAsia" w:hAnsi="宋体" w:cs="宋体"/>
          <w:color w:val="auto"/>
          <w:sz w:val="21"/>
          <w:highlight w:val="none"/>
          <w:lang w:eastAsia="zh-CN"/>
        </w:rPr>
        <w:t>25.3</w:t>
      </w:r>
      <w:r>
        <w:rPr>
          <w:rFonts w:hint="eastAsia" w:hAnsi="宋体" w:cs="宋体"/>
          <w:color w:val="auto"/>
          <w:sz w:val="21"/>
          <w:highlight w:val="none"/>
          <w:lang w:val="zh-CN"/>
        </w:rPr>
        <w:t>款</w:t>
      </w:r>
      <w:r>
        <w:rPr>
          <w:rFonts w:hint="eastAsia" w:hAnsi="宋体" w:cs="宋体"/>
          <w:color w:val="auto"/>
          <w:sz w:val="21"/>
          <w:highlight w:val="none"/>
        </w:rPr>
        <w:t>所称条款数（最高项数）的统计方法见</w:t>
      </w:r>
      <w:r>
        <w:rPr>
          <w:rFonts w:hint="eastAsia" w:hAnsi="宋体" w:cs="宋体"/>
          <w:b/>
          <w:color w:val="auto"/>
          <w:sz w:val="21"/>
          <w:highlight w:val="none"/>
          <w:lang w:eastAsia="zh-CN"/>
        </w:rPr>
        <w:t>磋商须知前附表</w:t>
      </w:r>
      <w:r>
        <w:rPr>
          <w:rFonts w:hint="eastAsia" w:hAnsi="宋体" w:cs="宋体"/>
          <w:b/>
          <w:color w:val="auto"/>
          <w:sz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r>
        <w:rPr>
          <w:rFonts w:hint="eastAsia" w:ascii="宋体" w:hAnsi="宋体" w:cs="宋体"/>
          <w:b/>
          <w:color w:val="auto"/>
          <w:kern w:val="0"/>
          <w:szCs w:val="21"/>
          <w:highlight w:val="none"/>
          <w:lang w:val="en-US" w:eastAsia="zh-CN"/>
        </w:rPr>
        <w:t>6</w:t>
      </w:r>
      <w:r>
        <w:rPr>
          <w:rFonts w:hint="eastAsia" w:ascii="宋体" w:hAnsi="宋体" w:cs="宋体"/>
          <w:b/>
          <w:color w:val="auto"/>
          <w:kern w:val="0"/>
          <w:szCs w:val="21"/>
          <w:highlight w:val="none"/>
        </w:rPr>
        <w:t>.澄清</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26.1</w:t>
      </w:r>
      <w:r>
        <w:rPr>
          <w:rFonts w:hint="eastAsia" w:ascii="宋体" w:hAnsi="宋体" w:cs="宋体"/>
          <w:color w:val="auto"/>
          <w:kern w:val="0"/>
          <w:szCs w:val="21"/>
          <w:highlight w:val="none"/>
        </w:rPr>
        <w:t xml:space="preserve">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磋商文件的范围或者改变响应文件的实质性内容。</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26.2</w:t>
      </w:r>
      <w:r>
        <w:rPr>
          <w:rFonts w:hint="eastAsia" w:ascii="宋体" w:hAnsi="宋体" w:cs="宋体"/>
          <w:color w:val="auto"/>
          <w:kern w:val="0"/>
          <w:szCs w:val="21"/>
          <w:highlight w:val="none"/>
        </w:rPr>
        <w:t xml:space="preserve"> 最后报价计算错误修正的原则：最后报价的大写金额和小写金额不一致的，以大写金额为准；总价金额与按分项报价</w:t>
      </w:r>
      <w:r>
        <w:rPr>
          <w:rFonts w:hint="eastAsia" w:ascii="宋体" w:hAnsi="宋体" w:cs="宋体"/>
          <w:color w:val="auto"/>
          <w:kern w:val="0"/>
          <w:szCs w:val="21"/>
          <w:highlight w:val="none"/>
          <w:lang w:eastAsia="zh-CN"/>
        </w:rPr>
        <w:t>（</w:t>
      </w:r>
      <w:r>
        <w:rPr>
          <w:rFonts w:hint="eastAsia" w:ascii="宋体" w:hAnsi="宋体" w:cs="宋体"/>
          <w:color w:val="auto"/>
          <w:kern w:val="2"/>
          <w:sz w:val="21"/>
          <w:szCs w:val="21"/>
          <w:highlight w:val="none"/>
          <w:lang w:val="en-US" w:eastAsia="zh-CN" w:bidi="ar-SA"/>
        </w:rPr>
        <w:t>已标价工程量清单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汇总金额不一致的，以分项报价金额计算结果为准；分项报价</w:t>
      </w:r>
      <w:r>
        <w:rPr>
          <w:rFonts w:hint="eastAsia" w:ascii="宋体" w:hAnsi="宋体" w:cs="宋体"/>
          <w:color w:val="auto"/>
          <w:kern w:val="0"/>
          <w:szCs w:val="21"/>
          <w:highlight w:val="none"/>
          <w:lang w:eastAsia="zh-CN"/>
        </w:rPr>
        <w:t>（</w:t>
      </w:r>
      <w:r>
        <w:rPr>
          <w:rFonts w:hint="eastAsia" w:ascii="宋体" w:hAnsi="宋体" w:cs="宋体"/>
          <w:color w:val="auto"/>
          <w:kern w:val="2"/>
          <w:sz w:val="21"/>
          <w:szCs w:val="21"/>
          <w:highlight w:val="none"/>
          <w:lang w:val="en-US" w:eastAsia="zh-CN" w:bidi="ar-SA"/>
        </w:rPr>
        <w:t>已标价工程量清单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金额小数点有明显错位的，应以总价为准，并修改分项报价</w:t>
      </w:r>
      <w:r>
        <w:rPr>
          <w:rFonts w:hint="eastAsia" w:ascii="宋体" w:hAnsi="宋体" w:cs="宋体"/>
          <w:color w:val="auto"/>
          <w:kern w:val="0"/>
          <w:szCs w:val="21"/>
          <w:highlight w:val="none"/>
          <w:lang w:eastAsia="zh-CN"/>
        </w:rPr>
        <w:t>（</w:t>
      </w:r>
      <w:r>
        <w:rPr>
          <w:rFonts w:hint="eastAsia" w:ascii="宋体" w:hAnsi="宋体" w:cs="宋体"/>
          <w:color w:val="auto"/>
          <w:kern w:val="2"/>
          <w:sz w:val="21"/>
          <w:szCs w:val="21"/>
          <w:highlight w:val="none"/>
          <w:lang w:val="en-US" w:eastAsia="zh-CN" w:bidi="ar-SA"/>
        </w:rPr>
        <w:t>已标价工程量清单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r>
        <w:rPr>
          <w:rFonts w:hint="eastAsia" w:ascii="宋体" w:hAnsi="宋体" w:cs="宋体"/>
          <w:b/>
          <w:color w:val="auto"/>
          <w:kern w:val="0"/>
          <w:szCs w:val="21"/>
          <w:highlight w:val="none"/>
          <w:lang w:val="en-US" w:eastAsia="zh-CN"/>
        </w:rPr>
        <w:t>7</w:t>
      </w:r>
      <w:r>
        <w:rPr>
          <w:rFonts w:hint="eastAsia" w:ascii="宋体" w:hAnsi="宋体" w:cs="宋体"/>
          <w:b/>
          <w:color w:val="auto"/>
          <w:kern w:val="0"/>
          <w:szCs w:val="21"/>
          <w:highlight w:val="none"/>
        </w:rPr>
        <w:t>.符合性审查</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27.1</w:t>
      </w:r>
      <w:r>
        <w:rPr>
          <w:rFonts w:hint="eastAsia" w:ascii="宋体" w:hAnsi="宋体" w:cs="宋体"/>
          <w:color w:val="auto"/>
          <w:kern w:val="0"/>
          <w:szCs w:val="21"/>
          <w:highlight w:val="none"/>
        </w:rPr>
        <w:t>对响应文件(包括首次</w:t>
      </w:r>
      <w:r>
        <w:rPr>
          <w:rFonts w:hint="eastAsia" w:ascii="宋体" w:hAnsi="宋体" w:cs="宋体"/>
          <w:color w:val="auto"/>
          <w:szCs w:val="21"/>
          <w:highlight w:val="none"/>
        </w:rPr>
        <w:t>提交的</w:t>
      </w:r>
      <w:r>
        <w:rPr>
          <w:rFonts w:hint="eastAsia" w:ascii="宋体" w:hAnsi="宋体" w:cs="宋体"/>
          <w:color w:val="auto"/>
          <w:kern w:val="0"/>
          <w:szCs w:val="21"/>
          <w:highlight w:val="none"/>
        </w:rPr>
        <w:t>响应文件、重新提交的响应文件)的符合性审查。磋商小组应当对响应文件进行符合性审查，供应商响应文件有下列情况之一，其响应文件无效（供应商不参加磋商），磋商小组应当告知有关供应商：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（1）不满足本章第</w:t>
      </w:r>
      <w:r>
        <w:rPr>
          <w:rFonts w:hint="eastAsia" w:ascii="宋体" w:hAnsi="宋体" w:cs="宋体"/>
          <w:color w:val="auto"/>
          <w:kern w:val="0"/>
          <w:szCs w:val="21"/>
          <w:highlight w:val="none"/>
          <w:lang w:eastAsia="zh-CN"/>
        </w:rPr>
        <w:t>25.1</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规定的实质性要求的；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（2）不符合法律、规章、规范性文件和磋商文件规定的。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eastAsia="zh-CN"/>
        </w:rPr>
        <w:t>27.2</w:t>
      </w:r>
      <w:r>
        <w:rPr>
          <w:rFonts w:hint="eastAsia" w:ascii="宋体" w:hAnsi="宋体" w:cs="宋体"/>
          <w:color w:val="auto"/>
          <w:kern w:val="0"/>
          <w:szCs w:val="21"/>
          <w:highlight w:val="none"/>
        </w:rPr>
        <w:t>符合性审查结束后</w:t>
      </w:r>
      <w:r>
        <w:rPr>
          <w:rFonts w:hint="eastAsia" w:ascii="宋体" w:hAnsi="宋体" w:cs="宋体"/>
          <w:bCs/>
          <w:color w:val="auto"/>
          <w:szCs w:val="21"/>
          <w:highlight w:val="none"/>
        </w:rPr>
        <w:t>，</w:t>
      </w:r>
      <w:r>
        <w:rPr>
          <w:rFonts w:hint="eastAsia" w:ascii="宋体" w:hAnsi="宋体" w:cs="宋体"/>
          <w:color w:val="auto"/>
          <w:kern w:val="0"/>
          <w:szCs w:val="21"/>
          <w:highlight w:val="none"/>
        </w:rPr>
        <w:t>磋商小组所有成员集中与单一供应商分别进行磋商，并给予所有参加磋商的供应商平等的磋商机会。供应商应派其法定代表人或委托代理人参加磋商。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w:t>
      </w:r>
      <w:r>
        <w:rPr>
          <w:rFonts w:hint="eastAsia" w:ascii="宋体" w:hAnsi="宋体" w:cs="宋体"/>
          <w:b/>
          <w:color w:val="auto"/>
          <w:kern w:val="0"/>
          <w:szCs w:val="21"/>
          <w:highlight w:val="none"/>
          <w:lang w:val="en-US" w:eastAsia="zh-CN"/>
        </w:rPr>
        <w:t>8</w:t>
      </w:r>
      <w:r>
        <w:rPr>
          <w:rFonts w:hint="eastAsia" w:ascii="宋体" w:hAnsi="宋体" w:cs="宋体"/>
          <w:b/>
          <w:color w:val="auto"/>
          <w:kern w:val="0"/>
          <w:szCs w:val="21"/>
          <w:highlight w:val="none"/>
        </w:rPr>
        <w:t>.磋商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eastAsia="zh-CN"/>
        </w:rPr>
        <w:t>28.1</w:t>
      </w:r>
      <w:r>
        <w:rPr>
          <w:rFonts w:hint="eastAsia" w:ascii="宋体" w:hAnsi="宋体" w:cs="宋体"/>
          <w:color w:val="auto"/>
          <w:kern w:val="0"/>
          <w:szCs w:val="21"/>
          <w:highlight w:val="none"/>
        </w:rPr>
        <w:t>对于</w:t>
      </w:r>
      <w:r>
        <w:rPr>
          <w:rFonts w:hint="eastAsia" w:ascii="宋体" w:hAnsi="宋体" w:cs="宋体"/>
          <w:color w:val="auto"/>
          <w:szCs w:val="21"/>
          <w:highlight w:val="none"/>
        </w:rPr>
        <w:t>本章第10.3项</w:t>
      </w:r>
      <w:r>
        <w:rPr>
          <w:rFonts w:hint="eastAsia" w:ascii="宋体" w:hAnsi="宋体" w:cs="宋体"/>
          <w:color w:val="auto"/>
          <w:kern w:val="0"/>
          <w:szCs w:val="21"/>
          <w:highlight w:val="none"/>
        </w:rPr>
        <w:t>未明确磋商文件实质性变动内容，或者磋商文件明确了可能发生实质性变动内容，但在磋商过程中，</w:t>
      </w:r>
      <w:r>
        <w:rPr>
          <w:rFonts w:hint="eastAsia" w:ascii="宋体" w:hAnsi="宋体" w:cs="宋体"/>
          <w:bCs/>
          <w:color w:val="auto"/>
          <w:szCs w:val="21"/>
          <w:highlight w:val="none"/>
        </w:rPr>
        <w:t>磋商小组</w:t>
      </w:r>
      <w:r>
        <w:rPr>
          <w:rFonts w:hint="eastAsia" w:ascii="宋体" w:hAnsi="宋体" w:cs="宋体"/>
          <w:color w:val="auto"/>
          <w:kern w:val="0"/>
          <w:szCs w:val="21"/>
          <w:highlight w:val="none"/>
        </w:rPr>
        <w:t>根据磋商情况</w:t>
      </w:r>
      <w:r>
        <w:rPr>
          <w:rFonts w:hint="eastAsia" w:ascii="宋体" w:hAnsi="宋体" w:cs="宋体"/>
          <w:bCs/>
          <w:color w:val="auto"/>
          <w:szCs w:val="21"/>
          <w:highlight w:val="none"/>
        </w:rPr>
        <w:t>认为</w:t>
      </w:r>
      <w:r>
        <w:rPr>
          <w:rFonts w:hint="eastAsia" w:ascii="宋体" w:hAnsi="宋体" w:cs="宋体"/>
          <w:color w:val="auto"/>
          <w:kern w:val="0"/>
          <w:szCs w:val="21"/>
          <w:highlight w:val="none"/>
        </w:rPr>
        <w:t>磋商文件无需发生实质性变动的，磋商小组应当</w:t>
      </w:r>
      <w:r>
        <w:rPr>
          <w:rFonts w:hint="eastAsia" w:ascii="宋体" w:hAnsi="宋体" w:cs="宋体"/>
          <w:color w:val="auto"/>
          <w:szCs w:val="21"/>
          <w:highlight w:val="none"/>
        </w:rPr>
        <w:t>根据本章第</w:t>
      </w:r>
      <w:r>
        <w:rPr>
          <w:rFonts w:hint="eastAsia" w:ascii="宋体" w:hAnsi="宋体" w:cs="宋体"/>
          <w:color w:val="auto"/>
          <w:szCs w:val="21"/>
          <w:highlight w:val="none"/>
          <w:lang w:eastAsia="zh-CN"/>
        </w:rPr>
        <w:t>27.1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对供应商提交的首次响应文件进行符合性审查，直接与实质性响应磋商文件要求的供应商就价格组织多轮磋商。</w:t>
      </w:r>
    </w:p>
    <w:p>
      <w:pPr>
        <w:keepNext w:val="0"/>
        <w:keepLines w:val="0"/>
        <w:pageBreakBefore w:val="0"/>
        <w:widowControl/>
        <w:shd w:val="clear" w:color="auto" w:fill="auto"/>
        <w:tabs>
          <w:tab w:val="left" w:pos="1080"/>
          <w:tab w:val="left" w:pos="1260"/>
        </w:tabs>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（1）磋商结束后，磋商小组应当要求所有继续参加磋商的供应商在磋商小组规定时间内提交最后报价。</w:t>
      </w:r>
    </w:p>
    <w:p>
      <w:pPr>
        <w:keepNext w:val="0"/>
        <w:keepLines w:val="0"/>
        <w:pageBreakBefore w:val="0"/>
        <w:widowControl/>
        <w:shd w:val="clear" w:color="auto" w:fill="auto"/>
        <w:tabs>
          <w:tab w:val="left" w:pos="1080"/>
          <w:tab w:val="left" w:pos="1260"/>
        </w:tabs>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（2）磋商文件明确可能发生实质性变动，但在磋商过程中</w:t>
      </w:r>
      <w:r>
        <w:rPr>
          <w:rFonts w:hint="eastAsia" w:ascii="宋体" w:hAnsi="宋体" w:cs="宋体"/>
          <w:bCs/>
          <w:color w:val="auto"/>
          <w:szCs w:val="21"/>
          <w:highlight w:val="none"/>
        </w:rPr>
        <w:t>磋商小组</w:t>
      </w:r>
      <w:r>
        <w:rPr>
          <w:rFonts w:hint="eastAsia" w:ascii="宋体" w:hAnsi="宋体" w:cs="宋体"/>
          <w:color w:val="auto"/>
          <w:kern w:val="0"/>
          <w:szCs w:val="21"/>
          <w:highlight w:val="none"/>
        </w:rPr>
        <w:t>根据磋商情况</w:t>
      </w:r>
      <w:r>
        <w:rPr>
          <w:rFonts w:hint="eastAsia" w:ascii="宋体" w:hAnsi="宋体" w:cs="宋体"/>
          <w:bCs/>
          <w:color w:val="auto"/>
          <w:szCs w:val="21"/>
          <w:highlight w:val="none"/>
        </w:rPr>
        <w:t>认为</w:t>
      </w:r>
      <w:r>
        <w:rPr>
          <w:rFonts w:hint="eastAsia" w:ascii="宋体" w:hAnsi="宋体" w:cs="宋体"/>
          <w:color w:val="auto"/>
          <w:kern w:val="0"/>
          <w:szCs w:val="21"/>
          <w:highlight w:val="none"/>
        </w:rPr>
        <w:t>磋商文件无需发生实质性变动的，磋商小组不另行通知。</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28.2</w:t>
      </w:r>
      <w:r>
        <w:rPr>
          <w:rFonts w:hint="eastAsia" w:ascii="宋体" w:hAnsi="宋体" w:cs="宋体"/>
          <w:color w:val="auto"/>
          <w:kern w:val="0"/>
          <w:szCs w:val="21"/>
          <w:highlight w:val="none"/>
        </w:rPr>
        <w:t>对于</w:t>
      </w:r>
      <w:r>
        <w:rPr>
          <w:rFonts w:hint="eastAsia" w:ascii="宋体" w:hAnsi="宋体" w:cs="宋体"/>
          <w:color w:val="auto"/>
          <w:szCs w:val="21"/>
          <w:highlight w:val="none"/>
        </w:rPr>
        <w:t>本章第10.3</w:t>
      </w:r>
      <w:r>
        <w:rPr>
          <w:rFonts w:hint="eastAsia" w:ascii="宋体" w:hAnsi="宋体" w:cs="宋体"/>
          <w:color w:val="auto"/>
          <w:kern w:val="0"/>
          <w:szCs w:val="21"/>
          <w:highlight w:val="none"/>
          <w:lang w:val="zh-CN"/>
        </w:rPr>
        <w:t>款</w:t>
      </w:r>
      <w:r>
        <w:rPr>
          <w:rFonts w:hint="eastAsia" w:ascii="宋体" w:hAnsi="宋体" w:cs="宋体"/>
          <w:color w:val="auto"/>
          <w:kern w:val="0"/>
          <w:szCs w:val="21"/>
          <w:highlight w:val="none"/>
        </w:rPr>
        <w:t>明确磋商文件实质性变动内容，且在磋商过程中磋商文件实质性内容发生变动的，</w:t>
      </w:r>
      <w:r>
        <w:rPr>
          <w:rFonts w:hint="eastAsia" w:ascii="宋体" w:hAnsi="宋体" w:cs="宋体"/>
          <w:bCs/>
          <w:color w:val="auto"/>
          <w:szCs w:val="21"/>
          <w:highlight w:val="none"/>
        </w:rPr>
        <w:t>磋商小组</w:t>
      </w:r>
      <w:r>
        <w:rPr>
          <w:rFonts w:hint="eastAsia" w:ascii="宋体" w:hAnsi="宋体" w:cs="宋体"/>
          <w:color w:val="auto"/>
          <w:kern w:val="0"/>
          <w:szCs w:val="21"/>
          <w:highlight w:val="none"/>
        </w:rPr>
        <w:t>可以组织多轮磋商。</w:t>
      </w:r>
      <w:r>
        <w:rPr>
          <w:rFonts w:hint="eastAsia" w:ascii="宋体" w:hAnsi="宋体" w:cs="宋体"/>
          <w:bCs/>
          <w:color w:val="auto"/>
          <w:szCs w:val="21"/>
          <w:highlight w:val="none"/>
        </w:rPr>
        <w:t>在每一轮磋商中，磋商小组</w:t>
      </w:r>
      <w:r>
        <w:rPr>
          <w:rFonts w:hint="eastAsia" w:ascii="宋体" w:hAnsi="宋体" w:cs="宋体"/>
          <w:color w:val="auto"/>
          <w:kern w:val="0"/>
          <w:szCs w:val="21"/>
          <w:highlight w:val="none"/>
        </w:rPr>
        <w:t>可以根据磋商文件规定和磋商情况，</w:t>
      </w:r>
      <w:r>
        <w:rPr>
          <w:rFonts w:hint="eastAsia" w:ascii="宋体" w:hAnsi="宋体" w:cs="宋体"/>
          <w:bCs/>
          <w:color w:val="auto"/>
          <w:szCs w:val="21"/>
          <w:highlight w:val="none"/>
        </w:rPr>
        <w:t>对磋商文件的</w:t>
      </w:r>
      <w:r>
        <w:rPr>
          <w:rFonts w:hint="eastAsia" w:ascii="宋体" w:hAnsi="宋体" w:cs="宋体"/>
          <w:color w:val="auto"/>
          <w:kern w:val="0"/>
          <w:szCs w:val="21"/>
          <w:highlight w:val="none"/>
        </w:rPr>
        <w:t>采购需求中的技术、服务要求以及合同草案条款</w:t>
      </w:r>
      <w:r>
        <w:rPr>
          <w:rFonts w:hint="eastAsia" w:ascii="宋体" w:hAnsi="宋体" w:cs="宋体"/>
          <w:bCs/>
          <w:color w:val="auto"/>
          <w:szCs w:val="21"/>
          <w:highlight w:val="none"/>
        </w:rPr>
        <w:t>作实质性变动(磋商文件的实质性变动内容为磋商文件的组成部分)，并以书面形式要求</w:t>
      </w:r>
      <w:r>
        <w:rPr>
          <w:rFonts w:hint="eastAsia" w:ascii="宋体" w:hAnsi="宋体" w:cs="宋体"/>
          <w:color w:val="auto"/>
          <w:kern w:val="0"/>
          <w:szCs w:val="21"/>
          <w:highlight w:val="none"/>
        </w:rPr>
        <w:t>符合性审查合格</w:t>
      </w:r>
      <w:r>
        <w:rPr>
          <w:rFonts w:hint="eastAsia" w:ascii="宋体" w:hAnsi="宋体" w:cs="宋体"/>
          <w:bCs/>
          <w:color w:val="auto"/>
          <w:szCs w:val="21"/>
          <w:highlight w:val="none"/>
        </w:rPr>
        <w:t>的供应商，在规定的</w:t>
      </w:r>
      <w:r>
        <w:rPr>
          <w:rFonts w:hint="eastAsia" w:ascii="宋体" w:hAnsi="宋体" w:cs="宋体"/>
          <w:color w:val="auto"/>
          <w:kern w:val="0"/>
          <w:szCs w:val="21"/>
          <w:highlight w:val="none"/>
        </w:rPr>
        <w:t>截止时间前</w:t>
      </w:r>
      <w:r>
        <w:rPr>
          <w:rFonts w:hint="eastAsia" w:ascii="宋体" w:hAnsi="宋体" w:cs="宋体"/>
          <w:bCs/>
          <w:color w:val="auto"/>
          <w:szCs w:val="21"/>
          <w:highlight w:val="none"/>
        </w:rPr>
        <w:t>重</w:t>
      </w:r>
      <w:r>
        <w:rPr>
          <w:rFonts w:hint="eastAsia" w:ascii="宋体" w:hAnsi="宋体" w:cs="宋体"/>
          <w:color w:val="auto"/>
          <w:kern w:val="0"/>
          <w:szCs w:val="21"/>
          <w:highlight w:val="none"/>
        </w:rPr>
        <w:t>新提交响应文件</w:t>
      </w:r>
      <w:r>
        <w:rPr>
          <w:rFonts w:hint="eastAsia" w:ascii="宋体" w:hAnsi="宋体" w:cs="宋体"/>
          <w:bCs/>
          <w:color w:val="auto"/>
          <w:szCs w:val="21"/>
          <w:highlight w:val="none"/>
        </w:rPr>
        <w:t>。</w:t>
      </w:r>
      <w:r>
        <w:rPr>
          <w:rFonts w:hint="eastAsia" w:ascii="宋体" w:hAnsi="宋体" w:cs="宋体"/>
          <w:color w:val="auto"/>
          <w:kern w:val="0"/>
          <w:szCs w:val="21"/>
          <w:highlight w:val="none"/>
        </w:rPr>
        <w:t>磋商小组应当</w:t>
      </w:r>
      <w:r>
        <w:rPr>
          <w:rFonts w:hint="eastAsia" w:ascii="宋体" w:hAnsi="宋体" w:cs="宋体"/>
          <w:color w:val="auto"/>
          <w:szCs w:val="21"/>
          <w:highlight w:val="none"/>
        </w:rPr>
        <w:t>根据本章第</w:t>
      </w:r>
      <w:r>
        <w:rPr>
          <w:rFonts w:hint="eastAsia" w:ascii="宋体" w:hAnsi="宋体" w:cs="宋体"/>
          <w:color w:val="auto"/>
          <w:szCs w:val="21"/>
          <w:highlight w:val="none"/>
          <w:lang w:eastAsia="zh-CN"/>
        </w:rPr>
        <w:t>27.1</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对供应商重新提交的响应文件进行符合性审查。供应商重新提交的响应文件未通过符合性审查的，不得进入下一轮磋商，也不得要求提交最后报价。</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（1）磋商文件能够详细列明采购需求的技术、服务要求的，磋商结束后，磋商小组应当要求所有继续参加磋商的供应商在规定时间内提交最后报价。</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lang w:eastAsia="zh-CN"/>
        </w:rPr>
        <w:t>28.3</w:t>
      </w:r>
      <w:r>
        <w:rPr>
          <w:rFonts w:hint="eastAsia" w:ascii="宋体" w:hAnsi="宋体" w:cs="宋体"/>
          <w:color w:val="auto"/>
          <w:szCs w:val="21"/>
          <w:highlight w:val="none"/>
        </w:rPr>
        <w:t xml:space="preserve"> </w:t>
      </w:r>
      <w:r>
        <w:rPr>
          <w:rFonts w:hint="eastAsia" w:ascii="宋体" w:hAnsi="宋体" w:cs="宋体"/>
          <w:bCs/>
          <w:color w:val="auto"/>
          <w:szCs w:val="21"/>
          <w:highlight w:val="none"/>
        </w:rPr>
        <w:t>重</w:t>
      </w:r>
      <w:r>
        <w:rPr>
          <w:rFonts w:hint="eastAsia" w:ascii="宋体" w:hAnsi="宋体" w:cs="宋体"/>
          <w:color w:val="auto"/>
          <w:kern w:val="0"/>
          <w:szCs w:val="21"/>
          <w:highlight w:val="none"/>
        </w:rPr>
        <w:t>新提交的响应文件</w:t>
      </w:r>
      <w:r>
        <w:rPr>
          <w:rFonts w:hint="eastAsia" w:ascii="宋体" w:hAnsi="宋体" w:cs="宋体"/>
          <w:color w:val="auto"/>
          <w:szCs w:val="21"/>
          <w:highlight w:val="none"/>
        </w:rPr>
        <w:t>或者最后报价应按</w:t>
      </w:r>
      <w:r>
        <w:rPr>
          <w:rFonts w:hint="eastAsia" w:ascii="宋体" w:hAnsi="宋体" w:cs="宋体"/>
          <w:color w:val="auto"/>
          <w:kern w:val="0"/>
          <w:szCs w:val="21"/>
          <w:highlight w:val="none"/>
        </w:rPr>
        <w:t>本章第</w:t>
      </w:r>
      <w:r>
        <w:rPr>
          <w:rFonts w:hint="eastAsia" w:ascii="宋体" w:hAnsi="宋体" w:cs="宋体"/>
          <w:color w:val="auto"/>
          <w:szCs w:val="21"/>
          <w:highlight w:val="none"/>
          <w:lang w:eastAsia="zh-CN"/>
        </w:rPr>
        <w:t>18.3</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由其法定代表人或其委托代理人签字或者加盖供应商单位章，在规定时间内密封递交给磋商小组</w:t>
      </w:r>
      <w:r>
        <w:rPr>
          <w:rFonts w:hint="eastAsia" w:ascii="宋体" w:hAnsi="宋体" w:cs="宋体"/>
          <w:bCs/>
          <w:color w:val="auto"/>
          <w:szCs w:val="21"/>
          <w:highlight w:val="none"/>
        </w:rPr>
        <w:t>。</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28.4</w:t>
      </w:r>
      <w:r>
        <w:rPr>
          <w:rFonts w:hint="eastAsia" w:ascii="宋体" w:hAnsi="宋体" w:cs="宋体"/>
          <w:color w:val="auto"/>
          <w:kern w:val="0"/>
          <w:szCs w:val="21"/>
          <w:highlight w:val="none"/>
          <w:lang w:val="zh-CN"/>
        </w:rPr>
        <w:t>供应商的</w:t>
      </w:r>
      <w:r>
        <w:rPr>
          <w:rFonts w:hint="eastAsia" w:ascii="宋体" w:hAnsi="宋体" w:cs="宋体"/>
          <w:bCs/>
          <w:color w:val="auto"/>
          <w:szCs w:val="21"/>
          <w:highlight w:val="none"/>
        </w:rPr>
        <w:t>最</w:t>
      </w:r>
      <w:r>
        <w:rPr>
          <w:rFonts w:hint="eastAsia" w:ascii="宋体" w:hAnsi="宋体" w:cs="宋体"/>
          <w:color w:val="auto"/>
          <w:kern w:val="0"/>
          <w:szCs w:val="21"/>
          <w:highlight w:val="none"/>
          <w:lang w:val="zh-CN"/>
        </w:rPr>
        <w:t>后</w:t>
      </w:r>
      <w:r>
        <w:rPr>
          <w:rFonts w:hint="eastAsia" w:ascii="宋体" w:hAnsi="宋体" w:cs="宋体"/>
          <w:bCs/>
          <w:color w:val="auto"/>
          <w:szCs w:val="21"/>
          <w:highlight w:val="none"/>
        </w:rPr>
        <w:t>报价及</w:t>
      </w:r>
      <w:r>
        <w:rPr>
          <w:rFonts w:hint="eastAsia" w:ascii="宋体" w:hAnsi="宋体" w:cs="宋体"/>
          <w:color w:val="auto"/>
          <w:kern w:val="0"/>
          <w:szCs w:val="21"/>
          <w:highlight w:val="none"/>
        </w:rPr>
        <w:t>政府采购政策规定的价格扣除情况，磋商小组应召集所有参加最后报价的供应商当场开封</w:t>
      </w:r>
      <w:r>
        <w:rPr>
          <w:rFonts w:hint="eastAsia" w:ascii="宋体" w:hAnsi="宋体" w:cs="宋体"/>
          <w:bCs/>
          <w:color w:val="auto"/>
          <w:szCs w:val="21"/>
          <w:highlight w:val="none"/>
        </w:rPr>
        <w:t>公布，并由供应商代表签字确认。</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28.5</w:t>
      </w:r>
      <w:r>
        <w:rPr>
          <w:rFonts w:hint="eastAsia" w:ascii="宋体" w:hAnsi="宋体" w:cs="宋体"/>
          <w:color w:val="auto"/>
          <w:kern w:val="0"/>
          <w:szCs w:val="21"/>
          <w:highlight w:val="none"/>
        </w:rPr>
        <w:t>提交首次响应文件的供应商，在提交最后报价之前，可以根据磋商情况退出磋商，并书面通知采购代理机构或者磋商小组。</w:t>
      </w:r>
      <w:r>
        <w:rPr>
          <w:rFonts w:hint="eastAsia" w:ascii="宋体" w:hAnsi="宋体" w:cs="宋体"/>
          <w:color w:val="auto"/>
          <w:szCs w:val="21"/>
          <w:highlight w:val="none"/>
        </w:rPr>
        <w:t>该通知由供应商法定代表人或其委托代理人签字。</w:t>
      </w:r>
      <w:r>
        <w:rPr>
          <w:rFonts w:hint="eastAsia" w:ascii="宋体" w:hAnsi="宋体" w:cs="宋体"/>
          <w:color w:val="auto"/>
          <w:kern w:val="0"/>
          <w:szCs w:val="21"/>
          <w:highlight w:val="none"/>
        </w:rPr>
        <w:t>采购代理机构按本章第</w:t>
      </w:r>
      <w:r>
        <w:rPr>
          <w:rFonts w:hint="eastAsia" w:ascii="宋体" w:hAnsi="宋体" w:cs="宋体"/>
          <w:color w:val="auto"/>
          <w:szCs w:val="21"/>
          <w:highlight w:val="none"/>
          <w:lang w:eastAsia="zh-CN"/>
        </w:rPr>
        <w:t>16.4</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退还退出磋商的供应商的保证金。</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eastAsia="zh-CN"/>
        </w:rPr>
        <w:t>28.6</w:t>
      </w:r>
      <w:r>
        <w:rPr>
          <w:rFonts w:hint="eastAsia" w:ascii="宋体" w:hAnsi="宋体" w:cs="宋体"/>
          <w:color w:val="auto"/>
          <w:kern w:val="0"/>
          <w:szCs w:val="21"/>
          <w:highlight w:val="none"/>
        </w:rPr>
        <w:t>提交首次响应文件的供应商，未按磋商文件规定及磋商小组要求提交最后报价(或者</w:t>
      </w:r>
      <w:r>
        <w:rPr>
          <w:rFonts w:hint="eastAsia" w:ascii="宋体" w:hAnsi="宋体" w:cs="宋体"/>
          <w:bCs/>
          <w:color w:val="auto"/>
          <w:szCs w:val="21"/>
          <w:highlight w:val="none"/>
        </w:rPr>
        <w:t>重</w:t>
      </w:r>
      <w:r>
        <w:rPr>
          <w:rFonts w:hint="eastAsia" w:ascii="宋体" w:hAnsi="宋体" w:cs="宋体"/>
          <w:color w:val="auto"/>
          <w:kern w:val="0"/>
          <w:szCs w:val="21"/>
          <w:highlight w:val="none"/>
        </w:rPr>
        <w:t>新提交的响应文件和最后报价)，且又未按本章第</w:t>
      </w:r>
      <w:r>
        <w:rPr>
          <w:rFonts w:hint="eastAsia" w:ascii="宋体" w:hAnsi="宋体" w:cs="宋体"/>
          <w:color w:val="auto"/>
          <w:szCs w:val="21"/>
          <w:highlight w:val="none"/>
          <w:lang w:eastAsia="zh-CN"/>
        </w:rPr>
        <w:t>28.5</w:t>
      </w:r>
      <w:r>
        <w:rPr>
          <w:rFonts w:hint="eastAsia" w:ascii="宋体" w:hAnsi="宋体" w:cs="宋体"/>
          <w:color w:val="auto"/>
          <w:kern w:val="0"/>
          <w:szCs w:val="21"/>
          <w:highlight w:val="none"/>
          <w:lang w:val="zh-CN"/>
        </w:rPr>
        <w:t>款</w:t>
      </w:r>
      <w:r>
        <w:rPr>
          <w:rFonts w:hint="eastAsia" w:ascii="宋体" w:hAnsi="宋体" w:cs="宋体"/>
          <w:color w:val="auto"/>
          <w:szCs w:val="21"/>
          <w:highlight w:val="none"/>
        </w:rPr>
        <w:t>规定</w:t>
      </w:r>
      <w:r>
        <w:rPr>
          <w:rFonts w:hint="eastAsia" w:ascii="宋体" w:hAnsi="宋体" w:cs="宋体"/>
          <w:color w:val="auto"/>
          <w:kern w:val="0"/>
          <w:szCs w:val="21"/>
          <w:highlight w:val="none"/>
        </w:rPr>
        <w:t>退出磋商的，供应商的保证金不予退还。</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bCs/>
          <w:color w:val="auto"/>
          <w:szCs w:val="21"/>
          <w:highlight w:val="none"/>
        </w:rPr>
      </w:pPr>
      <w:r>
        <w:rPr>
          <w:rFonts w:hint="eastAsia" w:ascii="宋体" w:hAnsi="宋体" w:eastAsia="宋体" w:cs="宋体"/>
          <w:b/>
          <w:bCs/>
          <w:color w:val="auto"/>
          <w:szCs w:val="21"/>
          <w:highlight w:val="none"/>
          <w:lang w:val="en-US" w:eastAsia="zh-CN"/>
        </w:rPr>
        <w:t>29</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rPr>
        <w:t>提出成交供应商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lang w:eastAsia="zh-CN"/>
        </w:rPr>
        <w:t>29.1</w:t>
      </w:r>
      <w:r>
        <w:rPr>
          <w:rFonts w:hint="eastAsia" w:ascii="宋体" w:hAnsi="宋体" w:cs="宋体"/>
          <w:color w:val="auto"/>
          <w:kern w:val="0"/>
          <w:szCs w:val="21"/>
          <w:highlight w:val="none"/>
        </w:rPr>
        <w:t>磋商小组应当按照综合评分由高到低的顺序提出3名以上成交候选人，并编写评审报告。</w:t>
      </w:r>
    </w:p>
    <w:p>
      <w:pPr>
        <w:keepNext w:val="0"/>
        <w:keepLines w:val="0"/>
        <w:pageBreakBefore w:val="0"/>
        <w:shd w:val="clear" w:color="auto" w:fill="auto"/>
        <w:tabs>
          <w:tab w:val="left" w:pos="0"/>
        </w:tabs>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31.确定成交供应商</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30.1</w:t>
      </w:r>
      <w:r>
        <w:rPr>
          <w:rFonts w:hint="eastAsia" w:ascii="宋体" w:hAnsi="宋体" w:cs="宋体"/>
          <w:color w:val="auto"/>
          <w:kern w:val="0"/>
          <w:szCs w:val="21"/>
          <w:highlight w:val="none"/>
        </w:rPr>
        <w:t>采购代理机构应当在评审结束后2个工作日内将评审报告送采购人确认。</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30.2</w:t>
      </w:r>
      <w:r>
        <w:rPr>
          <w:rFonts w:hint="eastAsia" w:ascii="宋体" w:hAnsi="宋体" w:cs="宋体"/>
          <w:color w:val="auto"/>
          <w:kern w:val="0"/>
          <w:szCs w:val="21"/>
          <w:highlight w:val="none"/>
        </w:rPr>
        <w:t>采购人应当在收到评审报告后5个工作日内，从评审报告提出的成交候选人中，根据综合评分得分最高的原则确定成交供应商，也可以书面授权磋商小组直接确定成交供应商。</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hanging="632" w:hangingChars="300"/>
        <w:textAlignment w:val="auto"/>
        <w:rPr>
          <w:rFonts w:hint="eastAsia" w:hAnsi="宋体" w:cs="宋体"/>
          <w:b/>
          <w:color w:val="auto"/>
          <w:sz w:val="21"/>
          <w:highlight w:val="none"/>
        </w:rPr>
      </w:pPr>
      <w:r>
        <w:rPr>
          <w:rFonts w:hint="eastAsia" w:hAnsi="宋体" w:cs="宋体"/>
          <w:b/>
          <w:color w:val="auto"/>
          <w:sz w:val="21"/>
          <w:highlight w:val="none"/>
        </w:rPr>
        <w:t>3</w:t>
      </w:r>
      <w:r>
        <w:rPr>
          <w:rFonts w:hint="eastAsia" w:hAnsi="宋体" w:cs="宋体"/>
          <w:b/>
          <w:color w:val="auto"/>
          <w:sz w:val="21"/>
          <w:highlight w:val="none"/>
          <w:lang w:val="en-US" w:eastAsia="zh-CN"/>
        </w:rPr>
        <w:t>1</w:t>
      </w:r>
      <w:r>
        <w:rPr>
          <w:rFonts w:hint="eastAsia" w:hAnsi="宋体" w:cs="宋体"/>
          <w:b/>
          <w:color w:val="auto"/>
          <w:sz w:val="21"/>
          <w:highlight w:val="none"/>
        </w:rPr>
        <w:t>.磋商的特殊情形</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31.1</w:t>
      </w:r>
      <w:r>
        <w:rPr>
          <w:rFonts w:hint="eastAsia" w:ascii="宋体" w:hAnsi="宋体" w:cs="宋体"/>
          <w:color w:val="auto"/>
          <w:kern w:val="0"/>
          <w:szCs w:val="21"/>
          <w:highlight w:val="none"/>
        </w:rPr>
        <w:t>采用竞争性磋商采购方式采购的政府购买服务项目（含政府和社会资本合作项目），在采购过程中符合要求的供应商只有2家的，竞争性磋商采购活动可以继续进行。采购过程中符合要求的供应商只有1家的，</w:t>
      </w:r>
      <w:r>
        <w:rPr>
          <w:rFonts w:hint="default" w:ascii="宋体" w:hAnsi="宋体" w:cs="宋体"/>
          <w:color w:val="auto"/>
          <w:kern w:val="0"/>
          <w:szCs w:val="21"/>
          <w:highlight w:val="none"/>
        </w:rPr>
        <w:fldChar w:fldCharType="begin"/>
      </w:r>
      <w:r>
        <w:rPr>
          <w:rFonts w:hint="default" w:ascii="宋体" w:hAnsi="宋体" w:cs="宋体"/>
          <w:color w:val="auto"/>
          <w:kern w:val="0"/>
          <w:szCs w:val="21"/>
          <w:highlight w:val="none"/>
        </w:rPr>
        <w:instrText xml:space="preserve"> HYPERLINK "https://baike.baidu.com/item/%E9%87%87%E8%B4%AD%E4%BA%BA" \t "https://baike.baidu.com/item/%E8%B4%A2%E6%94%BF%E9%83%A8%E5%85%B3%E4%BA%8E%E6%94%BF%E5%BA%9C%E9%87%87%E8%B4%AD%E7%AB%9E%E4%BA%89%E6%80%A7%E7%A3%8B%E5%95%86%E9%87%87%E8%B4%AD%E6%96%B9%E5%BC%8F%E7%AE%A1%E7%90%86%E6%9A%82%E8%A1%8C%E5%8A%9E%E6%B3%95%E6%9C%89%E5%85%B3%E9%97%AE%E9%A2%98%E7%9A%84%E8%A1%A5%E5%85%85%E9%80%9A%E7%9F%A5/_blank" </w:instrText>
      </w:r>
      <w:r>
        <w:rPr>
          <w:rFonts w:hint="default" w:ascii="宋体" w:hAnsi="宋体" w:cs="宋体"/>
          <w:color w:val="auto"/>
          <w:kern w:val="0"/>
          <w:szCs w:val="21"/>
          <w:highlight w:val="none"/>
        </w:rPr>
        <w:fldChar w:fldCharType="separate"/>
      </w:r>
      <w:r>
        <w:rPr>
          <w:rFonts w:hint="default" w:ascii="宋体" w:hAnsi="宋体" w:cs="宋体"/>
          <w:color w:val="auto"/>
          <w:kern w:val="0"/>
          <w:szCs w:val="21"/>
          <w:highlight w:val="none"/>
        </w:rPr>
        <w:t>采购人</w:t>
      </w:r>
      <w:r>
        <w:rPr>
          <w:rFonts w:hint="default" w:ascii="宋体" w:hAnsi="宋体" w:cs="宋体"/>
          <w:color w:val="auto"/>
          <w:kern w:val="0"/>
          <w:szCs w:val="21"/>
          <w:highlight w:val="none"/>
        </w:rPr>
        <w:fldChar w:fldCharType="end"/>
      </w:r>
      <w:r>
        <w:rPr>
          <w:rFonts w:hint="default" w:ascii="宋体" w:hAnsi="宋体" w:cs="宋体"/>
          <w:color w:val="auto"/>
          <w:kern w:val="0"/>
          <w:szCs w:val="21"/>
          <w:highlight w:val="none"/>
        </w:rPr>
        <w:t>或者采购代理机构应当终止竞争性磋商采购活动，发布项目终止公告并说明原因，重新开展采购活动</w:t>
      </w:r>
      <w:r>
        <w:rPr>
          <w:rFonts w:hint="eastAsia" w:ascii="宋体" w:hAnsi="宋体" w:cs="宋体"/>
          <w:color w:val="auto"/>
          <w:kern w:val="0"/>
          <w:szCs w:val="21"/>
          <w:highlight w:val="none"/>
        </w:rPr>
        <w:t>。符合本款情形的，本章第</w:t>
      </w:r>
      <w:r>
        <w:rPr>
          <w:rFonts w:hint="eastAsia" w:ascii="宋体" w:hAnsi="宋体" w:cs="宋体"/>
          <w:color w:val="auto"/>
          <w:kern w:val="0"/>
          <w:szCs w:val="21"/>
          <w:highlight w:val="none"/>
          <w:lang w:val="zh-CN"/>
        </w:rPr>
        <w:t>28.1款、第28.2款、第29.1款、第32.1款</w:t>
      </w:r>
      <w:r>
        <w:rPr>
          <w:rFonts w:hint="eastAsia" w:ascii="宋体" w:hAnsi="宋体" w:cs="宋体"/>
          <w:color w:val="auto"/>
          <w:kern w:val="0"/>
          <w:szCs w:val="21"/>
          <w:highlight w:val="none"/>
        </w:rPr>
        <w:t>中规定的供应商最低数量可以为两家。</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hanging="632" w:hangingChars="300"/>
        <w:textAlignment w:val="auto"/>
        <w:rPr>
          <w:rFonts w:hint="eastAsia" w:hAnsi="宋体" w:cs="宋体"/>
          <w:b/>
          <w:color w:val="auto"/>
          <w:sz w:val="21"/>
          <w:highlight w:val="none"/>
        </w:rPr>
      </w:pPr>
      <w:r>
        <w:rPr>
          <w:rFonts w:hint="eastAsia" w:hAnsi="宋体" w:cs="宋体"/>
          <w:b/>
          <w:color w:val="auto"/>
          <w:sz w:val="21"/>
          <w:highlight w:val="none"/>
        </w:rPr>
        <w:t>3</w:t>
      </w:r>
      <w:r>
        <w:rPr>
          <w:rFonts w:hint="eastAsia" w:hAnsi="宋体" w:cs="宋体"/>
          <w:b/>
          <w:color w:val="auto"/>
          <w:sz w:val="21"/>
          <w:highlight w:val="none"/>
          <w:lang w:val="en-US" w:eastAsia="zh-CN"/>
        </w:rPr>
        <w:t>2</w:t>
      </w:r>
      <w:r>
        <w:rPr>
          <w:rFonts w:hint="eastAsia" w:hAnsi="宋体" w:cs="宋体"/>
          <w:b/>
          <w:color w:val="auto"/>
          <w:sz w:val="21"/>
          <w:highlight w:val="none"/>
        </w:rPr>
        <w:t>.磋商终止</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bCs/>
          <w:color w:val="auto"/>
          <w:szCs w:val="21"/>
          <w:highlight w:val="none"/>
          <w:lang w:eastAsia="zh-CN"/>
        </w:rPr>
        <w:t>32.1</w:t>
      </w:r>
      <w:r>
        <w:rPr>
          <w:rFonts w:hint="eastAsia" w:ascii="宋体" w:hAnsi="宋体" w:cs="宋体"/>
          <w:color w:val="auto"/>
          <w:kern w:val="0"/>
          <w:szCs w:val="21"/>
          <w:highlight w:val="none"/>
        </w:rPr>
        <w:t>出现下列情形之一的，采购人或者采购代理机构应当终止竞争性磋商采购活动，</w:t>
      </w:r>
      <w:r>
        <w:rPr>
          <w:rFonts w:hint="eastAsia" w:ascii="宋体" w:hAnsi="宋体" w:cs="宋体"/>
          <w:color w:val="auto"/>
          <w:szCs w:val="21"/>
          <w:highlight w:val="none"/>
        </w:rPr>
        <w:t>在省级以上财政部门指定的媒体上</w:t>
      </w:r>
      <w:r>
        <w:rPr>
          <w:rFonts w:hint="eastAsia" w:ascii="宋体" w:hAnsi="宋体" w:cs="宋体"/>
          <w:color w:val="auto"/>
          <w:kern w:val="0"/>
          <w:szCs w:val="21"/>
          <w:highlight w:val="none"/>
        </w:rPr>
        <w:t xml:space="preserve">发布项目终止公告并说明原因，重新开展采购活动： </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（1）因情况变化，不再符合规定的竞争性磋商采购方式适用情形的；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（3）在采购过程中符合竞争要求的供应商或者报价未超过采购预算的供应商不足3家的，或者提交最后报价的供应商少于3家的；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jc w:val="left"/>
        <w:textAlignment w:val="auto"/>
        <w:rPr>
          <w:rFonts w:hint="eastAsia" w:ascii="宋体" w:hAnsi="宋体" w:cs="宋体"/>
          <w:b/>
          <w:bCs/>
          <w:color w:val="auto"/>
          <w:szCs w:val="21"/>
          <w:highlight w:val="none"/>
        </w:rPr>
      </w:pPr>
      <w:r>
        <w:rPr>
          <w:rFonts w:hint="eastAsia" w:ascii="宋体" w:hAnsi="宋体" w:cs="宋体"/>
          <w:color w:val="auto"/>
          <w:kern w:val="0"/>
          <w:szCs w:val="21"/>
          <w:highlight w:val="none"/>
        </w:rPr>
        <w:t>（4）</w:t>
      </w:r>
      <w:r>
        <w:rPr>
          <w:rFonts w:hint="eastAsia" w:ascii="宋体" w:hAnsi="宋体" w:cs="宋体"/>
          <w:bCs/>
          <w:color w:val="auto"/>
          <w:szCs w:val="21"/>
          <w:highlight w:val="none"/>
        </w:rPr>
        <w:t>因重大变故，采购任务取消的。</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3</w:t>
      </w:r>
      <w:r>
        <w:rPr>
          <w:rFonts w:hint="eastAsia" w:ascii="宋体" w:hAnsi="宋体" w:cs="宋体"/>
          <w:b/>
          <w:color w:val="auto"/>
          <w:kern w:val="0"/>
          <w:szCs w:val="21"/>
          <w:highlight w:val="none"/>
          <w:lang w:val="en-US" w:eastAsia="zh-CN"/>
        </w:rPr>
        <w:t>3</w:t>
      </w:r>
      <w:r>
        <w:rPr>
          <w:rFonts w:hint="eastAsia" w:ascii="宋体" w:hAnsi="宋体" w:cs="宋体"/>
          <w:b/>
          <w:color w:val="auto"/>
          <w:kern w:val="0"/>
          <w:szCs w:val="21"/>
          <w:highlight w:val="none"/>
        </w:rPr>
        <w:t>．重新评审</w:t>
      </w:r>
    </w:p>
    <w:p>
      <w:pPr>
        <w:keepNext w:val="0"/>
        <w:keepLines w:val="0"/>
        <w:pageBreakBefore w:val="0"/>
        <w:widowControl/>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33.1</w:t>
      </w:r>
      <w:r>
        <w:rPr>
          <w:rFonts w:hint="eastAsia" w:ascii="宋体" w:hAnsi="宋体" w:cs="宋体"/>
          <w:color w:val="auto"/>
          <w:kern w:val="0"/>
          <w:szCs w:val="21"/>
          <w:highlight w:val="none"/>
        </w:rPr>
        <w:t>除资格性审查认定错误和价格计算错误外，采购人或者采购代理机构不以任何理由组织重新评审。采购人、采购代理机构发现磋商小组未按照</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文件规定的评定成交的标准进行评审的，应当重新开展采购活动，并同时书面报告财政部。</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.保密及串通行为</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34.1</w:t>
      </w:r>
      <w:r>
        <w:rPr>
          <w:rFonts w:hint="eastAsia" w:ascii="宋体" w:hAnsi="宋体" w:cs="宋体"/>
          <w:color w:val="auto"/>
          <w:szCs w:val="21"/>
          <w:highlight w:val="none"/>
        </w:rPr>
        <w:t>磋商小组成员以及与评审工作有关的人员不得泄露评审情况以及评审过程中获悉的国家秘密、商业秘密。</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34.2</w:t>
      </w:r>
      <w:r>
        <w:rPr>
          <w:rFonts w:hint="eastAsia" w:ascii="宋体" w:hAnsi="宋体" w:cs="宋体"/>
          <w:color w:val="auto"/>
          <w:kern w:val="0"/>
          <w:szCs w:val="21"/>
          <w:highlight w:val="none"/>
        </w:rPr>
        <w:t>供应商</w:t>
      </w:r>
      <w:r>
        <w:rPr>
          <w:rFonts w:hint="eastAsia" w:ascii="宋体" w:hAnsi="宋体" w:cs="宋体"/>
          <w:color w:val="auto"/>
          <w:szCs w:val="21"/>
          <w:highlight w:val="none"/>
        </w:rPr>
        <w:t>不得与</w:t>
      </w:r>
      <w:r>
        <w:rPr>
          <w:rFonts w:hint="eastAsia" w:ascii="宋体" w:hAnsi="宋体" w:cs="宋体"/>
          <w:color w:val="auto"/>
          <w:kern w:val="0"/>
          <w:szCs w:val="21"/>
          <w:highlight w:val="none"/>
        </w:rPr>
        <w:t>采购人、采购代理机构、其他供应商恶意</w:t>
      </w:r>
      <w:r>
        <w:rPr>
          <w:rFonts w:hint="eastAsia" w:ascii="宋体" w:hAnsi="宋体" w:cs="宋体"/>
          <w:color w:val="auto"/>
          <w:szCs w:val="21"/>
          <w:highlight w:val="none"/>
        </w:rPr>
        <w:t>串通；不得向</w:t>
      </w:r>
      <w:r>
        <w:rPr>
          <w:rFonts w:hint="eastAsia" w:ascii="宋体" w:hAnsi="宋体" w:cs="宋体"/>
          <w:color w:val="auto"/>
          <w:kern w:val="0"/>
          <w:szCs w:val="21"/>
          <w:highlight w:val="none"/>
        </w:rPr>
        <w:t>采购人、采购代理机构</w:t>
      </w:r>
      <w:r>
        <w:rPr>
          <w:rFonts w:hint="eastAsia" w:ascii="宋体" w:hAnsi="宋体" w:cs="宋体"/>
          <w:color w:val="auto"/>
          <w:szCs w:val="21"/>
          <w:highlight w:val="none"/>
        </w:rPr>
        <w:t>或者磋商小组成员行贿或者提供其他不正当利益；不得提供虚假材料谋取成交；不得以任何方式干扰、影响采购工作。</w:t>
      </w:r>
    </w:p>
    <w:p>
      <w:pPr>
        <w:pStyle w:val="19"/>
        <w:keepNext w:val="0"/>
        <w:keepLines w:val="0"/>
        <w:pageBreakBefore w:val="0"/>
        <w:shd w:val="clear" w:color="auto" w:fill="auto"/>
        <w:kinsoku/>
        <w:wordWrap/>
        <w:overflowPunct/>
        <w:topLinePunct w:val="0"/>
        <w:autoSpaceDE/>
        <w:bidi w:val="0"/>
        <w:adjustRightInd w:val="0"/>
        <w:snapToGrid w:val="0"/>
        <w:spacing w:before="0" w:beforeAutospacing="0" w:after="0" w:afterAutospacing="0" w:line="360" w:lineRule="auto"/>
        <w:ind w:left="0" w:right="0" w:rightChars="0" w:firstLine="420" w:firstLineChars="200"/>
        <w:textAlignment w:val="auto"/>
        <w:rPr>
          <w:rFonts w:hint="eastAsia"/>
          <w:color w:val="auto"/>
          <w:sz w:val="21"/>
          <w:szCs w:val="21"/>
          <w:highlight w:val="none"/>
          <w:lang w:val="zh-CN"/>
        </w:rPr>
      </w:pPr>
      <w:r>
        <w:rPr>
          <w:rFonts w:hint="eastAsia"/>
          <w:color w:val="auto"/>
          <w:sz w:val="21"/>
          <w:szCs w:val="21"/>
          <w:highlight w:val="none"/>
          <w:lang w:eastAsia="zh-CN"/>
        </w:rPr>
        <w:t>34.3</w:t>
      </w:r>
      <w:r>
        <w:rPr>
          <w:rFonts w:hint="eastAsia"/>
          <w:color w:val="auto"/>
          <w:sz w:val="21"/>
          <w:szCs w:val="21"/>
          <w:highlight w:val="none"/>
        </w:rPr>
        <w:t>有下列情形之一的，</w:t>
      </w:r>
      <w:r>
        <w:rPr>
          <w:rFonts w:hint="eastAsia"/>
          <w:color w:val="auto"/>
          <w:sz w:val="21"/>
          <w:szCs w:val="21"/>
          <w:highlight w:val="none"/>
          <w:lang w:val="zh-CN"/>
        </w:rPr>
        <w:t>属于恶意串通，</w:t>
      </w:r>
      <w:r>
        <w:rPr>
          <w:rFonts w:hint="eastAsia"/>
          <w:color w:val="auto"/>
          <w:sz w:val="21"/>
          <w:szCs w:val="21"/>
          <w:highlight w:val="none"/>
        </w:rPr>
        <w:t>成交无效，并</w:t>
      </w:r>
      <w:r>
        <w:rPr>
          <w:rFonts w:hint="eastAsia"/>
          <w:color w:val="auto"/>
          <w:sz w:val="21"/>
          <w:szCs w:val="21"/>
          <w:highlight w:val="none"/>
          <w:lang w:val="zh-CN"/>
        </w:rPr>
        <w:t>依照《政府采购法》第七十七条的规定追究法律责任：</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w:t>
      </w:r>
      <w:r>
        <w:rPr>
          <w:rFonts w:hint="eastAsia" w:ascii="宋体" w:hAnsi="宋体" w:cs="宋体"/>
          <w:bCs/>
          <w:color w:val="auto"/>
          <w:szCs w:val="21"/>
          <w:highlight w:val="none"/>
        </w:rPr>
        <w:t>采购人、采购代理机构</w:t>
      </w:r>
      <w:r>
        <w:rPr>
          <w:rFonts w:hint="eastAsia" w:ascii="宋体" w:hAnsi="宋体" w:cs="宋体"/>
          <w:color w:val="auto"/>
          <w:szCs w:val="21"/>
          <w:highlight w:val="none"/>
        </w:rPr>
        <w:t>获得其他供应商的响应情况，并修改其响应文件的；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采购人、采购代理机构</w:t>
      </w:r>
      <w:r>
        <w:rPr>
          <w:rFonts w:hint="eastAsia" w:ascii="宋体" w:hAnsi="宋体" w:cs="宋体"/>
          <w:color w:val="auto"/>
          <w:szCs w:val="21"/>
          <w:highlight w:val="none"/>
        </w:rPr>
        <w:t>授意供应商撤换、修改响应文件的；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（3）供应商之间协商技术方案、合同条款以及报价等响应文件实质性内容的；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（4）属于同一集团、协会、商会等组织成员的供应商按照该组织要求协同参加竞争性磋商政府采购活动的；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（5）供应商之间事先约定由某一特定供应商成交的；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（6）供应商之间商定部分供应商放弃提交响应文件或者退出磋商或者放弃成交的；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（7）供应商与</w:t>
      </w:r>
      <w:r>
        <w:rPr>
          <w:rFonts w:hint="eastAsia" w:ascii="宋体" w:hAnsi="宋体" w:cs="宋体"/>
          <w:bCs/>
          <w:color w:val="auto"/>
          <w:szCs w:val="21"/>
          <w:highlight w:val="none"/>
        </w:rPr>
        <w:t>采购人、采购代理机构以及</w:t>
      </w:r>
      <w:r>
        <w:rPr>
          <w:rFonts w:hint="eastAsia" w:ascii="宋体" w:hAnsi="宋体" w:cs="宋体"/>
          <w:color w:val="auto"/>
          <w:szCs w:val="21"/>
          <w:highlight w:val="none"/>
        </w:rPr>
        <w:t>磋商小组成员之间、供应商相互之间，为谋求特定供应商成交或者排斥其他供应商的其他串通行为的。</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（8）法律、行政法规或规章规定的其他串通行为。</w:t>
      </w:r>
    </w:p>
    <w:p>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textAlignment w:val="auto"/>
        <w:outlineLvl w:val="2"/>
        <w:rPr>
          <w:rFonts w:hint="eastAsia" w:ascii="宋体" w:hAnsi="宋体" w:cs="宋体"/>
          <w:b/>
          <w:color w:val="auto"/>
          <w:szCs w:val="21"/>
          <w:highlight w:val="none"/>
        </w:rPr>
      </w:pPr>
      <w:bookmarkStart w:id="24" w:name="_Toc30413"/>
      <w:bookmarkStart w:id="25" w:name="_Toc19265"/>
      <w:r>
        <w:rPr>
          <w:rFonts w:hint="eastAsia" w:ascii="宋体" w:hAnsi="宋体" w:cs="宋体"/>
          <w:b/>
          <w:color w:val="auto"/>
          <w:szCs w:val="21"/>
          <w:highlight w:val="none"/>
        </w:rPr>
        <w:t>六、成交结果信息公布与授予合同</w:t>
      </w:r>
      <w:bookmarkEnd w:id="24"/>
      <w:bookmarkEnd w:id="25"/>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.成交信息的公布</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35.1</w:t>
      </w:r>
      <w:r>
        <w:rPr>
          <w:rFonts w:hint="eastAsia" w:hAnsi="宋体" w:cs="宋体"/>
          <w:color w:val="auto"/>
          <w:sz w:val="21"/>
          <w:highlight w:val="none"/>
        </w:rPr>
        <w:t>成交供应商确定后2个工作日内，采购人或者采购代理机构应将成交结果信息在</w:t>
      </w:r>
      <w:r>
        <w:rPr>
          <w:rFonts w:hint="eastAsia" w:hAnsi="宋体" w:cs="宋体"/>
          <w:b/>
          <w:color w:val="auto"/>
          <w:sz w:val="21"/>
          <w:highlight w:val="none"/>
        </w:rPr>
        <w:t>磋商须知前附表</w:t>
      </w:r>
      <w:r>
        <w:rPr>
          <w:rFonts w:hint="eastAsia" w:hAnsi="宋体" w:cs="宋体"/>
          <w:color w:val="auto"/>
          <w:sz w:val="21"/>
          <w:highlight w:val="none"/>
        </w:rPr>
        <w:t>指定的媒体上公布。</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.询问及质疑</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36.1</w:t>
      </w:r>
      <w:r>
        <w:rPr>
          <w:rFonts w:hint="eastAsia" w:ascii="宋体" w:hAnsi="宋体" w:cs="宋体"/>
          <w:color w:val="auto"/>
          <w:szCs w:val="21"/>
          <w:highlight w:val="none"/>
        </w:rPr>
        <w:t>供应商对政府采购活动事项有疑问的，可以向采购人或采购代理机构提出询问。</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36.2</w:t>
      </w:r>
      <w:r>
        <w:rPr>
          <w:rFonts w:hint="eastAsia" w:ascii="宋体" w:hAnsi="宋体" w:cs="宋体"/>
          <w:color w:val="auto"/>
          <w:szCs w:val="21"/>
          <w:highlight w:val="none"/>
        </w:rPr>
        <w:t>供应商若认为磋商文件、采购过程和成交结果使自己的权益受到损害，可以按法律、规章及财政部相关文件规定向采购人或采购代理机构提出质疑。</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.成交通知</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37.1</w:t>
      </w:r>
      <w:r>
        <w:rPr>
          <w:rFonts w:hint="eastAsia" w:hAnsi="宋体" w:cs="宋体"/>
          <w:color w:val="auto"/>
          <w:sz w:val="21"/>
          <w:highlight w:val="none"/>
        </w:rPr>
        <w:t>成交供应商确定后，采购人或采购代理机构将以书面形式向成交供应商发出成交通知书。成交通知书对采购人和成交供应商具有同等法律效力。</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37.2</w:t>
      </w:r>
      <w:r>
        <w:rPr>
          <w:rFonts w:hint="eastAsia" w:hAnsi="宋体" w:cs="宋体"/>
          <w:color w:val="auto"/>
          <w:sz w:val="21"/>
          <w:highlight w:val="none"/>
        </w:rPr>
        <w:t xml:space="preserve"> 成交通知书是合同文件的组成部分。</w:t>
      </w:r>
    </w:p>
    <w:p>
      <w:pPr>
        <w:keepNext w:val="0"/>
        <w:keepLines w:val="0"/>
        <w:pageBreakBefore w:val="0"/>
        <w:shd w:val="clear" w:color="auto" w:fill="auto"/>
        <w:tabs>
          <w:tab w:val="left" w:pos="7560"/>
          <w:tab w:val="left" w:pos="7740"/>
          <w:tab w:val="left" w:pos="7920"/>
        </w:tabs>
        <w:kinsoku/>
        <w:wordWrap/>
        <w:overflowPunct/>
        <w:topLinePunct w:val="0"/>
        <w:autoSpaceDE/>
        <w:autoSpaceDN w:val="0"/>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kern w:val="0"/>
          <w:szCs w:val="21"/>
          <w:highlight w:val="none"/>
          <w:lang w:eastAsia="zh-CN"/>
        </w:rPr>
        <w:t>37.3</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成交供应商在收到采购代理机构的成交通知书后10日内，应按照</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的规定，向采购人提交履约担保。联合体成交的，履约担保由联合体各方或联合体中牵头人的名义提交。</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37.4</w:t>
      </w:r>
      <w:r>
        <w:rPr>
          <w:rFonts w:hint="eastAsia" w:hAnsi="宋体" w:cs="宋体"/>
          <w:color w:val="auto"/>
          <w:sz w:val="21"/>
          <w:highlight w:val="none"/>
        </w:rPr>
        <w:t xml:space="preserve"> 成交供应商</w:t>
      </w:r>
      <w:r>
        <w:rPr>
          <w:rFonts w:hint="eastAsia" w:hAnsi="宋体" w:cs="宋体"/>
          <w:color w:val="auto"/>
          <w:spacing w:val="4"/>
          <w:sz w:val="21"/>
          <w:highlight w:val="none"/>
        </w:rPr>
        <w:t>没有按照本章第</w:t>
      </w:r>
      <w:r>
        <w:rPr>
          <w:rFonts w:hint="eastAsia" w:hAnsi="宋体" w:cs="宋体"/>
          <w:color w:val="auto"/>
          <w:spacing w:val="4"/>
          <w:sz w:val="21"/>
          <w:highlight w:val="none"/>
          <w:lang w:eastAsia="zh-CN"/>
        </w:rPr>
        <w:t>37.3</w:t>
      </w:r>
      <w:r>
        <w:rPr>
          <w:rFonts w:hint="eastAsia" w:hAnsi="宋体" w:cs="宋体"/>
          <w:color w:val="auto"/>
          <w:sz w:val="21"/>
          <w:highlight w:val="none"/>
          <w:lang w:val="zh-CN"/>
        </w:rPr>
        <w:t>款</w:t>
      </w:r>
      <w:r>
        <w:rPr>
          <w:rFonts w:hint="eastAsia" w:hAnsi="宋体" w:cs="宋体"/>
          <w:color w:val="auto"/>
          <w:spacing w:val="4"/>
          <w:sz w:val="21"/>
          <w:highlight w:val="none"/>
        </w:rPr>
        <w:t>规定</w:t>
      </w:r>
      <w:r>
        <w:rPr>
          <w:rFonts w:hint="eastAsia" w:hAnsi="宋体" w:cs="宋体"/>
          <w:color w:val="auto"/>
          <w:sz w:val="21"/>
          <w:highlight w:val="none"/>
        </w:rPr>
        <w:t>提交履约担保的</w:t>
      </w:r>
      <w:r>
        <w:rPr>
          <w:rFonts w:hint="eastAsia" w:hAnsi="宋体" w:cs="宋体"/>
          <w:color w:val="auto"/>
          <w:spacing w:val="4"/>
          <w:sz w:val="21"/>
          <w:highlight w:val="none"/>
        </w:rPr>
        <w:t>，视为放弃</w:t>
      </w:r>
      <w:r>
        <w:rPr>
          <w:rFonts w:hint="eastAsia" w:hAnsi="宋体" w:cs="宋体"/>
          <w:color w:val="auto"/>
          <w:sz w:val="21"/>
          <w:highlight w:val="none"/>
        </w:rPr>
        <w:t>成交资格</w:t>
      </w:r>
      <w:r>
        <w:rPr>
          <w:rFonts w:hint="eastAsia" w:hAnsi="宋体" w:cs="宋体"/>
          <w:color w:val="auto"/>
          <w:spacing w:val="4"/>
          <w:sz w:val="21"/>
          <w:highlight w:val="none"/>
        </w:rPr>
        <w:t>，</w:t>
      </w:r>
      <w:r>
        <w:rPr>
          <w:rFonts w:hint="eastAsia" w:hAnsi="宋体" w:cs="宋体"/>
          <w:color w:val="auto"/>
          <w:spacing w:val="2"/>
          <w:sz w:val="21"/>
          <w:highlight w:val="none"/>
        </w:rPr>
        <w:t>其保证金不予退还。</w:t>
      </w:r>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.签订合同</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38.1</w:t>
      </w:r>
      <w:r>
        <w:rPr>
          <w:rFonts w:hint="eastAsia" w:hAnsi="宋体" w:cs="宋体"/>
          <w:color w:val="auto"/>
          <w:sz w:val="21"/>
          <w:highlight w:val="none"/>
        </w:rPr>
        <w:t xml:space="preserve"> 磋商文件、成交供应商的响应文件及其补充的响应文件等均为签订政府采购合同的依据。</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38.2</w:t>
      </w:r>
      <w:r>
        <w:rPr>
          <w:rFonts w:hint="eastAsia" w:hAnsi="宋体" w:cs="宋体"/>
          <w:color w:val="auto"/>
          <w:sz w:val="21"/>
          <w:highlight w:val="none"/>
        </w:rPr>
        <w:t xml:space="preserve"> 成交供应商应当在成交通知书发出之日起30日内与采购人签订政府采购合同。</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38.3</w:t>
      </w:r>
      <w:r>
        <w:rPr>
          <w:rFonts w:hint="eastAsia" w:hAnsi="宋体" w:cs="宋体"/>
          <w:color w:val="auto"/>
          <w:sz w:val="21"/>
          <w:highlight w:val="none"/>
        </w:rPr>
        <w:t xml:space="preserve"> 成交供应商应当按照合同约定履行义务。成交供应商不得向他人转让成交项目，也不得将成交项目分包后分别向他人转让。</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lang w:eastAsia="zh-CN"/>
        </w:rPr>
        <w:t>38.4</w:t>
      </w:r>
      <w:r>
        <w:rPr>
          <w:rFonts w:hint="eastAsia" w:hAnsi="宋体" w:cs="宋体"/>
          <w:color w:val="auto"/>
          <w:sz w:val="21"/>
          <w:highlight w:val="none"/>
        </w:rPr>
        <w:t xml:space="preserve"> 成交供应商有下列情形之一的，责令限期改正，情节严重的，列入不良行为记录名单，在1至3年内禁止参加政府采购活动，并予以通报：</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rPr>
        <w:t>（一）成交后无正当理由不与采购人签订合同的；</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rPr>
        <w:t>（二）未按照</w:t>
      </w:r>
      <w:r>
        <w:rPr>
          <w:rFonts w:hint="eastAsia" w:hAnsi="宋体" w:cs="宋体"/>
          <w:color w:val="auto"/>
          <w:sz w:val="21"/>
          <w:highlight w:val="none"/>
          <w:lang w:eastAsia="zh-CN"/>
        </w:rPr>
        <w:t>采购</w:t>
      </w:r>
      <w:r>
        <w:rPr>
          <w:rFonts w:hint="eastAsia" w:hAnsi="宋体" w:cs="宋体"/>
          <w:color w:val="auto"/>
          <w:sz w:val="21"/>
          <w:highlight w:val="none"/>
        </w:rPr>
        <w:t>文件确定的事项签订政府采购合同，或者与采购人另行订立背离合同实质性内容的协议的；</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rPr>
        <w:t>（三）拒绝履行合同义务的；</w:t>
      </w:r>
    </w:p>
    <w:p>
      <w:pPr>
        <w:pStyle w:val="12"/>
        <w:keepNext w:val="0"/>
        <w:keepLines w:val="0"/>
        <w:pageBreakBefore w:val="0"/>
        <w:shd w:val="clear" w:color="auto" w:fill="auto"/>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cs="宋体"/>
          <w:color w:val="auto"/>
          <w:sz w:val="21"/>
          <w:highlight w:val="none"/>
        </w:rPr>
      </w:pPr>
      <w:r>
        <w:rPr>
          <w:rFonts w:hint="eastAsia" w:hAnsi="宋体" w:cs="宋体"/>
          <w:color w:val="auto"/>
          <w:sz w:val="21"/>
          <w:highlight w:val="none"/>
        </w:rPr>
        <w:t>（四）违反法律、规章、规范性文件规定的。</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jc w:val="left"/>
        <w:textAlignment w:val="auto"/>
        <w:outlineLvl w:val="2"/>
        <w:rPr>
          <w:rFonts w:hint="eastAsia" w:hAnsi="宋体" w:eastAsia="宋体" w:cs="宋体"/>
          <w:b/>
          <w:color w:val="auto"/>
          <w:sz w:val="21"/>
          <w:highlight w:val="none"/>
          <w:lang w:eastAsia="zh-CN"/>
        </w:rPr>
      </w:pPr>
      <w:bookmarkStart w:id="26" w:name="_Toc21709"/>
      <w:bookmarkStart w:id="27" w:name="_Toc26254"/>
      <w:r>
        <w:rPr>
          <w:rFonts w:hint="eastAsia" w:hAnsi="宋体" w:cs="宋体"/>
          <w:b/>
          <w:color w:val="auto"/>
          <w:sz w:val="21"/>
          <w:highlight w:val="none"/>
        </w:rPr>
        <w:t>七、</w:t>
      </w:r>
      <w:r>
        <w:rPr>
          <w:rFonts w:hint="eastAsia" w:hAnsi="宋体" w:cs="宋体"/>
          <w:b/>
          <w:color w:val="auto"/>
          <w:sz w:val="21"/>
          <w:highlight w:val="none"/>
          <w:lang w:eastAsia="zh-CN"/>
        </w:rPr>
        <w:t>政府采购政策</w:t>
      </w:r>
      <w:bookmarkEnd w:id="26"/>
      <w:bookmarkEnd w:id="27"/>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jc w:val="left"/>
        <w:textAlignment w:val="auto"/>
        <w:outlineLvl w:val="9"/>
        <w:rPr>
          <w:rFonts w:hint="default" w:hAnsi="宋体" w:eastAsia="宋体" w:cs="宋体"/>
          <w:b/>
          <w:color w:val="auto"/>
          <w:sz w:val="21"/>
          <w:highlight w:val="none"/>
          <w:lang w:val="en-US" w:eastAsia="zh-CN"/>
        </w:rPr>
      </w:pPr>
      <w:r>
        <w:rPr>
          <w:rFonts w:hint="eastAsia" w:ascii="宋体" w:hAnsi="宋体" w:eastAsia="宋体" w:cs="宋体"/>
          <w:b/>
          <w:color w:val="auto"/>
          <w:kern w:val="2"/>
          <w:sz w:val="21"/>
          <w:szCs w:val="21"/>
          <w:highlight w:val="none"/>
          <w:lang w:val="en-US" w:eastAsia="zh-CN" w:bidi="ar-SA"/>
        </w:rPr>
        <w:t>39.政府采购政策</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39.1</w:t>
      </w:r>
      <w:r>
        <w:rPr>
          <w:rFonts w:hint="eastAsia" w:ascii="宋体" w:hAnsi="宋体" w:eastAsia="宋体" w:cs="宋体"/>
          <w:color w:val="auto"/>
          <w:kern w:val="0"/>
          <w:highlight w:val="none"/>
        </w:rPr>
        <w:t>优</w:t>
      </w:r>
      <w:r>
        <w:rPr>
          <w:rFonts w:hint="eastAsia" w:ascii="宋体" w:hAnsi="宋体" w:eastAsia="宋体" w:cs="宋体"/>
          <w:color w:val="auto"/>
          <w:kern w:val="0"/>
          <w:sz w:val="21"/>
          <w:szCs w:val="21"/>
          <w:highlight w:val="none"/>
          <w:lang w:val="en-US" w:eastAsia="zh-CN" w:bidi="ar-SA"/>
        </w:rPr>
        <w:t>先</w:t>
      </w:r>
      <w:r>
        <w:rPr>
          <w:rFonts w:hint="eastAsia" w:ascii="宋体" w:hAnsi="宋体" w:eastAsia="宋体" w:cs="宋体"/>
          <w:color w:val="auto"/>
          <w:szCs w:val="21"/>
          <w:highlight w:val="none"/>
          <w:lang w:val="en-US" w:eastAsia="zh-CN"/>
        </w:rPr>
        <w:t>采购</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（1）纳入财政部会同国务院有关部门发布的节能产品、环境标志产品政府采购品目清单，实施政府优先采购的，评审时按</w:t>
      </w:r>
      <w:r>
        <w:rPr>
          <w:rFonts w:hint="eastAsia" w:ascii="宋体" w:hAnsi="宋体" w:cs="宋体"/>
          <w:b/>
          <w:color w:val="auto"/>
          <w:szCs w:val="21"/>
          <w:highlight w:val="none"/>
        </w:rPr>
        <w:t>磋商须知前附表</w:t>
      </w:r>
      <w:r>
        <w:rPr>
          <w:rFonts w:hint="eastAsia" w:ascii="宋体" w:hAnsi="宋体" w:eastAsia="宋体" w:cs="宋体"/>
          <w:color w:val="auto"/>
          <w:szCs w:val="21"/>
          <w:highlight w:val="none"/>
          <w:lang w:val="en-US" w:eastAsia="zh-CN"/>
        </w:rPr>
        <w:t xml:space="preserve">有关规定给予一定比例的价格折扣或者加分； </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（2）纳入湖南省财政厅等有关部门发布的湖南省两型产品政府采购目录的，实施政府优先采购，评审时按</w:t>
      </w:r>
      <w:r>
        <w:rPr>
          <w:rFonts w:hint="eastAsia" w:ascii="宋体" w:hAnsi="宋体" w:cs="宋体"/>
          <w:b/>
          <w:color w:val="auto"/>
          <w:szCs w:val="21"/>
          <w:highlight w:val="none"/>
        </w:rPr>
        <w:t>磋商须知前附表</w:t>
      </w:r>
      <w:r>
        <w:rPr>
          <w:rFonts w:hint="eastAsia" w:ascii="宋体" w:hAnsi="宋体" w:eastAsia="宋体" w:cs="宋体"/>
          <w:color w:val="auto"/>
          <w:szCs w:val="21"/>
          <w:highlight w:val="none"/>
          <w:lang w:val="en-US" w:eastAsia="zh-CN"/>
        </w:rPr>
        <w:t>有关规定给予一定比例的价格折扣或者加分。</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39.2强制</w:t>
      </w:r>
      <w:r>
        <w:rPr>
          <w:rFonts w:hint="eastAsia" w:ascii="宋体" w:hAnsi="宋体" w:eastAsia="宋体" w:cs="宋体"/>
          <w:color w:val="auto"/>
          <w:szCs w:val="21"/>
          <w:highlight w:val="none"/>
          <w:lang w:val="en-US" w:eastAsia="zh-CN"/>
        </w:rPr>
        <w:t>采购</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hAnsi="宋体" w:eastAsia="宋体" w:cs="宋体"/>
          <w:b/>
          <w:color w:val="auto"/>
          <w:sz w:val="21"/>
          <w:highlight w:val="none"/>
          <w:lang w:val="en-US" w:eastAsia="zh-CN"/>
        </w:rPr>
      </w:pPr>
      <w:r>
        <w:rPr>
          <w:rFonts w:hint="eastAsia" w:ascii="宋体" w:hAnsi="宋体" w:eastAsia="宋体" w:cs="宋体"/>
          <w:color w:val="auto"/>
          <w:szCs w:val="21"/>
          <w:highlight w:val="none"/>
          <w:lang w:val="en-US" w:eastAsia="zh-CN"/>
        </w:rPr>
        <w:t>（1）纳入财政部会同国务院有关部门发布的节能产品政府采购品目清单，实施政府强制采购的（品目清单标注</w:t>
      </w:r>
      <w:r>
        <w:rPr>
          <w:rFonts w:hint="eastAsia" w:ascii="宋体" w:hAnsi="宋体" w:eastAsia="宋体" w:cs="宋体"/>
          <w:color w:val="auto"/>
          <w:szCs w:val="21"/>
          <w:highlight w:val="none"/>
          <w:lang w:val="en-US" w:eastAsia="zh-CN"/>
        </w:rPr>
        <w:sym w:font="Wingdings" w:char="F0AB"/>
      </w:r>
      <w:r>
        <w:rPr>
          <w:rFonts w:hint="eastAsia" w:ascii="宋体" w:hAnsi="宋体" w:eastAsia="宋体" w:cs="宋体"/>
          <w:color w:val="auto"/>
          <w:szCs w:val="21"/>
          <w:highlight w:val="none"/>
          <w:lang w:val="en-US" w:eastAsia="zh-CN"/>
        </w:rPr>
        <w:t>符号产品），投标人投标产品应当取得国家确定的认证机构出具的、处于有效期之内的节能产品认证证书，否</w:t>
      </w:r>
      <w:r>
        <w:rPr>
          <w:rFonts w:hint="eastAsia" w:ascii="宋体" w:hAnsi="宋体" w:eastAsia="宋体" w:cs="宋体"/>
          <w:color w:val="auto"/>
          <w:kern w:val="0"/>
          <w:highlight w:val="none"/>
        </w:rPr>
        <w:t>则其</w:t>
      </w:r>
      <w:r>
        <w:rPr>
          <w:rFonts w:hint="eastAsia" w:ascii="宋体" w:hAnsi="宋体" w:eastAsia="宋体" w:cs="宋体"/>
          <w:b/>
          <w:color w:val="auto"/>
          <w:kern w:val="0"/>
          <w:szCs w:val="21"/>
          <w:highlight w:val="none"/>
        </w:rPr>
        <w:t>投标无效</w:t>
      </w:r>
      <w:r>
        <w:rPr>
          <w:rFonts w:hint="eastAsia" w:ascii="宋体" w:hAnsi="宋体" w:eastAsia="宋体" w:cs="宋体"/>
          <w:b/>
          <w:color w:val="auto"/>
          <w:kern w:val="0"/>
          <w:szCs w:val="21"/>
          <w:highlight w:val="none"/>
          <w:lang w:eastAsia="zh-CN"/>
        </w:rPr>
        <w:t>。</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firstLine="420" w:firstLineChars="20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39.3价格评审优惠</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w:t>
      </w:r>
      <w:r>
        <w:rPr>
          <w:rFonts w:ascii="宋体" w:hAnsi="宋体" w:eastAsia="宋体" w:cs="宋体"/>
          <w:color w:val="auto"/>
          <w:sz w:val="21"/>
          <w:szCs w:val="21"/>
          <w:highlight w:val="none"/>
        </w:rPr>
        <w:t>供应商提供的货物、工程或者服务符合下列情形的，享受</w:t>
      </w:r>
      <w:r>
        <w:rPr>
          <w:rFonts w:hint="eastAsia" w:ascii="宋体" w:hAnsi="宋体" w:eastAsia="宋体" w:cs="宋体"/>
          <w:color w:val="auto"/>
          <w:sz w:val="21"/>
          <w:szCs w:val="21"/>
          <w:highlight w:val="none"/>
          <w:lang w:eastAsia="zh-CN"/>
        </w:rPr>
        <w:t>《政府采购促进中小企业发展管理办法》</w:t>
      </w:r>
      <w:r>
        <w:rPr>
          <w:rFonts w:ascii="宋体" w:hAnsi="宋体" w:eastAsia="宋体" w:cs="宋体"/>
          <w:color w:val="auto"/>
          <w:sz w:val="21"/>
          <w:szCs w:val="21"/>
          <w:highlight w:val="none"/>
        </w:rPr>
        <w:t>规定的中小企业扶持政策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价格</w:t>
      </w:r>
      <w:r>
        <w:rPr>
          <w:rFonts w:hint="eastAsia" w:ascii="宋体" w:hAnsi="宋体" w:cs="宋体"/>
          <w:color w:val="auto"/>
          <w:sz w:val="21"/>
          <w:szCs w:val="21"/>
          <w:highlight w:val="none"/>
          <w:lang w:val="en-US" w:eastAsia="zh-CN"/>
        </w:rPr>
        <w:t>评审时按</w:t>
      </w:r>
      <w:r>
        <w:rPr>
          <w:rFonts w:hint="eastAsia" w:ascii="宋体" w:hAnsi="宋体" w:cs="宋体"/>
          <w:b/>
          <w:color w:val="auto"/>
          <w:sz w:val="21"/>
          <w:szCs w:val="21"/>
          <w:highlight w:val="none"/>
        </w:rPr>
        <w:t>磋商须知前附表</w:t>
      </w:r>
      <w:r>
        <w:rPr>
          <w:rFonts w:hint="eastAsia" w:ascii="宋体" w:hAnsi="宋体" w:cs="宋体"/>
          <w:b w:val="0"/>
          <w:bCs/>
          <w:color w:val="auto"/>
          <w:sz w:val="21"/>
          <w:szCs w:val="21"/>
          <w:highlight w:val="none"/>
          <w:lang w:eastAsia="zh-CN"/>
        </w:rPr>
        <w:t>有关规定给予一定比例的扣除，</w:t>
      </w:r>
      <w:r>
        <w:rPr>
          <w:rFonts w:hint="eastAsia" w:ascii="宋体" w:hAnsi="宋体" w:eastAsia="宋体"/>
          <w:color w:val="auto"/>
          <w:highlight w:val="none"/>
        </w:rPr>
        <w:t>用扣除后的价格参</w:t>
      </w:r>
      <w:r>
        <w:rPr>
          <w:rFonts w:hint="eastAsia" w:ascii="宋体" w:hAnsi="宋体" w:eastAsia="宋体"/>
          <w:color w:val="auto"/>
          <w:highlight w:val="none"/>
          <w:lang w:eastAsia="zh-CN"/>
        </w:rPr>
        <w:t>加</w:t>
      </w:r>
      <w:r>
        <w:rPr>
          <w:rFonts w:hint="eastAsia" w:ascii="宋体" w:hAnsi="宋体" w:eastAsia="宋体"/>
          <w:color w:val="auto"/>
          <w:highlight w:val="none"/>
        </w:rPr>
        <w:t>评审</w:t>
      </w:r>
      <w:r>
        <w:rPr>
          <w:rFonts w:ascii="宋体" w:hAnsi="宋体" w:eastAsia="宋体" w:cs="宋体"/>
          <w:color w:val="auto"/>
          <w:sz w:val="21"/>
          <w:szCs w:val="21"/>
          <w:highlight w:val="none"/>
        </w:rPr>
        <w:t>:在货物采购项目中，货物由中小企业制造，即货物由中小企业生产且使用该中小企业商号或者注册商标</w:t>
      </w:r>
      <w:r>
        <w:rPr>
          <w:rFonts w:hint="eastAsia" w:ascii="宋体" w:hAnsi="宋体" w:eastAsia="宋体" w:cs="宋体"/>
          <w:color w:val="auto"/>
          <w:sz w:val="21"/>
          <w:szCs w:val="21"/>
          <w:highlight w:val="none"/>
          <w:lang w:val="en-US" w:eastAsia="zh-CN"/>
        </w:rPr>
        <w:t>；</w:t>
      </w:r>
      <w:r>
        <w:rPr>
          <w:rFonts w:ascii="宋体" w:hAnsi="宋体" w:eastAsia="宋体" w:cs="宋体"/>
          <w:color w:val="auto"/>
          <w:sz w:val="21"/>
          <w:szCs w:val="21"/>
          <w:highlight w:val="none"/>
        </w:rPr>
        <w:t>在工程采购项目中，工程由中小企业承建，即工程施工单位为中小企业</w:t>
      </w:r>
      <w:r>
        <w:rPr>
          <w:rFonts w:hint="eastAsia" w:ascii="宋体" w:hAnsi="宋体" w:eastAsia="宋体" w:cs="宋体"/>
          <w:color w:val="auto"/>
          <w:sz w:val="21"/>
          <w:szCs w:val="21"/>
          <w:highlight w:val="none"/>
          <w:lang w:eastAsia="zh-CN"/>
        </w:rPr>
        <w:t>；</w:t>
      </w:r>
      <w:r>
        <w:rPr>
          <w:rFonts w:ascii="宋体" w:hAnsi="宋体" w:eastAsia="宋体" w:cs="宋体"/>
          <w:color w:val="auto"/>
          <w:sz w:val="21"/>
          <w:szCs w:val="21"/>
          <w:highlight w:val="none"/>
        </w:rPr>
        <w:t>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中小企业扶持政策。 </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 w:val="21"/>
          <w:szCs w:val="21"/>
          <w:highlight w:val="none"/>
          <w:lang w:eastAsia="zh-CN"/>
        </w:rPr>
        <w:t>对于</w:t>
      </w:r>
      <w:r>
        <w:rPr>
          <w:rFonts w:hint="eastAsia" w:ascii="宋体" w:hAnsi="宋体" w:eastAsia="宋体" w:cs="宋体"/>
          <w:color w:val="auto"/>
          <w:szCs w:val="21"/>
          <w:highlight w:val="none"/>
          <w:lang w:val="en-US" w:eastAsia="zh-CN"/>
        </w:rPr>
        <w:t>联合协议</w:t>
      </w:r>
      <w:r>
        <w:rPr>
          <w:rFonts w:hint="eastAsia" w:ascii="宋体" w:hAnsi="宋体" w:cs="宋体"/>
          <w:color w:val="auto"/>
          <w:szCs w:val="21"/>
          <w:highlight w:val="none"/>
          <w:lang w:val="en-US" w:eastAsia="zh-CN"/>
        </w:rPr>
        <w:t>或者分包协议约定小微企业的合同份额占到合同总金额</w:t>
      </w:r>
      <w:r>
        <w:rPr>
          <w:rFonts w:hint="eastAsia" w:ascii="宋体" w:hAnsi="宋体" w:eastAsia="宋体" w:cs="宋体"/>
          <w:color w:val="auto"/>
          <w:szCs w:val="21"/>
          <w:highlight w:val="none"/>
          <w:lang w:val="en-US" w:eastAsia="zh-CN"/>
        </w:rPr>
        <w:t>30%以上的，价格评审</w:t>
      </w:r>
      <w:r>
        <w:rPr>
          <w:rFonts w:hint="eastAsia" w:ascii="宋体" w:hAnsi="宋体" w:cs="宋体"/>
          <w:color w:val="auto"/>
          <w:szCs w:val="21"/>
          <w:highlight w:val="none"/>
          <w:lang w:val="en-US" w:eastAsia="zh-CN"/>
        </w:rPr>
        <w:t>时</w:t>
      </w:r>
      <w:r>
        <w:rPr>
          <w:rFonts w:hint="eastAsia" w:ascii="宋体" w:hAnsi="宋体" w:eastAsia="宋体" w:cs="宋体"/>
          <w:color w:val="auto"/>
          <w:szCs w:val="21"/>
          <w:highlight w:val="none"/>
          <w:lang w:val="en-US" w:eastAsia="zh-CN"/>
        </w:rPr>
        <w:t>按</w:t>
      </w:r>
      <w:r>
        <w:rPr>
          <w:rFonts w:hint="eastAsia" w:ascii="宋体" w:hAnsi="宋体" w:cs="宋体"/>
          <w:b/>
          <w:bCs/>
          <w:color w:val="auto"/>
          <w:szCs w:val="21"/>
          <w:highlight w:val="none"/>
          <w:lang w:val="en-US" w:eastAsia="zh-CN"/>
        </w:rPr>
        <w:t>磋商须知前附表</w:t>
      </w:r>
      <w:r>
        <w:rPr>
          <w:rFonts w:hint="eastAsia" w:ascii="宋体" w:hAnsi="宋体" w:eastAsia="宋体" w:cs="宋体"/>
          <w:color w:val="auto"/>
          <w:szCs w:val="21"/>
          <w:highlight w:val="none"/>
          <w:lang w:val="en-US" w:eastAsia="zh-CN"/>
        </w:rPr>
        <w:t>有关规定给予一定比例的扣</w:t>
      </w:r>
      <w:r>
        <w:rPr>
          <w:rFonts w:hint="eastAsia" w:ascii="宋体" w:hAnsi="宋体" w:cs="宋体"/>
          <w:color w:val="auto"/>
          <w:szCs w:val="21"/>
          <w:highlight w:val="none"/>
          <w:lang w:val="en-US" w:eastAsia="zh-CN"/>
        </w:rPr>
        <w:t>除</w:t>
      </w:r>
      <w:r>
        <w:rPr>
          <w:rFonts w:hint="eastAsia" w:ascii="宋体" w:hAnsi="宋体" w:eastAsia="宋体" w:cs="宋体"/>
          <w:color w:val="auto"/>
          <w:szCs w:val="21"/>
          <w:highlight w:val="none"/>
          <w:lang w:val="en-US" w:eastAsia="zh-CN"/>
        </w:rPr>
        <w:t>，用扣除后的价格参</w:t>
      </w:r>
      <w:r>
        <w:rPr>
          <w:rFonts w:hint="eastAsia" w:ascii="宋体" w:hAnsi="宋体" w:cs="宋体"/>
          <w:color w:val="auto"/>
          <w:szCs w:val="21"/>
          <w:highlight w:val="none"/>
          <w:lang w:val="en-US" w:eastAsia="zh-CN"/>
        </w:rPr>
        <w:t>加</w:t>
      </w:r>
      <w:r>
        <w:rPr>
          <w:rFonts w:hint="eastAsia" w:ascii="宋体" w:hAnsi="宋体" w:eastAsia="宋体" w:cs="宋体"/>
          <w:color w:val="auto"/>
          <w:szCs w:val="21"/>
          <w:highlight w:val="none"/>
          <w:lang w:val="en-US" w:eastAsia="zh-CN"/>
        </w:rPr>
        <w:t>评审。</w:t>
      </w:r>
      <w:r>
        <w:rPr>
          <w:rFonts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（3）监狱企业、残疾人福利性单位视同小型、微型企业，享受评审中价格扣除等促进中小企业发展的政府采购政策。</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39.4政府采购政策交叉与叠加</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（1）投标产品取得两个及以上优先采购产品认证的，评审时只有其中一项产品能享受优先采购优惠（</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en-US" w:eastAsia="zh-CN"/>
        </w:rPr>
        <w:t>自行选择，并在投标文件中并填报相关信息及数据）</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lang w:val="en-US" w:eastAsia="zh-CN"/>
        </w:rPr>
        <w:t>同时符合小型、微型企业及监狱企业、残疾人福利性单位要求的，评审时只有一种类型享受价格评审优惠政策；</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（3）小型和微型企业的价格评审优惠可以与同时属于“节能产品”、“环境标志产品”及“两型产品”中的一项优先采购优惠累加计算。</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39.</w:t>
      </w:r>
      <w:r>
        <w:rPr>
          <w:rFonts w:hint="eastAsia" w:ascii="宋体" w:hAnsi="宋体" w:cs="宋体"/>
          <w:color w:val="auto"/>
          <w:szCs w:val="21"/>
          <w:highlight w:val="none"/>
          <w:lang w:val="en-US" w:eastAsia="zh-CN"/>
        </w:rPr>
        <w:t>5供应商</w:t>
      </w:r>
      <w:r>
        <w:rPr>
          <w:rFonts w:hint="eastAsia" w:ascii="宋体" w:hAnsi="宋体" w:eastAsia="宋体" w:cs="宋体"/>
          <w:color w:val="auto"/>
          <w:szCs w:val="21"/>
          <w:highlight w:val="none"/>
          <w:lang w:val="en-US" w:eastAsia="zh-CN"/>
        </w:rPr>
        <w:t>符合本章第39.1款、第39.2款、第39.3款规定的，应提供相关证明资料。</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（1）节能产品、环境标志产品：提供国家确定的认证机构出具的、处于有效期之内的节能产品、环境标志产品认证证书（复印件）。</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（2）两型产品：提供《湖南省两型产品政府采购目录》（最新一期）文件首页和投标产品所在页（截图）。</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（3）中小企业参加政府采购活动，应当按《关于印发＜政府采购促进中小企业发展管理办法＞的通知》(财库〔2020〕46号)的规定出具《中小企业声明函》</w:t>
      </w:r>
      <w:r>
        <w:rPr>
          <w:rFonts w:hint="eastAsia" w:ascii="宋体" w:hAnsi="宋体" w:cs="宋体"/>
          <w:color w:val="auto"/>
          <w:szCs w:val="21"/>
          <w:highlight w:val="none"/>
          <w:lang w:val="en-US" w:eastAsia="zh-CN"/>
        </w:rPr>
        <w:t>，否则不得享受相关中小企业扶持政策</w:t>
      </w:r>
      <w:r>
        <w:rPr>
          <w:rFonts w:hint="eastAsia" w:ascii="宋体" w:hAnsi="宋体" w:eastAsia="宋体" w:cs="宋体"/>
          <w:color w:val="auto"/>
          <w:szCs w:val="21"/>
          <w:highlight w:val="none"/>
          <w:lang w:val="en-US" w:eastAsia="zh-CN"/>
        </w:rPr>
        <w:t>。</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（4）监狱企业：按《关于政府采购支持监狱企业发展有关问题的通知》(财库〔2014〕68号)文件规定提供证明文件（复印件）。</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（5）残疾人福利性单位：按《关于促进残疾人就业政府采购政策的通知》(财库〔2017〕141号)文件规定提供《残疾人福利性单位声明函》（格式）。</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6供应商</w:t>
      </w:r>
      <w:r>
        <w:rPr>
          <w:rFonts w:hint="eastAsia" w:ascii="宋体" w:hAnsi="宋体" w:eastAsia="宋体" w:cs="宋体"/>
          <w:color w:val="auto"/>
          <w:szCs w:val="21"/>
          <w:highlight w:val="none"/>
          <w:lang w:val="en-US" w:eastAsia="zh-CN"/>
        </w:rPr>
        <w:t>有融资、担保需求的，可登陆中国湖南政府采购网查询相关银行、担保机构业务。。</w:t>
      </w:r>
    </w:p>
    <w:p>
      <w:pPr>
        <w:pStyle w:val="12"/>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right="0" w:rightChars="0"/>
        <w:jc w:val="left"/>
        <w:textAlignment w:val="auto"/>
        <w:outlineLvl w:val="2"/>
        <w:rPr>
          <w:rFonts w:hint="eastAsia" w:hAnsi="宋体" w:cs="宋体"/>
          <w:b/>
          <w:color w:val="auto"/>
          <w:sz w:val="21"/>
          <w:highlight w:val="none"/>
        </w:rPr>
      </w:pPr>
      <w:bookmarkStart w:id="28" w:name="_Toc16190"/>
      <w:bookmarkStart w:id="29" w:name="_Toc15755"/>
      <w:r>
        <w:rPr>
          <w:rFonts w:hint="eastAsia" w:hAnsi="宋体" w:cs="宋体"/>
          <w:b/>
          <w:color w:val="auto"/>
          <w:sz w:val="21"/>
          <w:highlight w:val="none"/>
          <w:lang w:eastAsia="zh-CN"/>
        </w:rPr>
        <w:t>八、</w:t>
      </w:r>
      <w:r>
        <w:rPr>
          <w:rFonts w:hint="eastAsia" w:hAnsi="宋体" w:cs="宋体"/>
          <w:b/>
          <w:color w:val="auto"/>
          <w:sz w:val="21"/>
          <w:highlight w:val="none"/>
        </w:rPr>
        <w:t>其他规定</w:t>
      </w:r>
      <w:bookmarkEnd w:id="28"/>
      <w:bookmarkEnd w:id="29"/>
    </w:p>
    <w:p>
      <w:pPr>
        <w:keepNext w:val="0"/>
        <w:keepLines w:val="0"/>
        <w:pageBreakBefore w:val="0"/>
        <w:shd w:val="clear" w:color="auto" w:fill="auto"/>
        <w:kinsoku/>
        <w:wordWrap/>
        <w:overflowPunct/>
        <w:topLinePunct w:val="0"/>
        <w:autoSpaceDE/>
        <w:bidi w:val="0"/>
        <w:adjustRightInd w:val="0"/>
        <w:snapToGrid w:val="0"/>
        <w:spacing w:line="360" w:lineRule="auto"/>
        <w:ind w:left="0" w:right="0" w:rightChars="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lang w:eastAsia="zh-CN"/>
        </w:rPr>
        <w:t>80</w:t>
      </w:r>
      <w:r>
        <w:rPr>
          <w:rFonts w:hint="eastAsia" w:ascii="宋体" w:hAnsi="宋体" w:cs="宋体"/>
          <w:b/>
          <w:color w:val="auto"/>
          <w:szCs w:val="21"/>
          <w:highlight w:val="none"/>
        </w:rPr>
        <w:t>.采购代理服务费</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80</w:t>
      </w:r>
      <w:r>
        <w:rPr>
          <w:rFonts w:hint="eastAsia" w:ascii="宋体" w:hAnsi="宋体" w:cs="宋体"/>
          <w:color w:val="auto"/>
          <w:szCs w:val="21"/>
          <w:highlight w:val="none"/>
        </w:rPr>
        <w:t>.1采购代理机构应按</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规定收取采购代理服务费。</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80</w:t>
      </w:r>
      <w:r>
        <w:rPr>
          <w:rFonts w:hint="eastAsia" w:ascii="宋体" w:hAnsi="宋体" w:cs="宋体"/>
          <w:color w:val="auto"/>
          <w:szCs w:val="21"/>
          <w:highlight w:val="none"/>
        </w:rPr>
        <w:t>.2集中采购机构不得收取采购代理服务费。</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textAlignment w:val="auto"/>
        <w:rPr>
          <w:rFonts w:hint="eastAsia" w:ascii="宋体" w:hAnsi="宋体" w:cs="宋体"/>
          <w:b/>
          <w:color w:val="auto"/>
          <w:szCs w:val="21"/>
          <w:highlight w:val="none"/>
        </w:rPr>
      </w:pPr>
      <w:r>
        <w:rPr>
          <w:rFonts w:hint="eastAsia" w:ascii="宋体" w:hAnsi="宋体" w:cs="宋体"/>
          <w:b/>
          <w:color w:val="auto"/>
          <w:szCs w:val="21"/>
          <w:highlight w:val="none"/>
        </w:rPr>
        <w:t>41. 其他规定</w:t>
      </w:r>
    </w:p>
    <w:p>
      <w:pPr>
        <w:keepNext w:val="0"/>
        <w:keepLines w:val="0"/>
        <w:pageBreakBefore w:val="0"/>
        <w:shd w:val="clear" w:color="auto" w:fill="auto"/>
        <w:tabs>
          <w:tab w:val="left" w:pos="420"/>
          <w:tab w:val="left" w:pos="7560"/>
          <w:tab w:val="left" w:pos="7740"/>
          <w:tab w:val="left" w:pos="7920"/>
        </w:tabs>
        <w:kinsoku/>
        <w:wordWrap/>
        <w:overflowPunct/>
        <w:topLinePunct w:val="0"/>
        <w:autoSpaceDE/>
        <w:bidi w:val="0"/>
        <w:adjustRightInd w:val="0"/>
        <w:snapToGrid w:val="0"/>
        <w:spacing w:line="360" w:lineRule="auto"/>
        <w:ind w:left="0" w:right="0" w:rightChars="0"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41.1磋商文件的其他规定见</w:t>
      </w:r>
      <w:r>
        <w:rPr>
          <w:rFonts w:hint="eastAsia" w:ascii="宋体" w:hAnsi="宋体" w:cs="宋体"/>
          <w:b/>
          <w:color w:val="auto"/>
          <w:szCs w:val="21"/>
          <w:highlight w:val="none"/>
        </w:rPr>
        <w:t>磋商须知前附表</w:t>
      </w:r>
      <w:r>
        <w:rPr>
          <w:rFonts w:hint="eastAsia" w:ascii="宋体" w:hAnsi="宋体" w:cs="宋体"/>
          <w:color w:val="auto"/>
          <w:szCs w:val="21"/>
          <w:highlight w:val="none"/>
        </w:rPr>
        <w:t>。</w:t>
      </w:r>
    </w:p>
    <w:p>
      <w:pPr>
        <w:rPr>
          <w:rFonts w:hint="eastAsia"/>
          <w:color w:val="auto"/>
        </w:rPr>
      </w:pPr>
      <w:r>
        <w:rPr>
          <w:rFonts w:hint="eastAsia"/>
          <w:color w:val="auto"/>
        </w:rPr>
        <w:br w:type="page"/>
      </w:r>
    </w:p>
    <w:p>
      <w:pPr>
        <w:adjustRightInd w:val="0"/>
        <w:snapToGrid w:val="0"/>
        <w:spacing w:before="120" w:beforeLines="50" w:line="360" w:lineRule="auto"/>
        <w:jc w:val="center"/>
        <w:outlineLvl w:val="0"/>
        <w:rPr>
          <w:rFonts w:hint="eastAsia" w:asciiTheme="majorEastAsia" w:hAnsiTheme="majorEastAsia" w:eastAsiaTheme="majorEastAsia" w:cstheme="majorEastAsia"/>
          <w:b/>
          <w:bCs/>
          <w:color w:val="auto"/>
          <w:sz w:val="32"/>
          <w:szCs w:val="32"/>
          <w:lang w:val="en-US" w:eastAsia="zh-CN"/>
        </w:rPr>
      </w:pPr>
      <w:bookmarkStart w:id="30" w:name="_Toc15259"/>
      <w:r>
        <w:rPr>
          <w:rFonts w:hint="eastAsia" w:asciiTheme="majorEastAsia" w:hAnsiTheme="majorEastAsia" w:eastAsiaTheme="majorEastAsia" w:cstheme="majorEastAsia"/>
          <w:b/>
          <w:bCs/>
          <w:color w:val="auto"/>
          <w:sz w:val="32"/>
          <w:szCs w:val="32"/>
          <w:lang w:val="en-US" w:eastAsia="zh-CN"/>
        </w:rPr>
        <w:t>第三章 资格审查</w:t>
      </w:r>
      <w:bookmarkEnd w:id="30"/>
    </w:p>
    <w:p>
      <w:pPr>
        <w:pStyle w:val="12"/>
        <w:adjustRightInd w:val="0"/>
        <w:snapToGrid w:val="0"/>
        <w:spacing w:line="360" w:lineRule="auto"/>
        <w:ind w:firstLine="422" w:firstLineChars="200"/>
        <w:outlineLvl w:val="1"/>
        <w:rPr>
          <w:rFonts w:hint="eastAsia" w:asciiTheme="majorEastAsia" w:hAnsiTheme="majorEastAsia" w:eastAsiaTheme="majorEastAsia" w:cstheme="majorEastAsia"/>
          <w:b/>
          <w:bCs/>
          <w:color w:val="auto"/>
          <w:sz w:val="21"/>
          <w:lang w:eastAsia="zh-CN"/>
        </w:rPr>
      </w:pPr>
      <w:bookmarkStart w:id="31" w:name="_Toc13057"/>
      <w:r>
        <w:rPr>
          <w:rFonts w:hint="eastAsia" w:asciiTheme="majorEastAsia" w:hAnsiTheme="majorEastAsia" w:eastAsiaTheme="majorEastAsia" w:cstheme="majorEastAsia"/>
          <w:b/>
          <w:bCs/>
          <w:color w:val="auto"/>
          <w:sz w:val="21"/>
          <w:lang w:val="en-US" w:eastAsia="zh-CN"/>
        </w:rPr>
        <w:t>1.</w:t>
      </w:r>
      <w:r>
        <w:rPr>
          <w:rFonts w:hint="eastAsia" w:asciiTheme="majorEastAsia" w:hAnsiTheme="majorEastAsia" w:eastAsiaTheme="majorEastAsia" w:cstheme="majorEastAsia"/>
          <w:b/>
          <w:bCs/>
          <w:color w:val="auto"/>
          <w:sz w:val="21"/>
          <w:lang w:eastAsia="zh-CN"/>
        </w:rPr>
        <w:t>资格审查主体</w:t>
      </w:r>
      <w:bookmarkEnd w:id="31"/>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1.1</w:t>
      </w:r>
      <w:r>
        <w:rPr>
          <w:rFonts w:hint="eastAsia" w:asciiTheme="majorEastAsia" w:hAnsiTheme="majorEastAsia" w:eastAsiaTheme="majorEastAsia" w:cstheme="majorEastAsia"/>
          <w:color w:val="auto"/>
          <w:sz w:val="21"/>
        </w:rPr>
        <w:t>资格审查主体：采购人、采购代理机构负责资格审查。</w:t>
      </w:r>
    </w:p>
    <w:p>
      <w:pPr>
        <w:pStyle w:val="12"/>
        <w:adjustRightInd w:val="0"/>
        <w:snapToGrid w:val="0"/>
        <w:spacing w:line="360" w:lineRule="auto"/>
        <w:ind w:firstLine="422" w:firstLineChars="200"/>
        <w:outlineLvl w:val="1"/>
        <w:rPr>
          <w:rFonts w:hint="eastAsia" w:asciiTheme="majorEastAsia" w:hAnsiTheme="majorEastAsia" w:eastAsiaTheme="majorEastAsia" w:cstheme="majorEastAsia"/>
          <w:b/>
          <w:bCs/>
          <w:color w:val="auto"/>
          <w:sz w:val="21"/>
        </w:rPr>
      </w:pPr>
      <w:bookmarkStart w:id="32" w:name="_bookmark23"/>
      <w:bookmarkEnd w:id="32"/>
      <w:bookmarkStart w:id="33" w:name="_bookmark23"/>
      <w:bookmarkEnd w:id="33"/>
      <w:bookmarkStart w:id="34" w:name="2．资格审查"/>
      <w:bookmarkEnd w:id="34"/>
      <w:bookmarkStart w:id="35" w:name="_Toc16601"/>
      <w:r>
        <w:rPr>
          <w:rFonts w:hint="eastAsia" w:asciiTheme="majorEastAsia" w:hAnsiTheme="majorEastAsia" w:eastAsiaTheme="majorEastAsia" w:cstheme="majorEastAsia"/>
          <w:b/>
          <w:bCs/>
          <w:color w:val="auto"/>
          <w:sz w:val="21"/>
          <w:lang w:val="en-US" w:eastAsia="zh-CN"/>
        </w:rPr>
        <w:t>2.</w:t>
      </w:r>
      <w:r>
        <w:rPr>
          <w:rFonts w:hint="eastAsia" w:asciiTheme="majorEastAsia" w:hAnsiTheme="majorEastAsia" w:eastAsiaTheme="majorEastAsia" w:cstheme="majorEastAsia"/>
          <w:b/>
          <w:bCs/>
          <w:color w:val="auto"/>
          <w:sz w:val="21"/>
        </w:rPr>
        <w:t>资格审查</w:t>
      </w:r>
      <w:bookmarkEnd w:id="35"/>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2.1</w:t>
      </w:r>
      <w:r>
        <w:rPr>
          <w:rFonts w:hint="eastAsia" w:asciiTheme="majorEastAsia" w:hAnsiTheme="majorEastAsia" w:eastAsiaTheme="majorEastAsia" w:cstheme="majorEastAsia"/>
          <w:color w:val="auto"/>
          <w:sz w:val="21"/>
        </w:rPr>
        <w:t>资格审查依据法律法规和磋商文件的规定，对响应文件中的资格证明文件、磋商保证金  等进行审查，以确定供应商是否具备磋商资格。</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2.2</w:t>
      </w:r>
      <w:r>
        <w:rPr>
          <w:rFonts w:hint="eastAsia" w:asciiTheme="majorEastAsia" w:hAnsiTheme="majorEastAsia" w:eastAsiaTheme="majorEastAsia" w:cstheme="majorEastAsia"/>
          <w:color w:val="auto"/>
          <w:sz w:val="21"/>
        </w:rPr>
        <w:t>采购人、采购代理机构按本章附表 1“供应商资格审查表”所列审查项目及审查标准， 对供应商资格进行审查。</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2.3</w:t>
      </w:r>
      <w:r>
        <w:rPr>
          <w:rFonts w:hint="eastAsia" w:asciiTheme="majorEastAsia" w:hAnsiTheme="majorEastAsia" w:eastAsiaTheme="majorEastAsia" w:cstheme="majorEastAsia"/>
          <w:color w:val="auto"/>
          <w:sz w:val="21"/>
        </w:rPr>
        <w:t>在资格审查时，供应商存在下列情况之一的，资格审查不合格，其响应无效：</w:t>
      </w:r>
    </w:p>
    <w:p>
      <w:pPr>
        <w:pStyle w:val="12"/>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不具备磋商文件中规定的资格要求的，或提交的资格证明文件不符合磋商文件要求的；</w:t>
      </w:r>
    </w:p>
    <w:p>
      <w:pPr>
        <w:pStyle w:val="12"/>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联合体磋商未提交联合体协议书，或未提交联合体各方资格证明文件的；</w:t>
      </w:r>
    </w:p>
    <w:p>
      <w:pPr>
        <w:pStyle w:val="12"/>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响应文件的资格证明文件未按照磋商文件要求签署、盖章的；</w:t>
      </w:r>
    </w:p>
    <w:p>
      <w:pPr>
        <w:pStyle w:val="12"/>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未按照磋商文件的规定提交响应保证金的；</w:t>
      </w:r>
    </w:p>
    <w:p>
      <w:pPr>
        <w:pStyle w:val="12"/>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5</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法律、法规和招标文件规定的其他投标无效情形的</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lang w:val="en-US" w:eastAsia="zh-CN"/>
        </w:rPr>
        <w:t>2.4</w:t>
      </w:r>
      <w:r>
        <w:rPr>
          <w:rFonts w:hint="eastAsia" w:asciiTheme="majorEastAsia" w:hAnsiTheme="majorEastAsia" w:eastAsiaTheme="majorEastAsia" w:cstheme="majorEastAsia"/>
          <w:color w:val="auto"/>
          <w:sz w:val="21"/>
        </w:rPr>
        <w:t>信用记录。开标结束后资格审查时，采购人、采购代理机构将对供应商信用记录进行甄别。</w:t>
      </w:r>
    </w:p>
    <w:p>
      <w:pPr>
        <w:pStyle w:val="12"/>
        <w:adjustRightInd w:val="0"/>
        <w:snapToGrid w:val="0"/>
        <w:spacing w:line="360" w:lineRule="auto"/>
        <w:ind w:firstLine="400" w:firstLineChars="200"/>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rPr>
        <w:t>信用信息查询的查询渠道：信用中国网（</w:t>
      </w:r>
      <w:r>
        <w:rPr>
          <w:rFonts w:hint="eastAsia" w:asciiTheme="majorEastAsia" w:hAnsiTheme="majorEastAsia" w:eastAsiaTheme="majorEastAsia" w:cstheme="majorEastAsia"/>
          <w:color w:val="auto"/>
          <w:sz w:val="21"/>
        </w:rPr>
        <w:fldChar w:fldCharType="begin"/>
      </w:r>
      <w:r>
        <w:rPr>
          <w:rFonts w:hint="eastAsia" w:asciiTheme="majorEastAsia" w:hAnsiTheme="majorEastAsia" w:eastAsiaTheme="majorEastAsia" w:cstheme="majorEastAsia"/>
          <w:color w:val="auto"/>
          <w:sz w:val="21"/>
        </w:rPr>
        <w:instrText xml:space="preserve"> HYPERLINK "http://www.creditchina.gov.cn/" \h </w:instrText>
      </w:r>
      <w:r>
        <w:rPr>
          <w:rFonts w:hint="eastAsia" w:asciiTheme="majorEastAsia" w:hAnsiTheme="majorEastAsia" w:eastAsiaTheme="majorEastAsia" w:cstheme="majorEastAsia"/>
          <w:color w:val="auto"/>
          <w:sz w:val="21"/>
        </w:rPr>
        <w:fldChar w:fldCharType="separate"/>
      </w:r>
      <w:r>
        <w:rPr>
          <w:rFonts w:hint="eastAsia" w:asciiTheme="majorEastAsia" w:hAnsiTheme="majorEastAsia" w:eastAsiaTheme="majorEastAsia" w:cstheme="majorEastAsia"/>
          <w:color w:val="auto"/>
          <w:sz w:val="21"/>
        </w:rPr>
        <w:t>www.creditchina.gov.cn</w:t>
      </w:r>
      <w:r>
        <w:rPr>
          <w:rFonts w:hint="eastAsia" w:asciiTheme="majorEastAsia" w:hAnsiTheme="majorEastAsia" w:eastAsiaTheme="majorEastAsia" w:cstheme="majorEastAsia"/>
          <w:color w:val="auto"/>
          <w:sz w:val="21"/>
        </w:rPr>
        <w:fldChar w:fldCharType="end"/>
      </w:r>
      <w:r>
        <w:rPr>
          <w:rFonts w:hint="eastAsia" w:asciiTheme="majorEastAsia" w:hAnsiTheme="majorEastAsia" w:eastAsiaTheme="majorEastAsia" w:cstheme="majorEastAsia"/>
          <w:color w:val="auto"/>
          <w:sz w:val="21"/>
        </w:rPr>
        <w:t>）、中国政府采购网（</w:t>
      </w:r>
      <w:r>
        <w:rPr>
          <w:rFonts w:hint="eastAsia" w:asciiTheme="majorEastAsia" w:hAnsiTheme="majorEastAsia" w:eastAsiaTheme="majorEastAsia" w:cstheme="majorEastAsia"/>
          <w:color w:val="auto"/>
          <w:sz w:val="21"/>
        </w:rPr>
        <w:fldChar w:fldCharType="begin"/>
      </w:r>
      <w:r>
        <w:rPr>
          <w:rFonts w:hint="eastAsia" w:asciiTheme="majorEastAsia" w:hAnsiTheme="majorEastAsia" w:eastAsiaTheme="majorEastAsia" w:cstheme="majorEastAsia"/>
          <w:color w:val="auto"/>
          <w:sz w:val="21"/>
        </w:rPr>
        <w:instrText xml:space="preserve"> HYPERLINK "http://www.ccgp.gov.cn/" \h </w:instrText>
      </w:r>
      <w:r>
        <w:rPr>
          <w:rFonts w:hint="eastAsia" w:asciiTheme="majorEastAsia" w:hAnsiTheme="majorEastAsia" w:eastAsiaTheme="majorEastAsia" w:cstheme="majorEastAsia"/>
          <w:color w:val="auto"/>
          <w:sz w:val="21"/>
        </w:rPr>
        <w:fldChar w:fldCharType="separate"/>
      </w:r>
      <w:r>
        <w:rPr>
          <w:rFonts w:hint="eastAsia" w:asciiTheme="majorEastAsia" w:hAnsiTheme="majorEastAsia" w:eastAsiaTheme="majorEastAsia" w:cstheme="majorEastAsia"/>
          <w:color w:val="auto"/>
          <w:sz w:val="21"/>
        </w:rPr>
        <w:t>www.ccgp.gov.cn</w:t>
      </w:r>
      <w:r>
        <w:rPr>
          <w:rFonts w:hint="eastAsia" w:asciiTheme="majorEastAsia" w:hAnsiTheme="majorEastAsia" w:eastAsiaTheme="majorEastAsia" w:cstheme="majorEastAsia"/>
          <w:color w:val="auto"/>
          <w:sz w:val="21"/>
        </w:rPr>
        <w:fldChar w:fldCharType="end"/>
      </w:r>
      <w:r>
        <w:rPr>
          <w:rFonts w:hint="eastAsia" w:asciiTheme="majorEastAsia" w:hAnsiTheme="majorEastAsia" w:eastAsiaTheme="majorEastAsia" w:cstheme="majorEastAsia"/>
          <w:color w:val="auto"/>
          <w:sz w:val="21"/>
        </w:rPr>
        <w:t>）；</w:t>
      </w:r>
    </w:p>
    <w:p>
      <w:pPr>
        <w:pStyle w:val="12"/>
        <w:adjustRightInd w:val="0"/>
        <w:snapToGrid w:val="0"/>
        <w:spacing w:line="360" w:lineRule="auto"/>
        <w:ind w:firstLine="420" w:firstLineChars="20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（2）不良信用记录是指：投标人在“信用中国”网站被列入失信被执行人和重大税收违法案  件当事人名单，或在“中国政府采购网”网站被列入政府采购严重违法失信行为记录名单。供应商有上述不良信用记录的，其投标无效，其中，列入政府采购严重违法失信行为记录名单的，按处罚结果执行。</w:t>
      </w:r>
    </w:p>
    <w:p>
      <w:pPr>
        <w:pStyle w:val="12"/>
        <w:adjustRightInd w:val="0"/>
        <w:snapToGrid w:val="0"/>
        <w:spacing w:line="360" w:lineRule="auto"/>
        <w:ind w:left="420" w:leftChars="200" w:firstLine="0" w:firstLineChars="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3）联合体形式磋商的，联合体成员存在不良信用记录的，视同联合体存在不良信用记录。（4）信用信息查询记录和证据留存具体方式：采购人、采购代理机构经办人将查询网页截图、打印、签字，作为查询记录和证据，与其他采购文件一并保存。供应商不良信用记录以采购人、采购代理机构查询结果为准。</w:t>
      </w:r>
    </w:p>
    <w:p>
      <w:pPr>
        <w:pStyle w:val="12"/>
        <w:adjustRightInd w:val="0"/>
        <w:snapToGrid w:val="0"/>
        <w:spacing w:line="360" w:lineRule="auto"/>
        <w:ind w:firstLine="422" w:firstLineChars="200"/>
        <w:outlineLvl w:val="1"/>
        <w:rPr>
          <w:rFonts w:hint="eastAsia" w:asciiTheme="majorEastAsia" w:hAnsiTheme="majorEastAsia" w:eastAsiaTheme="majorEastAsia" w:cstheme="majorEastAsia"/>
          <w:b/>
          <w:bCs/>
          <w:color w:val="auto"/>
          <w:sz w:val="21"/>
          <w:lang w:val="en-US" w:eastAsia="zh-CN"/>
        </w:rPr>
      </w:pPr>
      <w:bookmarkStart w:id="36" w:name="3．资格审查结果"/>
      <w:bookmarkEnd w:id="36"/>
      <w:bookmarkStart w:id="37" w:name="_bookmark24"/>
      <w:bookmarkEnd w:id="37"/>
      <w:bookmarkStart w:id="38" w:name="_bookmark24"/>
      <w:bookmarkEnd w:id="38"/>
      <w:bookmarkStart w:id="39" w:name="_Toc13351"/>
      <w:r>
        <w:rPr>
          <w:rFonts w:hint="eastAsia" w:asciiTheme="majorEastAsia" w:hAnsiTheme="majorEastAsia" w:eastAsiaTheme="majorEastAsia" w:cstheme="majorEastAsia"/>
          <w:b/>
          <w:bCs/>
          <w:color w:val="auto"/>
          <w:sz w:val="21"/>
          <w:lang w:val="en-US" w:eastAsia="zh-CN"/>
        </w:rPr>
        <w:t>3.资格审查结果</w:t>
      </w:r>
      <w:bookmarkEnd w:id="39"/>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en-US" w:eastAsia="zh-CN"/>
        </w:rPr>
      </w:pPr>
      <w:bookmarkStart w:id="40" w:name="附表1  供应商资格审查表"/>
      <w:bookmarkEnd w:id="40"/>
      <w:bookmarkStart w:id="41" w:name="附表1  供应商资格审查表"/>
      <w:bookmarkEnd w:id="41"/>
      <w:r>
        <w:rPr>
          <w:rFonts w:hint="eastAsia" w:asciiTheme="majorEastAsia" w:hAnsiTheme="majorEastAsia" w:eastAsiaTheme="majorEastAsia" w:cstheme="majorEastAsia"/>
          <w:color w:val="auto"/>
          <w:sz w:val="21"/>
          <w:lang w:val="en-US" w:eastAsia="zh-CN"/>
        </w:rPr>
        <w:t>3.1未通过资格审查的供应商，采购人、采购代理机构应当告知其未通过的原因。</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3.2资格审查结束后，采购人、采购代理机构应将资格审查结果告知磋商小组。</w:t>
      </w:r>
    </w:p>
    <w:p>
      <w:pPr>
        <w:pStyle w:val="12"/>
        <w:adjustRightInd w:val="0"/>
        <w:snapToGrid w:val="0"/>
        <w:spacing w:line="360" w:lineRule="auto"/>
        <w:ind w:firstLine="422" w:firstLineChars="200"/>
        <w:outlineLvl w:val="1"/>
        <w:rPr>
          <w:rFonts w:hint="eastAsia" w:asciiTheme="majorEastAsia" w:hAnsiTheme="majorEastAsia" w:eastAsiaTheme="majorEastAsia" w:cstheme="majorEastAsia"/>
          <w:b/>
          <w:bCs/>
          <w:color w:val="auto"/>
          <w:sz w:val="21"/>
          <w:lang w:val="en-US" w:eastAsia="zh-CN"/>
        </w:rPr>
      </w:pPr>
      <w:bookmarkStart w:id="42" w:name="_bookmark25"/>
      <w:bookmarkEnd w:id="42"/>
      <w:bookmarkStart w:id="43" w:name="4．其他"/>
      <w:bookmarkEnd w:id="43"/>
      <w:bookmarkStart w:id="44" w:name="_bookmark25"/>
      <w:bookmarkEnd w:id="44"/>
      <w:bookmarkStart w:id="45" w:name="_Toc22770"/>
      <w:r>
        <w:rPr>
          <w:rFonts w:hint="eastAsia" w:asciiTheme="majorEastAsia" w:hAnsiTheme="majorEastAsia" w:eastAsiaTheme="majorEastAsia" w:cstheme="majorEastAsia"/>
          <w:b/>
          <w:bCs/>
          <w:color w:val="auto"/>
          <w:sz w:val="21"/>
          <w:lang w:val="en-US" w:eastAsia="zh-CN"/>
        </w:rPr>
        <w:t>4.其他</w:t>
      </w:r>
      <w:bookmarkEnd w:id="45"/>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4.1资格预审合格的供应商在提交响应文件的截止时间前资格发生变化的，应当通知采购人、采购代理机构，并按新情况更新或补充其在申请资格预审时提供的证明资料，以证实其各项资格条件仍能继续满足资格预审公告的要求。</w:t>
      </w:r>
    </w:p>
    <w:p>
      <w:pPr>
        <w:pStyle w:val="12"/>
        <w:adjustRightInd w:val="0"/>
        <w:snapToGrid w:val="0"/>
        <w:spacing w:line="360" w:lineRule="auto"/>
        <w:ind w:firstLine="602" w:firstLineChars="300"/>
        <w:rPr>
          <w:rFonts w:hint="default" w:asciiTheme="majorEastAsia" w:hAnsiTheme="majorEastAsia" w:eastAsiaTheme="majorEastAsia" w:cstheme="majorEastAsia"/>
          <w:b/>
          <w:bCs/>
          <w:color w:val="auto"/>
          <w:szCs w:val="21"/>
          <w:highlight w:val="none"/>
          <w:u w:val="none"/>
          <w:lang w:val="en-US" w:eastAsia="zh-CN"/>
        </w:rPr>
      </w:pPr>
      <w:r>
        <w:rPr>
          <w:rFonts w:hint="eastAsia" w:asciiTheme="majorEastAsia" w:hAnsiTheme="majorEastAsia" w:eastAsiaTheme="majorEastAsia" w:cstheme="majorEastAsia"/>
          <w:b/>
          <w:bCs/>
          <w:color w:val="auto"/>
          <w:szCs w:val="21"/>
          <w:highlight w:val="none"/>
          <w:u w:val="none"/>
          <w:lang w:eastAsia="zh-CN"/>
        </w:rPr>
        <w:t>附表：</w:t>
      </w:r>
      <w:r>
        <w:rPr>
          <w:rFonts w:hint="eastAsia" w:asciiTheme="majorEastAsia" w:hAnsiTheme="majorEastAsia" w:eastAsiaTheme="majorEastAsia" w:cstheme="majorEastAsia"/>
          <w:b/>
          <w:bCs/>
          <w:color w:val="auto"/>
          <w:szCs w:val="21"/>
          <w:highlight w:val="none"/>
          <w:u w:val="none"/>
          <w:lang w:val="en-US" w:eastAsia="zh-CN"/>
        </w:rPr>
        <w:t>1</w:t>
      </w:r>
    </w:p>
    <w:p>
      <w:pPr>
        <w:spacing w:before="0"/>
        <w:ind w:left="651" w:right="0" w:firstLine="0"/>
        <w:jc w:val="center"/>
        <w:rPr>
          <w:b/>
          <w:color w:val="auto"/>
          <w:sz w:val="28"/>
        </w:rPr>
      </w:pPr>
      <w:r>
        <w:rPr>
          <w:b/>
          <w:color w:val="auto"/>
          <w:sz w:val="28"/>
        </w:rPr>
        <w:t>供应商资格审查表</w:t>
      </w:r>
    </w:p>
    <w:p>
      <w:pPr>
        <w:pStyle w:val="12"/>
        <w:adjustRightInd w:val="0"/>
        <w:snapToGrid w:val="0"/>
        <w:spacing w:line="360" w:lineRule="auto"/>
        <w:rPr>
          <w:rFonts w:hint="eastAsia" w:asciiTheme="majorEastAsia" w:hAnsiTheme="majorEastAsia" w:eastAsiaTheme="majorEastAsia" w:cstheme="majorEastAsia"/>
          <w:b/>
          <w:bCs/>
          <w:color w:val="auto"/>
          <w:szCs w:val="21"/>
          <w:highlight w:val="none"/>
          <w:u w:val="none"/>
          <w:lang w:val="en-US" w:eastAsia="zh-CN"/>
        </w:rPr>
      </w:pPr>
    </w:p>
    <w:tbl>
      <w:tblPr>
        <w:tblStyle w:val="20"/>
        <w:tblW w:w="9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8"/>
        <w:gridCol w:w="1623"/>
        <w:gridCol w:w="3040"/>
        <w:gridCol w:w="1337"/>
        <w:gridCol w:w="1230"/>
        <w:gridCol w:w="12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578" w:type="dxa"/>
            <w:vMerge w:val="restart"/>
            <w:vAlign w:val="center"/>
          </w:tcPr>
          <w:p>
            <w:pPr>
              <w:pStyle w:val="47"/>
              <w:spacing w:before="12"/>
              <w:jc w:val="both"/>
              <w:rPr>
                <w:b/>
                <w:color w:val="auto"/>
                <w:sz w:val="21"/>
              </w:rPr>
            </w:pPr>
            <w:bookmarkStart w:id="46" w:name="_Toc3395_WPSOffice_Level2"/>
          </w:p>
          <w:p>
            <w:pPr>
              <w:pStyle w:val="47"/>
              <w:ind w:left="108"/>
              <w:jc w:val="both"/>
              <w:rPr>
                <w:color w:val="auto"/>
                <w:sz w:val="21"/>
              </w:rPr>
            </w:pPr>
            <w:r>
              <w:rPr>
                <w:color w:val="auto"/>
                <w:sz w:val="21"/>
              </w:rPr>
              <w:t>序号</w:t>
            </w:r>
          </w:p>
        </w:tc>
        <w:tc>
          <w:tcPr>
            <w:tcW w:w="4663" w:type="dxa"/>
            <w:gridSpan w:val="2"/>
            <w:vMerge w:val="restart"/>
            <w:vAlign w:val="center"/>
          </w:tcPr>
          <w:p>
            <w:pPr>
              <w:pStyle w:val="47"/>
              <w:spacing w:before="12"/>
              <w:jc w:val="both"/>
              <w:rPr>
                <w:b/>
                <w:color w:val="auto"/>
                <w:sz w:val="21"/>
              </w:rPr>
            </w:pPr>
          </w:p>
          <w:p>
            <w:pPr>
              <w:pStyle w:val="47"/>
              <w:ind w:left="2012" w:right="1761"/>
              <w:jc w:val="both"/>
              <w:rPr>
                <w:color w:val="auto"/>
                <w:sz w:val="21"/>
              </w:rPr>
            </w:pPr>
            <w:r>
              <w:rPr>
                <w:color w:val="auto"/>
                <w:sz w:val="21"/>
              </w:rPr>
              <w:t>检查内容</w:t>
            </w:r>
          </w:p>
        </w:tc>
        <w:tc>
          <w:tcPr>
            <w:tcW w:w="3782" w:type="dxa"/>
            <w:gridSpan w:val="3"/>
            <w:vAlign w:val="center"/>
          </w:tcPr>
          <w:p>
            <w:pPr>
              <w:pStyle w:val="47"/>
              <w:spacing w:before="82"/>
              <w:ind w:left="963"/>
              <w:jc w:val="both"/>
              <w:rPr>
                <w:color w:val="auto"/>
                <w:sz w:val="21"/>
              </w:rPr>
            </w:pPr>
            <w:r>
              <w:rPr>
                <w:color w:val="auto"/>
                <w:sz w:val="21"/>
              </w:rPr>
              <w:t>供应商名单及审查意见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578" w:type="dxa"/>
            <w:vMerge w:val="continue"/>
            <w:tcBorders>
              <w:top w:val="nil"/>
            </w:tcBorders>
            <w:vAlign w:val="center"/>
          </w:tcPr>
          <w:p>
            <w:pPr>
              <w:jc w:val="both"/>
              <w:rPr>
                <w:color w:val="auto"/>
                <w:sz w:val="2"/>
                <w:szCs w:val="2"/>
              </w:rPr>
            </w:pPr>
          </w:p>
        </w:tc>
        <w:tc>
          <w:tcPr>
            <w:tcW w:w="4663" w:type="dxa"/>
            <w:gridSpan w:val="2"/>
            <w:vMerge w:val="continue"/>
            <w:tcBorders>
              <w:top w:val="nil"/>
            </w:tcBorders>
            <w:vAlign w:val="center"/>
          </w:tcPr>
          <w:p>
            <w:pPr>
              <w:jc w:val="both"/>
              <w:rPr>
                <w:color w:val="auto"/>
                <w:sz w:val="2"/>
                <w:szCs w:val="2"/>
              </w:rPr>
            </w:pP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78" w:type="dxa"/>
            <w:vAlign w:val="center"/>
          </w:tcPr>
          <w:p>
            <w:pPr>
              <w:pStyle w:val="47"/>
              <w:spacing w:before="136"/>
              <w:ind w:left="235"/>
              <w:jc w:val="both"/>
              <w:rPr>
                <w:color w:val="auto"/>
                <w:sz w:val="21"/>
              </w:rPr>
            </w:pPr>
            <w:r>
              <w:rPr>
                <w:color w:val="auto"/>
                <w:w w:val="99"/>
                <w:sz w:val="21"/>
              </w:rPr>
              <w:t>1</w:t>
            </w:r>
          </w:p>
        </w:tc>
        <w:tc>
          <w:tcPr>
            <w:tcW w:w="4663" w:type="dxa"/>
            <w:gridSpan w:val="2"/>
            <w:vAlign w:val="center"/>
          </w:tcPr>
          <w:p>
            <w:pPr>
              <w:pStyle w:val="47"/>
              <w:spacing w:before="1"/>
              <w:ind w:left="108"/>
              <w:jc w:val="both"/>
              <w:rPr>
                <w:color w:val="auto"/>
                <w:sz w:val="21"/>
              </w:rPr>
            </w:pPr>
            <w:r>
              <w:rPr>
                <w:color w:val="auto"/>
                <w:sz w:val="21"/>
              </w:rPr>
              <w:t>资格证明文件装订、签署、盖章是否符合磋商文</w:t>
            </w:r>
          </w:p>
          <w:p>
            <w:pPr>
              <w:pStyle w:val="47"/>
              <w:spacing w:before="2" w:line="252" w:lineRule="exact"/>
              <w:ind w:left="108"/>
              <w:jc w:val="both"/>
              <w:rPr>
                <w:color w:val="auto"/>
                <w:sz w:val="21"/>
              </w:rPr>
            </w:pPr>
            <w:r>
              <w:rPr>
                <w:color w:val="auto"/>
                <w:sz w:val="21"/>
              </w:rPr>
              <w:t>件第二章“磋商须知”第</w:t>
            </w:r>
            <w:r>
              <w:rPr>
                <w:rFonts w:hint="eastAsia"/>
                <w:color w:val="auto"/>
                <w:sz w:val="21"/>
                <w:lang w:val="en-US" w:eastAsia="zh-CN"/>
              </w:rPr>
              <w:t>1</w:t>
            </w:r>
            <w:r>
              <w:rPr>
                <w:color w:val="auto"/>
                <w:sz w:val="21"/>
              </w:rPr>
              <w:t xml:space="preserve"> </w:t>
            </w:r>
            <w:r>
              <w:rPr>
                <w:rFonts w:hint="eastAsia"/>
                <w:color w:val="auto"/>
                <w:sz w:val="21"/>
                <w:lang w:val="en-US" w:eastAsia="zh-CN"/>
              </w:rPr>
              <w:t>9</w:t>
            </w:r>
            <w:r>
              <w:rPr>
                <w:color w:val="auto"/>
                <w:sz w:val="21"/>
              </w:rPr>
              <w:t>条要求</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578" w:type="dxa"/>
            <w:vAlign w:val="center"/>
          </w:tcPr>
          <w:p>
            <w:pPr>
              <w:pStyle w:val="47"/>
              <w:spacing w:before="56"/>
              <w:ind w:left="235"/>
              <w:jc w:val="both"/>
              <w:rPr>
                <w:color w:val="auto"/>
                <w:sz w:val="21"/>
              </w:rPr>
            </w:pPr>
            <w:r>
              <w:rPr>
                <w:color w:val="auto"/>
                <w:w w:val="99"/>
                <w:sz w:val="21"/>
              </w:rPr>
              <w:t>2</w:t>
            </w:r>
          </w:p>
        </w:tc>
        <w:tc>
          <w:tcPr>
            <w:tcW w:w="4663" w:type="dxa"/>
            <w:gridSpan w:val="2"/>
            <w:vAlign w:val="center"/>
          </w:tcPr>
          <w:p>
            <w:pPr>
              <w:pStyle w:val="47"/>
              <w:spacing w:before="56"/>
              <w:ind w:left="108"/>
              <w:jc w:val="both"/>
              <w:rPr>
                <w:color w:val="auto"/>
                <w:sz w:val="21"/>
              </w:rPr>
            </w:pPr>
            <w:r>
              <w:rPr>
                <w:color w:val="auto"/>
                <w:sz w:val="21"/>
              </w:rPr>
              <w:t>蹉商响应声明</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578" w:type="dxa"/>
            <w:vAlign w:val="center"/>
          </w:tcPr>
          <w:p>
            <w:pPr>
              <w:pStyle w:val="47"/>
              <w:spacing w:before="4"/>
              <w:jc w:val="both"/>
              <w:rPr>
                <w:b/>
                <w:color w:val="auto"/>
                <w:sz w:val="21"/>
              </w:rPr>
            </w:pPr>
          </w:p>
          <w:p>
            <w:pPr>
              <w:pStyle w:val="47"/>
              <w:ind w:left="235"/>
              <w:jc w:val="both"/>
              <w:rPr>
                <w:color w:val="auto"/>
                <w:sz w:val="21"/>
              </w:rPr>
            </w:pPr>
            <w:r>
              <w:rPr>
                <w:color w:val="auto"/>
                <w:w w:val="99"/>
                <w:sz w:val="21"/>
              </w:rPr>
              <w:t>3</w:t>
            </w:r>
          </w:p>
        </w:tc>
        <w:tc>
          <w:tcPr>
            <w:tcW w:w="4663" w:type="dxa"/>
            <w:gridSpan w:val="2"/>
            <w:vAlign w:val="center"/>
          </w:tcPr>
          <w:p>
            <w:pPr>
              <w:pStyle w:val="47"/>
              <w:spacing w:before="1"/>
              <w:ind w:left="108"/>
              <w:jc w:val="both"/>
              <w:rPr>
                <w:rFonts w:ascii="宋体" w:hAnsi="宋体" w:eastAsia="宋体" w:cs="宋体"/>
                <w:color w:val="auto"/>
                <w:sz w:val="21"/>
              </w:rPr>
            </w:pPr>
            <w:r>
              <w:rPr>
                <w:rFonts w:ascii="宋体" w:hAnsi="宋体" w:eastAsia="宋体" w:cs="宋体"/>
                <w:color w:val="auto"/>
                <w:sz w:val="21"/>
              </w:rPr>
              <w:t>供应商代表的有效身份证明资料（由单位法定代 表人持法人证明书和有效身份证原件或被授权人 持授权委托书及本人有效身份证）</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jc w:val="center"/>
        </w:trPr>
        <w:tc>
          <w:tcPr>
            <w:tcW w:w="578" w:type="dxa"/>
            <w:vAlign w:val="center"/>
          </w:tcPr>
          <w:p>
            <w:pPr>
              <w:pStyle w:val="47"/>
              <w:spacing w:before="10"/>
              <w:jc w:val="both"/>
              <w:rPr>
                <w:b/>
                <w:color w:val="auto"/>
                <w:sz w:val="14"/>
              </w:rPr>
            </w:pPr>
          </w:p>
          <w:p>
            <w:pPr>
              <w:pStyle w:val="47"/>
              <w:spacing w:before="1"/>
              <w:ind w:left="235"/>
              <w:jc w:val="both"/>
              <w:rPr>
                <w:color w:val="auto"/>
                <w:sz w:val="21"/>
              </w:rPr>
            </w:pPr>
            <w:r>
              <w:rPr>
                <w:color w:val="auto"/>
                <w:w w:val="99"/>
                <w:sz w:val="21"/>
              </w:rPr>
              <w:t>4</w:t>
            </w:r>
          </w:p>
        </w:tc>
        <w:tc>
          <w:tcPr>
            <w:tcW w:w="4663" w:type="dxa"/>
            <w:gridSpan w:val="2"/>
            <w:vAlign w:val="center"/>
          </w:tcPr>
          <w:p>
            <w:pPr>
              <w:pStyle w:val="47"/>
              <w:spacing w:before="1"/>
              <w:ind w:left="108"/>
              <w:jc w:val="both"/>
              <w:rPr>
                <w:rFonts w:ascii="宋体" w:hAnsi="宋体" w:eastAsia="宋体" w:cs="宋体"/>
                <w:color w:val="auto"/>
                <w:sz w:val="21"/>
              </w:rPr>
            </w:pPr>
            <w:r>
              <w:rPr>
                <w:rFonts w:ascii="宋体" w:hAnsi="宋体" w:eastAsia="宋体" w:cs="宋体"/>
                <w:color w:val="auto"/>
                <w:sz w:val="21"/>
              </w:rPr>
              <w:t xml:space="preserve">磋商保证金金额、提交方式、到账时间等是否符合第二章“磋商须知”第 </w:t>
            </w:r>
            <w:r>
              <w:rPr>
                <w:rFonts w:hint="eastAsia" w:cs="宋体"/>
                <w:color w:val="auto"/>
                <w:sz w:val="21"/>
                <w:lang w:val="en-US" w:eastAsia="zh-CN"/>
              </w:rPr>
              <w:t>16</w:t>
            </w:r>
            <w:r>
              <w:rPr>
                <w:rFonts w:ascii="宋体" w:hAnsi="宋体" w:eastAsia="宋体" w:cs="宋体"/>
                <w:color w:val="auto"/>
                <w:sz w:val="21"/>
              </w:rPr>
              <w:t xml:space="preserve"> 条规定</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78" w:type="dxa"/>
            <w:vAlign w:val="center"/>
          </w:tcPr>
          <w:p>
            <w:pPr>
              <w:pStyle w:val="47"/>
              <w:spacing w:before="136"/>
              <w:ind w:left="235"/>
              <w:jc w:val="both"/>
              <w:rPr>
                <w:color w:val="auto"/>
                <w:sz w:val="21"/>
              </w:rPr>
            </w:pPr>
            <w:r>
              <w:rPr>
                <w:color w:val="auto"/>
                <w:w w:val="99"/>
                <w:sz w:val="21"/>
              </w:rPr>
              <w:t>5</w:t>
            </w:r>
          </w:p>
        </w:tc>
        <w:tc>
          <w:tcPr>
            <w:tcW w:w="4663" w:type="dxa"/>
            <w:gridSpan w:val="2"/>
            <w:vAlign w:val="center"/>
          </w:tcPr>
          <w:p>
            <w:pPr>
              <w:pStyle w:val="47"/>
              <w:spacing w:before="1"/>
              <w:ind w:left="108"/>
              <w:jc w:val="both"/>
              <w:rPr>
                <w:rFonts w:ascii="宋体" w:hAnsi="宋体" w:eastAsia="宋体" w:cs="宋体"/>
                <w:color w:val="auto"/>
                <w:sz w:val="21"/>
              </w:rPr>
            </w:pPr>
            <w:r>
              <w:rPr>
                <w:rFonts w:ascii="宋体" w:hAnsi="宋体" w:eastAsia="宋体" w:cs="宋体"/>
                <w:color w:val="auto"/>
                <w:sz w:val="21"/>
              </w:rPr>
              <w:t>法人或者其他组织的营业执照等主体资格证明文件</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578" w:type="dxa"/>
            <w:vAlign w:val="center"/>
          </w:tcPr>
          <w:p>
            <w:pPr>
              <w:pStyle w:val="47"/>
              <w:spacing w:before="95"/>
              <w:ind w:left="235"/>
              <w:jc w:val="both"/>
              <w:rPr>
                <w:color w:val="auto"/>
                <w:sz w:val="21"/>
              </w:rPr>
            </w:pPr>
            <w:r>
              <w:rPr>
                <w:color w:val="auto"/>
                <w:w w:val="99"/>
                <w:sz w:val="21"/>
              </w:rPr>
              <w:t>6</w:t>
            </w:r>
          </w:p>
        </w:tc>
        <w:tc>
          <w:tcPr>
            <w:tcW w:w="4663" w:type="dxa"/>
            <w:gridSpan w:val="2"/>
            <w:vAlign w:val="center"/>
          </w:tcPr>
          <w:p>
            <w:pPr>
              <w:pStyle w:val="47"/>
              <w:spacing w:before="1"/>
              <w:ind w:left="108"/>
              <w:jc w:val="both"/>
              <w:rPr>
                <w:rFonts w:ascii="宋体" w:hAnsi="宋体" w:eastAsia="宋体" w:cs="宋体"/>
                <w:color w:val="auto"/>
                <w:sz w:val="21"/>
              </w:rPr>
            </w:pPr>
            <w:r>
              <w:rPr>
                <w:rFonts w:ascii="宋体" w:hAnsi="宋体" w:eastAsia="宋体" w:cs="宋体"/>
                <w:color w:val="auto"/>
                <w:sz w:val="21"/>
              </w:rPr>
              <w:t>供应商资格声明</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578" w:type="dxa"/>
            <w:vAlign w:val="center"/>
          </w:tcPr>
          <w:p>
            <w:pPr>
              <w:pStyle w:val="47"/>
              <w:spacing w:before="4"/>
              <w:jc w:val="both"/>
              <w:rPr>
                <w:b/>
                <w:color w:val="auto"/>
                <w:sz w:val="21"/>
              </w:rPr>
            </w:pPr>
          </w:p>
          <w:p>
            <w:pPr>
              <w:pStyle w:val="47"/>
              <w:ind w:left="235"/>
              <w:jc w:val="both"/>
              <w:rPr>
                <w:rFonts w:hint="eastAsia" w:eastAsia="宋体"/>
                <w:color w:val="auto"/>
                <w:sz w:val="21"/>
                <w:lang w:eastAsia="zh-CN"/>
              </w:rPr>
            </w:pPr>
            <w:r>
              <w:rPr>
                <w:rFonts w:hint="eastAsia"/>
                <w:color w:val="auto"/>
                <w:w w:val="99"/>
                <w:sz w:val="21"/>
                <w:lang w:val="en-US" w:eastAsia="zh-CN"/>
              </w:rPr>
              <w:t>7</w:t>
            </w:r>
          </w:p>
        </w:tc>
        <w:tc>
          <w:tcPr>
            <w:tcW w:w="4663" w:type="dxa"/>
            <w:gridSpan w:val="2"/>
            <w:vAlign w:val="center"/>
          </w:tcPr>
          <w:p>
            <w:pPr>
              <w:pStyle w:val="47"/>
              <w:spacing w:before="1"/>
              <w:ind w:left="108"/>
              <w:jc w:val="both"/>
              <w:rPr>
                <w:rFonts w:ascii="宋体" w:hAnsi="宋体" w:eastAsia="宋体" w:cs="宋体"/>
                <w:color w:val="auto"/>
                <w:sz w:val="21"/>
              </w:rPr>
            </w:pPr>
            <w:r>
              <w:rPr>
                <w:rFonts w:ascii="宋体" w:hAnsi="宋体" w:eastAsia="宋体" w:cs="宋体"/>
                <w:color w:val="auto"/>
                <w:sz w:val="21"/>
              </w:rPr>
              <w:t>税务登记证和社保证或者首次响应文件递交截止时间前近</w:t>
            </w:r>
            <w:r>
              <w:rPr>
                <w:rFonts w:hint="eastAsia" w:cs="宋体"/>
                <w:color w:val="auto"/>
                <w:sz w:val="21"/>
                <w:lang w:eastAsia="zh-CN"/>
              </w:rPr>
              <w:t>三</w:t>
            </w:r>
            <w:r>
              <w:rPr>
                <w:rFonts w:ascii="宋体" w:hAnsi="宋体" w:eastAsia="宋体" w:cs="宋体"/>
                <w:color w:val="auto"/>
                <w:sz w:val="21"/>
              </w:rPr>
              <w:t>个月依法连续缴纳税收和社会保险费的证明(或者</w:t>
            </w:r>
            <w:r>
              <w:rPr>
                <w:rFonts w:hint="eastAsia" w:cs="宋体"/>
                <w:color w:val="auto"/>
                <w:sz w:val="21"/>
                <w:lang w:val="en-US" w:eastAsia="zh-CN"/>
              </w:rPr>
              <w:t>书面承诺依法纳税和社保</w:t>
            </w:r>
            <w:bookmarkStart w:id="101" w:name="_GoBack"/>
            <w:bookmarkEnd w:id="101"/>
            <w:r>
              <w:rPr>
                <w:rFonts w:ascii="宋体" w:hAnsi="宋体" w:eastAsia="宋体" w:cs="宋体"/>
                <w:color w:val="auto"/>
                <w:sz w:val="21"/>
              </w:rPr>
              <w:t>）</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jc w:val="center"/>
        </w:trPr>
        <w:tc>
          <w:tcPr>
            <w:tcW w:w="578" w:type="dxa"/>
            <w:vAlign w:val="center"/>
          </w:tcPr>
          <w:p>
            <w:pPr>
              <w:pStyle w:val="47"/>
              <w:spacing w:before="5"/>
              <w:jc w:val="both"/>
              <w:rPr>
                <w:b/>
                <w:color w:val="auto"/>
                <w:sz w:val="21"/>
              </w:rPr>
            </w:pPr>
          </w:p>
          <w:p>
            <w:pPr>
              <w:pStyle w:val="47"/>
              <w:ind w:left="235"/>
              <w:jc w:val="both"/>
              <w:rPr>
                <w:rFonts w:hint="eastAsia" w:eastAsia="宋体"/>
                <w:color w:val="auto"/>
                <w:sz w:val="21"/>
                <w:lang w:eastAsia="zh-CN"/>
              </w:rPr>
            </w:pPr>
            <w:r>
              <w:rPr>
                <w:rFonts w:hint="eastAsia"/>
                <w:color w:val="auto"/>
                <w:w w:val="99"/>
                <w:sz w:val="21"/>
                <w:lang w:val="en-US" w:eastAsia="zh-CN"/>
              </w:rPr>
              <w:t>8</w:t>
            </w:r>
          </w:p>
        </w:tc>
        <w:tc>
          <w:tcPr>
            <w:tcW w:w="4663" w:type="dxa"/>
            <w:gridSpan w:val="2"/>
            <w:vAlign w:val="center"/>
          </w:tcPr>
          <w:p>
            <w:pPr>
              <w:pStyle w:val="47"/>
              <w:spacing w:before="1"/>
              <w:ind w:left="108"/>
              <w:jc w:val="both"/>
              <w:rPr>
                <w:rFonts w:ascii="宋体" w:hAnsi="宋体" w:eastAsia="宋体" w:cs="宋体"/>
                <w:color w:val="auto"/>
                <w:sz w:val="21"/>
              </w:rPr>
            </w:pPr>
            <w:r>
              <w:rPr>
                <w:rFonts w:ascii="宋体" w:hAnsi="宋体" w:eastAsia="宋体" w:cs="宋体"/>
                <w:color w:val="auto"/>
                <w:sz w:val="21"/>
              </w:rPr>
              <w:t>具有履行合同所必需的设备和专业技术能力的承</w:t>
            </w:r>
          </w:p>
          <w:p>
            <w:pPr>
              <w:pStyle w:val="47"/>
              <w:spacing w:before="1"/>
              <w:ind w:left="108"/>
              <w:jc w:val="both"/>
              <w:rPr>
                <w:rFonts w:ascii="宋体" w:hAnsi="宋体" w:eastAsia="宋体" w:cs="宋体"/>
                <w:color w:val="auto"/>
                <w:sz w:val="21"/>
              </w:rPr>
            </w:pPr>
            <w:r>
              <w:rPr>
                <w:rFonts w:ascii="宋体" w:hAnsi="宋体" w:eastAsia="宋体" w:cs="宋体"/>
                <w:color w:val="auto"/>
                <w:sz w:val="21"/>
              </w:rPr>
              <w:t>诺，或者设备发票复印件和专业技术能力的相关证明材料复印件等</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578" w:type="dxa"/>
            <w:vAlign w:val="center"/>
          </w:tcPr>
          <w:p>
            <w:pPr>
              <w:pStyle w:val="47"/>
              <w:ind w:firstLine="210" w:firstLineChars="100"/>
              <w:jc w:val="both"/>
              <w:rPr>
                <w:rFonts w:hint="eastAsia" w:eastAsia="宋体"/>
                <w:color w:val="auto"/>
                <w:sz w:val="21"/>
                <w:lang w:eastAsia="zh-CN"/>
              </w:rPr>
            </w:pPr>
            <w:r>
              <w:rPr>
                <w:rFonts w:hint="eastAsia"/>
                <w:color w:val="auto"/>
                <w:sz w:val="21"/>
                <w:lang w:val="en-US" w:eastAsia="zh-CN"/>
              </w:rPr>
              <w:t>9</w:t>
            </w:r>
          </w:p>
        </w:tc>
        <w:tc>
          <w:tcPr>
            <w:tcW w:w="1623" w:type="dxa"/>
            <w:vAlign w:val="center"/>
          </w:tcPr>
          <w:p>
            <w:pPr>
              <w:pStyle w:val="47"/>
              <w:spacing w:before="169" w:line="242" w:lineRule="auto"/>
              <w:ind w:right="198"/>
              <w:jc w:val="both"/>
              <w:rPr>
                <w:color w:val="auto"/>
                <w:sz w:val="21"/>
              </w:rPr>
            </w:pPr>
            <w:r>
              <w:rPr>
                <w:color w:val="auto"/>
                <w:sz w:val="21"/>
              </w:rPr>
              <w:t>符合特定资格条件证明材</w:t>
            </w:r>
            <w:r>
              <w:rPr>
                <w:rFonts w:hint="eastAsia"/>
                <w:color w:val="auto"/>
                <w:sz w:val="21"/>
                <w:lang w:val="en-US" w:eastAsia="zh-CN"/>
              </w:rPr>
              <w:t xml:space="preserve"> </w:t>
            </w:r>
            <w:r>
              <w:rPr>
                <w:color w:val="auto"/>
                <w:sz w:val="21"/>
              </w:rPr>
              <w:t>料</w:t>
            </w:r>
          </w:p>
        </w:tc>
        <w:tc>
          <w:tcPr>
            <w:tcW w:w="3040" w:type="dxa"/>
            <w:vAlign w:val="center"/>
          </w:tcPr>
          <w:p>
            <w:pPr>
              <w:keepNext w:val="0"/>
              <w:keepLines w:val="0"/>
              <w:pageBreakBefore w:val="0"/>
              <w:widowControl w:val="0"/>
              <w:shd w:val="clear" w:color="auto" w:fill="auto"/>
              <w:kinsoku/>
              <w:overflowPunct/>
              <w:topLinePunct w:val="0"/>
              <w:autoSpaceDE/>
              <w:autoSpaceDN/>
              <w:bidi w:val="0"/>
              <w:adjustRightInd w:val="0"/>
              <w:snapToGrid w:val="0"/>
              <w:spacing w:line="360" w:lineRule="exact"/>
              <w:jc w:val="left"/>
              <w:textAlignment w:val="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b/>
                <w:bCs/>
                <w:color w:val="auto"/>
                <w:lang w:val="en-US" w:eastAsia="zh-CN"/>
              </w:rPr>
              <w:t>具有本采购项目的相关经营范围</w:t>
            </w:r>
          </w:p>
          <w:p>
            <w:pPr>
              <w:jc w:val="left"/>
              <w:rPr>
                <w:rFonts w:ascii="宋体" w:hAnsi="宋体" w:eastAsia="宋体" w:cs="宋体"/>
                <w:color w:val="auto"/>
                <w:sz w:val="21"/>
              </w:rPr>
            </w:pP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578" w:type="dxa"/>
            <w:vAlign w:val="center"/>
          </w:tcPr>
          <w:p>
            <w:pPr>
              <w:pStyle w:val="47"/>
              <w:spacing w:before="115"/>
              <w:ind w:left="182"/>
              <w:jc w:val="both"/>
              <w:rPr>
                <w:rFonts w:hint="eastAsia" w:eastAsia="宋体"/>
                <w:color w:val="auto"/>
                <w:sz w:val="21"/>
                <w:lang w:eastAsia="zh-CN"/>
              </w:rPr>
            </w:pPr>
            <w:r>
              <w:rPr>
                <w:color w:val="auto"/>
                <w:sz w:val="21"/>
              </w:rPr>
              <w:t>1</w:t>
            </w:r>
            <w:r>
              <w:rPr>
                <w:rFonts w:hint="eastAsia"/>
                <w:color w:val="auto"/>
                <w:sz w:val="21"/>
                <w:lang w:val="en-US" w:eastAsia="zh-CN"/>
              </w:rPr>
              <w:t>0</w:t>
            </w:r>
          </w:p>
        </w:tc>
        <w:tc>
          <w:tcPr>
            <w:tcW w:w="4663" w:type="dxa"/>
            <w:gridSpan w:val="2"/>
            <w:vAlign w:val="center"/>
          </w:tcPr>
          <w:p>
            <w:pPr>
              <w:pStyle w:val="47"/>
              <w:spacing w:before="115"/>
              <w:ind w:left="108"/>
              <w:jc w:val="both"/>
              <w:rPr>
                <w:color w:val="auto"/>
                <w:sz w:val="21"/>
              </w:rPr>
            </w:pPr>
            <w:r>
              <w:rPr>
                <w:color w:val="auto"/>
                <w:sz w:val="21"/>
              </w:rPr>
              <w:t>信用查询（网上查询打印并加盖公章）</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578" w:type="dxa"/>
            <w:vAlign w:val="center"/>
          </w:tcPr>
          <w:p>
            <w:pPr>
              <w:pStyle w:val="47"/>
              <w:spacing w:before="115"/>
              <w:ind w:left="182"/>
              <w:jc w:val="both"/>
              <w:rPr>
                <w:rFonts w:hint="eastAsia" w:eastAsia="宋体"/>
                <w:color w:val="auto"/>
                <w:sz w:val="21"/>
                <w:lang w:eastAsia="zh-CN"/>
              </w:rPr>
            </w:pPr>
            <w:r>
              <w:rPr>
                <w:color w:val="auto"/>
                <w:sz w:val="21"/>
              </w:rPr>
              <w:t>1</w:t>
            </w:r>
            <w:r>
              <w:rPr>
                <w:rFonts w:hint="eastAsia"/>
                <w:color w:val="auto"/>
                <w:sz w:val="21"/>
                <w:lang w:val="en-US" w:eastAsia="zh-CN"/>
              </w:rPr>
              <w:t>1</w:t>
            </w:r>
          </w:p>
        </w:tc>
        <w:tc>
          <w:tcPr>
            <w:tcW w:w="4663" w:type="dxa"/>
            <w:gridSpan w:val="2"/>
            <w:vAlign w:val="center"/>
          </w:tcPr>
          <w:p>
            <w:pPr>
              <w:pStyle w:val="47"/>
              <w:spacing w:before="115"/>
              <w:ind w:left="108"/>
              <w:jc w:val="both"/>
              <w:rPr>
                <w:color w:val="auto"/>
                <w:sz w:val="21"/>
              </w:rPr>
            </w:pPr>
            <w:r>
              <w:rPr>
                <w:color w:val="auto"/>
                <w:sz w:val="21"/>
              </w:rPr>
              <w:t>中小企业声明函</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578" w:type="dxa"/>
            <w:vAlign w:val="center"/>
          </w:tcPr>
          <w:p>
            <w:pPr>
              <w:pStyle w:val="47"/>
              <w:spacing w:before="134"/>
              <w:ind w:left="182"/>
              <w:jc w:val="both"/>
              <w:rPr>
                <w:rFonts w:hint="eastAsia" w:eastAsia="宋体"/>
                <w:color w:val="auto"/>
                <w:sz w:val="21"/>
                <w:lang w:eastAsia="zh-CN"/>
              </w:rPr>
            </w:pPr>
            <w:r>
              <w:rPr>
                <w:color w:val="auto"/>
                <w:sz w:val="21"/>
              </w:rPr>
              <w:t>1</w:t>
            </w:r>
            <w:r>
              <w:rPr>
                <w:rFonts w:hint="eastAsia"/>
                <w:color w:val="auto"/>
                <w:sz w:val="21"/>
                <w:lang w:val="en-US" w:eastAsia="zh-CN"/>
              </w:rPr>
              <w:t>2</w:t>
            </w:r>
          </w:p>
        </w:tc>
        <w:tc>
          <w:tcPr>
            <w:tcW w:w="4663" w:type="dxa"/>
            <w:gridSpan w:val="2"/>
            <w:vAlign w:val="center"/>
          </w:tcPr>
          <w:p>
            <w:pPr>
              <w:pStyle w:val="47"/>
              <w:ind w:left="108"/>
              <w:jc w:val="both"/>
              <w:rPr>
                <w:color w:val="auto"/>
                <w:sz w:val="21"/>
              </w:rPr>
            </w:pPr>
            <w:r>
              <w:rPr>
                <w:color w:val="auto"/>
                <w:sz w:val="21"/>
              </w:rPr>
              <w:t>是否存在不符合法律、规章、规范性文件和蹉商</w:t>
            </w:r>
          </w:p>
          <w:p>
            <w:pPr>
              <w:pStyle w:val="47"/>
              <w:spacing w:before="2" w:line="253" w:lineRule="exact"/>
              <w:ind w:left="108"/>
              <w:jc w:val="both"/>
              <w:rPr>
                <w:color w:val="auto"/>
                <w:sz w:val="21"/>
              </w:rPr>
            </w:pPr>
            <w:r>
              <w:rPr>
                <w:color w:val="auto"/>
                <w:sz w:val="21"/>
              </w:rPr>
              <w:t>文件的规定</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5241" w:type="dxa"/>
            <w:gridSpan w:val="3"/>
            <w:vAlign w:val="center"/>
          </w:tcPr>
          <w:p>
            <w:pPr>
              <w:pStyle w:val="47"/>
              <w:spacing w:before="137"/>
              <w:ind w:left="1358"/>
              <w:jc w:val="both"/>
              <w:rPr>
                <w:color w:val="auto"/>
                <w:sz w:val="21"/>
              </w:rPr>
            </w:pPr>
            <w:r>
              <w:rPr>
                <w:color w:val="auto"/>
                <w:sz w:val="21"/>
              </w:rPr>
              <w:t>评审结论（合格或不合格）</w:t>
            </w:r>
          </w:p>
        </w:tc>
        <w:tc>
          <w:tcPr>
            <w:tcW w:w="1337" w:type="dxa"/>
            <w:vAlign w:val="center"/>
          </w:tcPr>
          <w:p>
            <w:pPr>
              <w:pStyle w:val="47"/>
              <w:jc w:val="both"/>
              <w:rPr>
                <w:rFonts w:ascii="Times New Roman"/>
                <w:color w:val="auto"/>
                <w:sz w:val="20"/>
              </w:rPr>
            </w:pPr>
          </w:p>
        </w:tc>
        <w:tc>
          <w:tcPr>
            <w:tcW w:w="1230" w:type="dxa"/>
            <w:vAlign w:val="center"/>
          </w:tcPr>
          <w:p>
            <w:pPr>
              <w:pStyle w:val="47"/>
              <w:jc w:val="both"/>
              <w:rPr>
                <w:rFonts w:ascii="Times New Roman"/>
                <w:color w:val="auto"/>
                <w:sz w:val="20"/>
              </w:rPr>
            </w:pPr>
          </w:p>
        </w:tc>
        <w:tc>
          <w:tcPr>
            <w:tcW w:w="1215" w:type="dxa"/>
            <w:vAlign w:val="center"/>
          </w:tcPr>
          <w:p>
            <w:pPr>
              <w:pStyle w:val="47"/>
              <w:jc w:val="both"/>
              <w:rPr>
                <w:rFonts w:ascii="Times New Roman"/>
                <w:color w:val="auto"/>
                <w:sz w:val="20"/>
              </w:rPr>
            </w:pPr>
          </w:p>
        </w:tc>
      </w:tr>
    </w:tbl>
    <w:p>
      <w:pPr>
        <w:pStyle w:val="12"/>
        <w:adjustRightInd w:val="0"/>
        <w:snapToGrid w:val="0"/>
        <w:spacing w:line="360" w:lineRule="auto"/>
        <w:rPr>
          <w:rFonts w:hint="eastAsia" w:asciiTheme="majorEastAsia" w:hAnsiTheme="majorEastAsia" w:eastAsiaTheme="majorEastAsia" w:cstheme="majorEastAsia"/>
          <w:b/>
          <w:bCs/>
          <w:color w:val="auto"/>
          <w:sz w:val="21"/>
          <w:lang w:val="zh-CN" w:eastAsia="zh-CN"/>
        </w:rPr>
      </w:pPr>
      <w:r>
        <w:rPr>
          <w:rFonts w:hint="eastAsia" w:asciiTheme="majorEastAsia" w:hAnsiTheme="majorEastAsia" w:eastAsiaTheme="majorEastAsia" w:cstheme="majorEastAsia"/>
          <w:b/>
          <w:bCs/>
          <w:color w:val="auto"/>
          <w:sz w:val="21"/>
          <w:lang w:val="zh-CN" w:eastAsia="zh-CN"/>
        </w:rPr>
        <w:t>备注：</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1、</w:t>
      </w:r>
      <w:r>
        <w:rPr>
          <w:rFonts w:hint="eastAsia" w:asciiTheme="majorEastAsia" w:hAnsiTheme="majorEastAsia" w:eastAsiaTheme="majorEastAsia" w:cstheme="majorEastAsia"/>
          <w:color w:val="auto"/>
          <w:sz w:val="21"/>
          <w:lang w:val="zh-CN" w:eastAsia="zh-CN"/>
        </w:rPr>
        <w:t>资格审查时投标供应商应当提供“供应商资格审查表”中第 4～9 项供应商资格证明文件的原件(施工项目部关键岗位人员证书原件已启动电子证书的地区，供应商可提供电子证书并加   盖单位公章，供应商应对其证书的真实性负责。资格审查时可通过证书二维码查询其真实性），其他项按资格审查表中要求提供，所有证明材料按本审查表中顺序注明并排序。</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 w:val="21"/>
          <w:lang w:val="zh-CN" w:eastAsia="zh-CN"/>
        </w:rPr>
        <w:t>2、达到要求的标记“√”，未达到的标记“×”并注明其理由。</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 w:val="21"/>
          <w:lang w:val="zh-CN" w:eastAsia="zh-CN"/>
        </w:rPr>
        <w:t>3、结论填写“合格”或“不合格”。</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 w:val="21"/>
          <w:lang w:val="zh-CN" w:eastAsia="zh-CN"/>
        </w:rPr>
        <w:t>4、结论“不合格”的投标人不进入下一轮评议。</w:t>
      </w:r>
    </w:p>
    <w:p>
      <w:pPr>
        <w:pStyle w:val="12"/>
        <w:adjustRightInd w:val="0"/>
        <w:snapToGrid w:val="0"/>
        <w:spacing w:line="360" w:lineRule="auto"/>
        <w:ind w:firstLine="63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 w:val="21"/>
          <w:lang w:val="zh-CN" w:eastAsia="zh-CN"/>
        </w:rPr>
        <w:t>5、投标单位有下列情形之一的，视为不合格（★）：</w:t>
      </w:r>
    </w:p>
    <w:p>
      <w:pPr>
        <w:pStyle w:val="12"/>
        <w:adjustRightInd w:val="0"/>
        <w:snapToGrid w:val="0"/>
        <w:spacing w:line="360" w:lineRule="auto"/>
        <w:ind w:firstLine="60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lang w:val="zh-CN" w:eastAsia="zh-CN"/>
        </w:rPr>
        <w:t>未提交资格证明材料的或资格证明材料提交不全的；</w:t>
      </w:r>
    </w:p>
    <w:p>
      <w:pPr>
        <w:pStyle w:val="12"/>
        <w:adjustRightInd w:val="0"/>
        <w:snapToGrid w:val="0"/>
        <w:spacing w:line="360" w:lineRule="auto"/>
        <w:ind w:firstLine="60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lang w:val="zh-CN" w:eastAsia="zh-CN"/>
        </w:rPr>
        <w:t>提供不符合要求或虚假资格证明文件的；</w:t>
      </w:r>
    </w:p>
    <w:p>
      <w:pPr>
        <w:pStyle w:val="12"/>
        <w:adjustRightInd w:val="0"/>
        <w:snapToGrid w:val="0"/>
        <w:spacing w:line="360" w:lineRule="auto"/>
        <w:ind w:firstLine="60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lang w:val="zh-CN" w:eastAsia="zh-CN"/>
        </w:rPr>
        <w:t>资格证明文件过了有效期的；</w:t>
      </w:r>
    </w:p>
    <w:p>
      <w:pPr>
        <w:pStyle w:val="12"/>
        <w:adjustRightInd w:val="0"/>
        <w:snapToGrid w:val="0"/>
        <w:spacing w:line="360" w:lineRule="auto"/>
        <w:ind w:firstLine="600" w:firstLineChars="300"/>
        <w:rPr>
          <w:rFonts w:hint="eastAsia" w:asciiTheme="majorEastAsia" w:hAnsiTheme="majorEastAsia" w:eastAsiaTheme="majorEastAsia" w:cstheme="majorEastAsia"/>
          <w:color w:val="auto"/>
          <w:sz w:val="21"/>
          <w:lang w:val="zh-CN" w:eastAsia="zh-CN"/>
        </w:rPr>
      </w:pP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Cs w:val="21"/>
          <w:lang w:val="en-US" w:eastAsia="zh-CN"/>
        </w:rPr>
        <w:t>4</w:t>
      </w:r>
      <w:r>
        <w:rPr>
          <w:rFonts w:hint="eastAsia" w:asciiTheme="majorEastAsia" w:hAnsiTheme="majorEastAsia" w:eastAsiaTheme="majorEastAsia" w:cstheme="majorEastAsia"/>
          <w:color w:val="auto"/>
          <w:szCs w:val="21"/>
        </w:rPr>
        <w:t>）</w:t>
      </w:r>
      <w:r>
        <w:rPr>
          <w:rFonts w:hint="eastAsia" w:asciiTheme="majorEastAsia" w:hAnsiTheme="majorEastAsia" w:eastAsiaTheme="majorEastAsia" w:cstheme="majorEastAsia"/>
          <w:color w:val="auto"/>
          <w:sz w:val="21"/>
          <w:lang w:val="zh-CN" w:eastAsia="zh-CN"/>
        </w:rPr>
        <w:t>资格证明文件复印件未加盖投标单位公章的。</w:t>
      </w:r>
    </w:p>
    <w:p>
      <w:pPr>
        <w:pStyle w:val="11"/>
        <w:jc w:val="left"/>
        <w:rPr>
          <w:rFonts w:ascii="宋体" w:hAnsi="宋体" w:eastAsia="宋体" w:cs="宋体"/>
          <w:color w:val="auto"/>
          <w:kern w:val="2"/>
          <w:sz w:val="21"/>
          <w:szCs w:val="24"/>
          <w:lang w:val="zh-CN" w:eastAsia="zh-CN" w:bidi="zh-CN"/>
        </w:rPr>
      </w:pPr>
    </w:p>
    <w:p>
      <w:pPr>
        <w:pStyle w:val="11"/>
        <w:spacing w:before="9"/>
        <w:jc w:val="left"/>
        <w:rPr>
          <w:rFonts w:hint="eastAsia" w:ascii="宋体" w:hAnsi="宋体" w:eastAsia="宋体" w:cs="宋体"/>
          <w:color w:val="auto"/>
          <w:kern w:val="2"/>
          <w:sz w:val="21"/>
          <w:szCs w:val="24"/>
          <w:lang w:val="zh-CN" w:eastAsia="zh-CN" w:bidi="zh-CN"/>
        </w:rPr>
      </w:pPr>
      <w:r>
        <w:rPr>
          <w:rFonts w:hint="eastAsia" w:ascii="宋体" w:hAnsi="宋体" w:eastAsia="宋体" w:cs="宋体"/>
          <w:color w:val="auto"/>
          <w:kern w:val="2"/>
          <w:sz w:val="21"/>
          <w:szCs w:val="24"/>
          <w:lang w:val="zh-CN" w:eastAsia="zh-CN" w:bidi="zh-CN"/>
        </w:rPr>
        <w:t>采购人（签字）：</w:t>
      </w:r>
    </w:p>
    <w:p>
      <w:pPr>
        <w:pStyle w:val="11"/>
        <w:spacing w:before="9"/>
        <w:jc w:val="left"/>
        <w:rPr>
          <w:rFonts w:hint="eastAsia" w:ascii="宋体" w:hAnsi="宋体" w:eastAsia="宋体" w:cs="宋体"/>
          <w:color w:val="auto"/>
          <w:kern w:val="2"/>
          <w:sz w:val="21"/>
          <w:szCs w:val="24"/>
          <w:lang w:val="zh-CN" w:eastAsia="zh-CN" w:bidi="zh-CN"/>
        </w:rPr>
      </w:pPr>
      <w:r>
        <w:rPr>
          <w:rFonts w:hint="eastAsia" w:ascii="宋体" w:hAnsi="宋体" w:eastAsia="宋体" w:cs="宋体"/>
          <w:color w:val="auto"/>
          <w:kern w:val="2"/>
          <w:sz w:val="21"/>
          <w:szCs w:val="24"/>
          <w:lang w:val="zh-CN" w:eastAsia="zh-CN" w:bidi="zh-CN"/>
        </w:rPr>
        <w:t>年月日</w:t>
      </w:r>
    </w:p>
    <w:p>
      <w:pPr>
        <w:rPr>
          <w:rFonts w:hint="eastAsia" w:ascii="宋体" w:hAnsi="宋体" w:eastAsia="宋体"/>
          <w:color w:val="auto"/>
          <w:szCs w:val="21"/>
          <w:highlight w:val="none"/>
        </w:rPr>
      </w:pPr>
      <w:r>
        <w:rPr>
          <w:rFonts w:hint="eastAsia" w:ascii="宋体" w:hAnsi="宋体" w:eastAsia="宋体"/>
          <w:color w:val="auto"/>
          <w:szCs w:val="21"/>
          <w:highlight w:val="none"/>
        </w:rPr>
        <w:br w:type="page"/>
      </w:r>
    </w:p>
    <w:p>
      <w:pPr>
        <w:tabs>
          <w:tab w:val="left" w:pos="1440"/>
        </w:tabs>
        <w:spacing w:before="69"/>
        <w:ind w:left="651" w:right="0" w:firstLine="0"/>
        <w:jc w:val="left"/>
        <w:rPr>
          <w:b/>
          <w:color w:val="auto"/>
          <w:sz w:val="21"/>
        </w:rPr>
      </w:pPr>
      <w:r>
        <w:rPr>
          <w:b/>
          <w:color w:val="auto"/>
          <w:sz w:val="21"/>
        </w:rPr>
        <w:t>附表</w:t>
      </w:r>
      <w:r>
        <w:rPr>
          <w:b/>
          <w:color w:val="auto"/>
          <w:spacing w:val="-55"/>
          <w:sz w:val="21"/>
        </w:rPr>
        <w:t xml:space="preserve"> </w:t>
      </w:r>
      <w:r>
        <w:rPr>
          <w:b/>
          <w:color w:val="auto"/>
          <w:sz w:val="21"/>
        </w:rPr>
        <w:t>2</w:t>
      </w:r>
      <w:r>
        <w:rPr>
          <w:b/>
          <w:color w:val="auto"/>
          <w:sz w:val="21"/>
        </w:rPr>
        <w:tab/>
      </w:r>
      <w:r>
        <w:rPr>
          <w:b/>
          <w:color w:val="auto"/>
          <w:sz w:val="21"/>
        </w:rPr>
        <w:t>供应商资格审查结果一览表</w:t>
      </w:r>
    </w:p>
    <w:p>
      <w:pPr>
        <w:spacing w:before="141"/>
        <w:ind w:left="0" w:right="17" w:firstLine="0"/>
        <w:jc w:val="center"/>
        <w:rPr>
          <w:b/>
          <w:color w:val="auto"/>
          <w:sz w:val="28"/>
        </w:rPr>
      </w:pPr>
      <w:r>
        <w:rPr>
          <w:b/>
          <w:color w:val="auto"/>
          <w:sz w:val="28"/>
        </w:rPr>
        <w:t>供应商资格审查结果一览表</w:t>
      </w:r>
    </w:p>
    <w:p>
      <w:pPr>
        <w:pStyle w:val="11"/>
        <w:spacing w:before="8"/>
        <w:rPr>
          <w:b/>
          <w:color w:val="auto"/>
          <w:sz w:val="37"/>
        </w:rPr>
      </w:pPr>
    </w:p>
    <w:p>
      <w:pPr>
        <w:pStyle w:val="11"/>
        <w:tabs>
          <w:tab w:val="left" w:pos="4745"/>
        </w:tabs>
        <w:ind w:left="651"/>
        <w:rPr>
          <w:color w:val="auto"/>
        </w:rPr>
      </w:pPr>
      <w:r>
        <w:rPr>
          <w:color w:val="auto"/>
        </w:rPr>
        <w:t>项目名称：</w:t>
      </w:r>
      <w:r>
        <w:rPr>
          <w:color w:val="auto"/>
        </w:rPr>
        <w:tab/>
      </w:r>
      <w:r>
        <w:rPr>
          <w:rFonts w:hint="eastAsia"/>
          <w:color w:val="auto"/>
          <w:lang w:val="en-US" w:eastAsia="zh-CN"/>
        </w:rPr>
        <w:t xml:space="preserve">          </w:t>
      </w:r>
      <w:r>
        <w:rPr>
          <w:color w:val="auto"/>
        </w:rPr>
        <w:t>采购代理编号：</w:t>
      </w:r>
    </w:p>
    <w:p>
      <w:pPr>
        <w:pStyle w:val="11"/>
        <w:spacing w:before="11" w:after="1"/>
        <w:rPr>
          <w:color w:val="auto"/>
          <w:sz w:val="10"/>
        </w:rPr>
      </w:pPr>
    </w:p>
    <w:tbl>
      <w:tblPr>
        <w:tblStyle w:val="20"/>
        <w:tblW w:w="94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3106"/>
        <w:gridCol w:w="2557"/>
        <w:gridCol w:w="31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730" w:type="dxa"/>
          </w:tcPr>
          <w:p>
            <w:pPr>
              <w:pStyle w:val="47"/>
              <w:rPr>
                <w:color w:val="auto"/>
                <w:sz w:val="25"/>
              </w:rPr>
            </w:pPr>
          </w:p>
          <w:p>
            <w:pPr>
              <w:pStyle w:val="47"/>
              <w:ind w:left="153"/>
              <w:rPr>
                <w:b/>
                <w:color w:val="auto"/>
                <w:sz w:val="21"/>
              </w:rPr>
            </w:pPr>
            <w:r>
              <w:rPr>
                <w:b/>
                <w:color w:val="auto"/>
                <w:sz w:val="21"/>
              </w:rPr>
              <w:t>序号</w:t>
            </w:r>
          </w:p>
        </w:tc>
        <w:tc>
          <w:tcPr>
            <w:tcW w:w="3106" w:type="dxa"/>
          </w:tcPr>
          <w:p>
            <w:pPr>
              <w:pStyle w:val="47"/>
              <w:rPr>
                <w:color w:val="auto"/>
                <w:sz w:val="25"/>
              </w:rPr>
            </w:pPr>
          </w:p>
          <w:p>
            <w:pPr>
              <w:pStyle w:val="47"/>
              <w:ind w:left="1026"/>
              <w:rPr>
                <w:b/>
                <w:color w:val="auto"/>
                <w:sz w:val="21"/>
              </w:rPr>
            </w:pPr>
            <w:r>
              <w:rPr>
                <w:b/>
                <w:color w:val="auto"/>
                <w:sz w:val="21"/>
              </w:rPr>
              <w:t>供应商名称</w:t>
            </w:r>
          </w:p>
        </w:tc>
        <w:tc>
          <w:tcPr>
            <w:tcW w:w="2557" w:type="dxa"/>
          </w:tcPr>
          <w:p>
            <w:pPr>
              <w:pStyle w:val="47"/>
              <w:spacing w:before="4"/>
              <w:rPr>
                <w:color w:val="auto"/>
                <w:sz w:val="14"/>
              </w:rPr>
            </w:pPr>
          </w:p>
          <w:p>
            <w:pPr>
              <w:pStyle w:val="47"/>
              <w:ind w:left="464" w:right="455"/>
              <w:jc w:val="center"/>
              <w:rPr>
                <w:b/>
                <w:color w:val="auto"/>
                <w:sz w:val="21"/>
              </w:rPr>
            </w:pPr>
            <w:r>
              <w:rPr>
                <w:b/>
                <w:color w:val="auto"/>
                <w:sz w:val="21"/>
              </w:rPr>
              <w:t>资格审查结果</w:t>
            </w:r>
          </w:p>
          <w:p>
            <w:pPr>
              <w:pStyle w:val="47"/>
              <w:spacing w:before="2"/>
              <w:ind w:left="469" w:right="455"/>
              <w:jc w:val="center"/>
              <w:rPr>
                <w:b/>
                <w:color w:val="auto"/>
                <w:sz w:val="21"/>
              </w:rPr>
            </w:pPr>
            <w:r>
              <w:rPr>
                <w:b/>
                <w:color w:val="auto"/>
                <w:sz w:val="21"/>
              </w:rPr>
              <w:t>（合格/不合格）</w:t>
            </w:r>
          </w:p>
        </w:tc>
        <w:tc>
          <w:tcPr>
            <w:tcW w:w="3104" w:type="dxa"/>
          </w:tcPr>
          <w:p>
            <w:pPr>
              <w:pStyle w:val="47"/>
              <w:rPr>
                <w:color w:val="auto"/>
                <w:sz w:val="25"/>
              </w:rPr>
            </w:pPr>
          </w:p>
          <w:p>
            <w:pPr>
              <w:pStyle w:val="47"/>
              <w:ind w:left="607"/>
              <w:rPr>
                <w:b/>
                <w:color w:val="auto"/>
                <w:sz w:val="21"/>
              </w:rPr>
            </w:pPr>
            <w:r>
              <w:rPr>
                <w:b/>
                <w:color w:val="auto"/>
                <w:sz w:val="21"/>
              </w:rPr>
              <w:t>资格审查不合格原因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730" w:type="dxa"/>
          </w:tcPr>
          <w:p>
            <w:pPr>
              <w:pStyle w:val="47"/>
              <w:rPr>
                <w:rFonts w:ascii="Times New Roman"/>
                <w:color w:val="auto"/>
                <w:sz w:val="20"/>
              </w:rPr>
            </w:pPr>
          </w:p>
        </w:tc>
        <w:tc>
          <w:tcPr>
            <w:tcW w:w="3106" w:type="dxa"/>
          </w:tcPr>
          <w:p>
            <w:pPr>
              <w:pStyle w:val="47"/>
              <w:rPr>
                <w:rFonts w:ascii="Times New Roman"/>
                <w:color w:val="auto"/>
                <w:sz w:val="20"/>
              </w:rPr>
            </w:pPr>
          </w:p>
        </w:tc>
        <w:tc>
          <w:tcPr>
            <w:tcW w:w="2557" w:type="dxa"/>
          </w:tcPr>
          <w:p>
            <w:pPr>
              <w:pStyle w:val="47"/>
              <w:rPr>
                <w:rFonts w:ascii="Times New Roman"/>
                <w:color w:val="auto"/>
                <w:sz w:val="20"/>
              </w:rPr>
            </w:pPr>
          </w:p>
        </w:tc>
        <w:tc>
          <w:tcPr>
            <w:tcW w:w="3104" w:type="dxa"/>
          </w:tcPr>
          <w:p>
            <w:pPr>
              <w:pStyle w:val="47"/>
              <w:rPr>
                <w:rFonts w:ascii="Times New Roman"/>
                <w:color w:val="auto"/>
                <w:sz w:val="20"/>
              </w:rPr>
            </w:pPr>
          </w:p>
        </w:tc>
      </w:tr>
    </w:tbl>
    <w:p>
      <w:pPr>
        <w:pStyle w:val="11"/>
        <w:rPr>
          <w:color w:val="auto"/>
          <w:sz w:val="20"/>
        </w:rPr>
      </w:pPr>
    </w:p>
    <w:p>
      <w:pPr>
        <w:pStyle w:val="11"/>
        <w:spacing w:before="8"/>
        <w:rPr>
          <w:color w:val="auto"/>
          <w:sz w:val="22"/>
        </w:rPr>
      </w:pPr>
    </w:p>
    <w:p>
      <w:pPr>
        <w:pStyle w:val="11"/>
        <w:ind w:left="651"/>
        <w:jc w:val="both"/>
        <w:rPr>
          <w:color w:val="auto"/>
        </w:rPr>
      </w:pPr>
      <w:r>
        <w:rPr>
          <w:color w:val="auto"/>
        </w:rPr>
        <w:t>采购人（签字/日期）：</w:t>
      </w:r>
    </w:p>
    <w:p>
      <w:pPr>
        <w:outlineLvl w:val="9"/>
        <w:rPr>
          <w:rFonts w:hint="eastAsia"/>
          <w:color w:val="auto"/>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p>
      <w:pPr>
        <w:spacing w:line="288" w:lineRule="auto"/>
        <w:jc w:val="center"/>
        <w:rPr>
          <w:rFonts w:hint="eastAsia" w:ascii="宋体" w:hAnsi="宋体" w:eastAsia="宋体"/>
          <w:color w:val="auto"/>
          <w:szCs w:val="21"/>
          <w:highlight w:val="none"/>
        </w:rPr>
      </w:pPr>
    </w:p>
    <w:bookmarkEnd w:id="46"/>
    <w:p>
      <w:pPr>
        <w:rPr>
          <w:rFonts w:hint="eastAsia"/>
          <w:color w:val="auto"/>
        </w:rPr>
      </w:pPr>
    </w:p>
    <w:p>
      <w:pPr>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bCs/>
          <w:color w:val="auto"/>
          <w:sz w:val="32"/>
          <w:szCs w:val="32"/>
        </w:rPr>
        <w:br w:type="page"/>
      </w:r>
    </w:p>
    <w:p>
      <w:pPr>
        <w:adjustRightInd w:val="0"/>
        <w:snapToGrid w:val="0"/>
        <w:spacing w:before="120" w:beforeLines="50" w:line="360" w:lineRule="auto"/>
        <w:jc w:val="center"/>
        <w:outlineLvl w:val="0"/>
        <w:rPr>
          <w:rFonts w:hint="eastAsia" w:asciiTheme="majorEastAsia" w:hAnsiTheme="majorEastAsia" w:eastAsiaTheme="majorEastAsia" w:cstheme="majorEastAsia"/>
          <w:b/>
          <w:bCs/>
          <w:color w:val="auto"/>
          <w:sz w:val="32"/>
          <w:szCs w:val="32"/>
        </w:rPr>
      </w:pPr>
      <w:bookmarkStart w:id="47" w:name="_Toc12000"/>
      <w:r>
        <w:rPr>
          <w:rFonts w:hint="eastAsia" w:asciiTheme="majorEastAsia" w:hAnsiTheme="majorEastAsia" w:eastAsiaTheme="majorEastAsia" w:cstheme="majorEastAsia"/>
          <w:b/>
          <w:bCs/>
          <w:color w:val="auto"/>
          <w:sz w:val="32"/>
          <w:szCs w:val="32"/>
        </w:rPr>
        <w:t>第</w:t>
      </w:r>
      <w:r>
        <w:rPr>
          <w:rFonts w:hint="eastAsia" w:asciiTheme="majorEastAsia" w:hAnsiTheme="majorEastAsia" w:eastAsiaTheme="majorEastAsia" w:cstheme="majorEastAsia"/>
          <w:b/>
          <w:bCs/>
          <w:color w:val="auto"/>
          <w:sz w:val="32"/>
          <w:szCs w:val="32"/>
          <w:lang w:eastAsia="zh-CN"/>
        </w:rPr>
        <w:t>四</w:t>
      </w:r>
      <w:r>
        <w:rPr>
          <w:rFonts w:hint="eastAsia" w:asciiTheme="majorEastAsia" w:hAnsiTheme="majorEastAsia" w:eastAsiaTheme="majorEastAsia" w:cstheme="majorEastAsia"/>
          <w:b/>
          <w:bCs/>
          <w:color w:val="auto"/>
          <w:sz w:val="32"/>
          <w:szCs w:val="32"/>
        </w:rPr>
        <w:t>章 评审办法及标准</w:t>
      </w:r>
      <w:bookmarkEnd w:id="47"/>
    </w:p>
    <w:p>
      <w:pPr>
        <w:adjustRightInd w:val="0"/>
        <w:snapToGrid w:val="0"/>
        <w:spacing w:before="120" w:beforeLines="50" w:line="360" w:lineRule="auto"/>
        <w:outlineLvl w:val="1"/>
        <w:rPr>
          <w:rFonts w:hint="eastAsia" w:asciiTheme="majorEastAsia" w:hAnsiTheme="majorEastAsia" w:eastAsiaTheme="majorEastAsia" w:cstheme="majorEastAsia"/>
          <w:b/>
          <w:color w:val="auto"/>
          <w:szCs w:val="21"/>
        </w:rPr>
      </w:pPr>
      <w:bookmarkStart w:id="48" w:name="_Toc24277"/>
      <w:r>
        <w:rPr>
          <w:rFonts w:hint="eastAsia" w:asciiTheme="majorEastAsia" w:hAnsiTheme="majorEastAsia" w:eastAsiaTheme="majorEastAsia" w:cstheme="majorEastAsia"/>
          <w:b/>
          <w:color w:val="auto"/>
          <w:szCs w:val="21"/>
        </w:rPr>
        <w:t>1.磋商小组</w:t>
      </w:r>
      <w:bookmarkEnd w:id="48"/>
    </w:p>
    <w:p>
      <w:pPr>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1.1评审由依法组成的磋商小组负责。</w:t>
      </w:r>
    </w:p>
    <w:p>
      <w:pPr>
        <w:adjustRightInd w:val="0"/>
        <w:snapToGrid w:val="0"/>
        <w:spacing w:before="120" w:beforeLines="50" w:line="360" w:lineRule="auto"/>
        <w:outlineLvl w:val="1"/>
        <w:rPr>
          <w:rFonts w:hint="eastAsia" w:asciiTheme="majorEastAsia" w:hAnsiTheme="majorEastAsia" w:eastAsiaTheme="majorEastAsia" w:cstheme="majorEastAsia"/>
          <w:b/>
          <w:color w:val="auto"/>
          <w:szCs w:val="21"/>
        </w:rPr>
      </w:pPr>
      <w:bookmarkStart w:id="49" w:name="_Toc32167"/>
      <w:r>
        <w:rPr>
          <w:rFonts w:hint="eastAsia" w:asciiTheme="majorEastAsia" w:hAnsiTheme="majorEastAsia" w:eastAsiaTheme="majorEastAsia" w:cstheme="majorEastAsia"/>
          <w:b/>
          <w:bCs/>
          <w:color w:val="auto"/>
          <w:szCs w:val="21"/>
        </w:rPr>
        <w:t>2.</w:t>
      </w:r>
      <w:r>
        <w:rPr>
          <w:rFonts w:hint="eastAsia" w:asciiTheme="majorEastAsia" w:hAnsiTheme="majorEastAsia" w:eastAsiaTheme="majorEastAsia" w:cstheme="majorEastAsia"/>
          <w:b/>
          <w:color w:val="auto"/>
          <w:szCs w:val="21"/>
        </w:rPr>
        <w:t>评审方法</w:t>
      </w:r>
      <w:bookmarkEnd w:id="49"/>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2.1评审方法：综合评分法，即响应文件能够最大限度的满足磋商文件规定的各项综合评价标准且经评审得分最高的供应商为成交供应商的评标方法。</w:t>
      </w:r>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2.2本采购项目</w:t>
      </w:r>
      <w:r>
        <w:rPr>
          <w:rFonts w:hint="eastAsia" w:asciiTheme="majorEastAsia" w:hAnsiTheme="majorEastAsia" w:eastAsiaTheme="majorEastAsia" w:cstheme="majorEastAsia"/>
          <w:color w:val="auto"/>
          <w:szCs w:val="21"/>
        </w:rPr>
        <w:t>的评审因素和标准见</w:t>
      </w:r>
      <w:r>
        <w:rPr>
          <w:rFonts w:hint="eastAsia" w:asciiTheme="majorEastAsia" w:hAnsiTheme="majorEastAsia" w:eastAsiaTheme="majorEastAsia" w:cstheme="majorEastAsia"/>
          <w:b/>
          <w:color w:val="auto"/>
          <w:szCs w:val="21"/>
          <w:lang w:eastAsia="zh-CN"/>
        </w:rPr>
        <w:t>磋商须知前附表</w:t>
      </w:r>
      <w:r>
        <w:rPr>
          <w:rFonts w:hint="eastAsia" w:asciiTheme="majorEastAsia" w:hAnsiTheme="majorEastAsia" w:eastAsiaTheme="majorEastAsia" w:cstheme="majorEastAsia"/>
          <w:b/>
          <w:color w:val="auto"/>
          <w:szCs w:val="21"/>
        </w:rPr>
        <w:t>，</w:t>
      </w:r>
      <w:r>
        <w:rPr>
          <w:rFonts w:hint="eastAsia" w:asciiTheme="majorEastAsia" w:hAnsiTheme="majorEastAsia" w:eastAsiaTheme="majorEastAsia" w:cstheme="majorEastAsia"/>
          <w:color w:val="auto"/>
          <w:szCs w:val="21"/>
        </w:rPr>
        <w:t>不得对响应文件优于磋商文件要求的评审因素给予加分。</w:t>
      </w:r>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评审因素：价格、技术、服务、对磋商文件的响应程度，以及相应的比重或者权值等，但不包括第二章“磋商须知”第3.1</w:t>
      </w:r>
      <w:r>
        <w:rPr>
          <w:rFonts w:hint="eastAsia" w:asciiTheme="majorEastAsia" w:hAnsiTheme="majorEastAsia" w:eastAsiaTheme="majorEastAsia" w:cstheme="majorEastAsia"/>
          <w:color w:val="auto"/>
          <w:kern w:val="0"/>
          <w:szCs w:val="21"/>
          <w:lang w:val="zh-CN"/>
        </w:rPr>
        <w:t>款</w:t>
      </w:r>
      <w:r>
        <w:rPr>
          <w:rFonts w:hint="eastAsia" w:asciiTheme="majorEastAsia" w:hAnsiTheme="majorEastAsia" w:eastAsiaTheme="majorEastAsia" w:cstheme="majorEastAsia"/>
          <w:color w:val="auto"/>
          <w:szCs w:val="21"/>
        </w:rPr>
        <w:t>规定的供应商资格条件。</w:t>
      </w:r>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2.3</w:t>
      </w:r>
      <w:r>
        <w:rPr>
          <w:rFonts w:hint="eastAsia" w:asciiTheme="majorEastAsia" w:hAnsiTheme="majorEastAsia" w:eastAsiaTheme="majorEastAsia" w:cstheme="majorEastAsia"/>
          <w:color w:val="auto"/>
          <w:szCs w:val="21"/>
        </w:rPr>
        <w:t>权值的取值范围见下表，本采购项目的权值见</w:t>
      </w:r>
      <w:r>
        <w:rPr>
          <w:rFonts w:hint="eastAsia" w:asciiTheme="majorEastAsia" w:hAnsiTheme="majorEastAsia" w:eastAsiaTheme="majorEastAsia" w:cstheme="majorEastAsia"/>
          <w:b/>
          <w:color w:val="auto"/>
          <w:szCs w:val="21"/>
          <w:lang w:eastAsia="zh-CN"/>
        </w:rPr>
        <w:t>磋商须知前附表</w:t>
      </w:r>
      <w:r>
        <w:rPr>
          <w:rFonts w:hint="eastAsia" w:asciiTheme="majorEastAsia" w:hAnsiTheme="majorEastAsia" w:eastAsiaTheme="majorEastAsia" w:cstheme="majorEastAsia"/>
          <w:b/>
          <w:color w:val="auto"/>
          <w:szCs w:val="21"/>
        </w:rPr>
        <w:t>。</w:t>
      </w:r>
    </w:p>
    <w:tbl>
      <w:tblPr>
        <w:tblStyle w:val="20"/>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3816"/>
        <w:gridCol w:w="42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序号</w:t>
            </w:r>
          </w:p>
        </w:tc>
        <w:tc>
          <w:tcPr>
            <w:tcW w:w="3816" w:type="dxa"/>
            <w:tcBorders>
              <w:bottom w:val="single" w:color="auto" w:sz="4" w:space="0"/>
            </w:tcBorders>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项     目</w:t>
            </w:r>
          </w:p>
        </w:tc>
        <w:tc>
          <w:tcPr>
            <w:tcW w:w="4284" w:type="dxa"/>
            <w:tcBorders>
              <w:bottom w:val="single" w:color="auto" w:sz="4" w:space="0"/>
            </w:tcBorders>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权值的取值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20" w:type="dxa"/>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w:t>
            </w:r>
          </w:p>
        </w:tc>
        <w:tc>
          <w:tcPr>
            <w:tcW w:w="3816" w:type="dxa"/>
            <w:tcBorders>
              <w:bottom w:val="single" w:color="auto" w:sz="4" w:space="0"/>
            </w:tcBorders>
            <w:noWrap w:val="0"/>
            <w:vAlign w:val="center"/>
          </w:tcPr>
          <w:p>
            <w:pPr>
              <w:adjustRightInd w:val="0"/>
              <w:snapToGrid w:val="0"/>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lang w:eastAsia="zh-CN"/>
              </w:rPr>
              <w:t>报价</w:t>
            </w:r>
          </w:p>
        </w:tc>
        <w:tc>
          <w:tcPr>
            <w:tcW w:w="4284" w:type="dxa"/>
            <w:noWrap w:val="0"/>
            <w:vAlign w:val="center"/>
          </w:tcPr>
          <w:p>
            <w:pPr>
              <w:adjustRightInd w:val="0"/>
              <w:snapToGrid w:val="0"/>
              <w:spacing w:line="360" w:lineRule="auto"/>
              <w:jc w:val="center"/>
              <w:rPr>
                <w:rFonts w:hint="default" w:asciiTheme="majorEastAsia" w:hAnsiTheme="majorEastAsia" w:eastAsiaTheme="majorEastAsia" w:cstheme="majorEastAsia"/>
                <w:color w:val="auto"/>
                <w:kern w:val="0"/>
                <w:szCs w:val="21"/>
                <w:lang w:val="en-US" w:eastAsia="zh-CN"/>
              </w:rPr>
            </w:pPr>
            <w:r>
              <w:rPr>
                <w:rFonts w:hint="eastAsia" w:ascii="宋体" w:hAnsi="宋体" w:eastAsiaTheme="majorEastAsia"/>
                <w:color w:val="auto"/>
                <w:szCs w:val="21"/>
                <w:highlight w:val="none"/>
                <w:lang w:val="en-US" w:eastAsia="zh-CN"/>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720" w:type="dxa"/>
            <w:tcBorders>
              <w:bottom w:val="single" w:color="auto" w:sz="4" w:space="0"/>
            </w:tcBorders>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2</w:t>
            </w:r>
          </w:p>
        </w:tc>
        <w:tc>
          <w:tcPr>
            <w:tcW w:w="3816" w:type="dxa"/>
            <w:tcBorders>
              <w:bottom w:val="single" w:color="auto" w:sz="4" w:space="0"/>
            </w:tcBorders>
            <w:noWrap w:val="0"/>
            <w:vAlign w:val="center"/>
          </w:tcPr>
          <w:p>
            <w:pPr>
              <w:adjustRightInd w:val="0"/>
              <w:snapToGrid w:val="0"/>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rPr>
              <w:t>技术部分</w:t>
            </w:r>
          </w:p>
        </w:tc>
        <w:tc>
          <w:tcPr>
            <w:tcW w:w="4284" w:type="dxa"/>
            <w:noWrap w:val="0"/>
            <w:vAlign w:val="center"/>
          </w:tcPr>
          <w:p>
            <w:pPr>
              <w:adjustRightInd w:val="0"/>
              <w:snapToGrid w:val="0"/>
              <w:spacing w:line="360" w:lineRule="auto"/>
              <w:jc w:val="center"/>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 w:hRule="atLeast"/>
        </w:trPr>
        <w:tc>
          <w:tcPr>
            <w:tcW w:w="720" w:type="dxa"/>
            <w:tcBorders>
              <w:top w:val="single" w:color="auto" w:sz="4" w:space="0"/>
            </w:tcBorders>
            <w:noWrap w:val="0"/>
            <w:vAlign w:val="center"/>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3</w:t>
            </w:r>
          </w:p>
        </w:tc>
        <w:tc>
          <w:tcPr>
            <w:tcW w:w="3816" w:type="dxa"/>
            <w:tcBorders>
              <w:top w:val="single" w:color="auto" w:sz="4" w:space="0"/>
            </w:tcBorders>
            <w:noWrap w:val="0"/>
            <w:vAlign w:val="center"/>
          </w:tcPr>
          <w:p>
            <w:pPr>
              <w:adjustRightInd w:val="0"/>
              <w:snapToGrid w:val="0"/>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lang w:eastAsia="zh-CN"/>
              </w:rPr>
              <w:t>商务部分</w:t>
            </w:r>
          </w:p>
        </w:tc>
        <w:tc>
          <w:tcPr>
            <w:tcW w:w="4284" w:type="dxa"/>
            <w:tcBorders>
              <w:bottom w:val="single" w:color="auto" w:sz="4" w:space="0"/>
            </w:tcBorders>
            <w:noWrap w:val="0"/>
            <w:vAlign w:val="center"/>
          </w:tcPr>
          <w:p>
            <w:pPr>
              <w:adjustRightInd w:val="0"/>
              <w:snapToGrid w:val="0"/>
              <w:spacing w:line="360" w:lineRule="auto"/>
              <w:jc w:val="center"/>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0.14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4536" w:type="dxa"/>
            <w:gridSpan w:val="2"/>
            <w:noWrap w:val="0"/>
            <w:vAlign w:val="top"/>
          </w:tcPr>
          <w:p>
            <w:pPr>
              <w:adjustRightInd w:val="0"/>
              <w:snapToGrid w:val="0"/>
              <w:spacing w:line="360" w:lineRule="auto"/>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∑(1+2+3)=1</w:t>
            </w:r>
          </w:p>
        </w:tc>
        <w:tc>
          <w:tcPr>
            <w:tcW w:w="4284" w:type="dxa"/>
            <w:noWrap w:val="0"/>
            <w:vAlign w:val="center"/>
          </w:tcPr>
          <w:p>
            <w:pPr>
              <w:adjustRightInd w:val="0"/>
              <w:snapToGrid w:val="0"/>
              <w:spacing w:line="360" w:lineRule="auto"/>
              <w:jc w:val="center"/>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r>
    </w:tbl>
    <w:p>
      <w:pPr>
        <w:tabs>
          <w:tab w:val="left" w:pos="0"/>
        </w:tabs>
        <w:adjustRightInd w:val="0"/>
        <w:snapToGrid w:val="0"/>
        <w:spacing w:before="120" w:beforeLines="50" w:line="360" w:lineRule="auto"/>
        <w:outlineLvl w:val="1"/>
        <w:rPr>
          <w:rFonts w:hint="eastAsia" w:asciiTheme="majorEastAsia" w:hAnsiTheme="majorEastAsia" w:eastAsiaTheme="majorEastAsia" w:cstheme="majorEastAsia"/>
          <w:b/>
          <w:bCs/>
          <w:color w:val="auto"/>
          <w:szCs w:val="21"/>
        </w:rPr>
      </w:pPr>
      <w:bookmarkStart w:id="50" w:name="_Toc2387"/>
      <w:r>
        <w:rPr>
          <w:rFonts w:hint="eastAsia" w:asciiTheme="majorEastAsia" w:hAnsiTheme="majorEastAsia" w:eastAsiaTheme="majorEastAsia" w:cstheme="majorEastAsia"/>
          <w:b/>
          <w:bCs/>
          <w:color w:val="auto"/>
          <w:szCs w:val="21"/>
        </w:rPr>
        <w:t>3.比较与评价</w:t>
      </w:r>
      <w:bookmarkEnd w:id="50"/>
    </w:p>
    <w:p>
      <w:pPr>
        <w:tabs>
          <w:tab w:val="left" w:pos="0"/>
        </w:tabs>
        <w:adjustRightInd w:val="0"/>
        <w:snapToGrid w:val="0"/>
        <w:spacing w:before="120" w:beforeLines="50" w:line="360" w:lineRule="auto"/>
        <w:ind w:firstLine="420" w:firstLineChars="2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3.1磋商小组应按照磋商文件中规定的评审方法、</w:t>
      </w:r>
      <w:r>
        <w:rPr>
          <w:rFonts w:hint="eastAsia" w:asciiTheme="majorEastAsia" w:hAnsiTheme="majorEastAsia" w:eastAsiaTheme="majorEastAsia" w:cstheme="majorEastAsia"/>
          <w:color w:val="auto"/>
          <w:szCs w:val="21"/>
        </w:rPr>
        <w:t>标准和评标因素，</w:t>
      </w:r>
      <w:r>
        <w:rPr>
          <w:rFonts w:hint="eastAsia" w:asciiTheme="majorEastAsia" w:hAnsiTheme="majorEastAsia" w:eastAsiaTheme="majorEastAsia" w:cstheme="majorEastAsia"/>
          <w:bCs/>
          <w:color w:val="auto"/>
          <w:szCs w:val="21"/>
        </w:rPr>
        <w:t>对</w:t>
      </w:r>
      <w:r>
        <w:rPr>
          <w:rFonts w:hint="eastAsia" w:asciiTheme="majorEastAsia" w:hAnsiTheme="majorEastAsia" w:eastAsiaTheme="majorEastAsia" w:cstheme="majorEastAsia"/>
          <w:color w:val="auto"/>
          <w:szCs w:val="21"/>
        </w:rPr>
        <w:t>资格性检查和符合性检查</w:t>
      </w:r>
      <w:r>
        <w:rPr>
          <w:rFonts w:hint="eastAsia" w:asciiTheme="majorEastAsia" w:hAnsiTheme="majorEastAsia" w:eastAsiaTheme="majorEastAsia" w:cstheme="majorEastAsia"/>
          <w:bCs/>
          <w:color w:val="auto"/>
          <w:szCs w:val="21"/>
        </w:rPr>
        <w:t>合格的响应文件进行评估，综合比较与评价。</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3.2最终</w:t>
      </w:r>
      <w:r>
        <w:rPr>
          <w:rFonts w:hint="eastAsia" w:asciiTheme="majorEastAsia" w:hAnsiTheme="majorEastAsia" w:eastAsiaTheme="majorEastAsia" w:cstheme="majorEastAsia"/>
          <w:color w:val="auto"/>
          <w:szCs w:val="21"/>
        </w:rPr>
        <w:t>报价评价。磋商小组以最终报价为基础，</w:t>
      </w:r>
      <w:r>
        <w:rPr>
          <w:rFonts w:hint="eastAsia" w:asciiTheme="majorEastAsia" w:hAnsiTheme="majorEastAsia" w:eastAsiaTheme="majorEastAsia" w:cstheme="majorEastAsia"/>
          <w:color w:val="auto"/>
          <w:kern w:val="0"/>
          <w:szCs w:val="21"/>
        </w:rPr>
        <w:t>依次</w:t>
      </w:r>
      <w:r>
        <w:rPr>
          <w:rFonts w:hint="eastAsia" w:asciiTheme="majorEastAsia" w:hAnsiTheme="majorEastAsia" w:eastAsiaTheme="majorEastAsia" w:cstheme="majorEastAsia"/>
          <w:color w:val="auto"/>
          <w:szCs w:val="21"/>
        </w:rPr>
        <w:t>对最终报价进行</w:t>
      </w:r>
      <w:r>
        <w:rPr>
          <w:rFonts w:hint="eastAsia" w:asciiTheme="majorEastAsia" w:hAnsiTheme="majorEastAsia" w:eastAsiaTheme="majorEastAsia" w:cstheme="majorEastAsia"/>
          <w:color w:val="auto"/>
          <w:kern w:val="0"/>
          <w:szCs w:val="21"/>
        </w:rPr>
        <w:t>算术</w:t>
      </w:r>
      <w:r>
        <w:rPr>
          <w:rFonts w:hint="eastAsia" w:asciiTheme="majorEastAsia" w:hAnsiTheme="majorEastAsia" w:eastAsiaTheme="majorEastAsia" w:cstheme="majorEastAsia"/>
          <w:color w:val="auto"/>
          <w:szCs w:val="21"/>
        </w:rPr>
        <w:t>修正和政府采购政策优惠价格扣除计算。</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bCs/>
          <w:color w:val="auto"/>
          <w:szCs w:val="21"/>
        </w:rPr>
        <w:t>3.3</w:t>
      </w:r>
      <w:r>
        <w:rPr>
          <w:rFonts w:hint="eastAsia" w:asciiTheme="majorEastAsia" w:hAnsiTheme="majorEastAsia" w:eastAsiaTheme="majorEastAsia" w:cstheme="majorEastAsia"/>
          <w:color w:val="auto"/>
          <w:kern w:val="0"/>
          <w:szCs w:val="21"/>
        </w:rPr>
        <w:t>价格分采用低价优先法计算，即满足磋商文件要求且最终报价最低的价格为评审基准价，其价格分为满分，其他</w:t>
      </w:r>
      <w:r>
        <w:rPr>
          <w:rFonts w:hint="eastAsia" w:asciiTheme="majorEastAsia" w:hAnsiTheme="majorEastAsia" w:eastAsiaTheme="majorEastAsia" w:cstheme="majorEastAsia"/>
          <w:color w:val="auto"/>
          <w:szCs w:val="21"/>
        </w:rPr>
        <w:t>有效</w:t>
      </w:r>
      <w:r>
        <w:rPr>
          <w:rFonts w:hint="eastAsia" w:asciiTheme="majorEastAsia" w:hAnsiTheme="majorEastAsia" w:eastAsiaTheme="majorEastAsia" w:cstheme="majorEastAsia"/>
          <w:color w:val="auto"/>
          <w:kern w:val="0"/>
          <w:szCs w:val="21"/>
        </w:rPr>
        <w:t>供应商的价格分按照下列公式计算：</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最终报价得分=(评审基准价／最终报价)×价格权值×100</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0"/>
          <w:szCs w:val="21"/>
        </w:rPr>
        <w:t>本项所称最终报价为按</w:t>
      </w:r>
      <w:r>
        <w:rPr>
          <w:rFonts w:hint="eastAsia" w:asciiTheme="majorEastAsia" w:hAnsiTheme="majorEastAsia" w:eastAsiaTheme="majorEastAsia" w:cstheme="majorEastAsia"/>
          <w:bCs/>
          <w:color w:val="auto"/>
          <w:szCs w:val="21"/>
        </w:rPr>
        <w:t>本章第3.2</w:t>
      </w:r>
      <w:r>
        <w:rPr>
          <w:rFonts w:hint="eastAsia" w:asciiTheme="majorEastAsia" w:hAnsiTheme="majorEastAsia" w:eastAsiaTheme="majorEastAsia" w:cstheme="majorEastAsia"/>
          <w:color w:val="auto"/>
          <w:kern w:val="0"/>
          <w:szCs w:val="21"/>
          <w:lang w:val="zh-CN"/>
        </w:rPr>
        <w:t>款</w:t>
      </w:r>
      <w:r>
        <w:rPr>
          <w:rFonts w:hint="eastAsia" w:asciiTheme="majorEastAsia" w:hAnsiTheme="majorEastAsia" w:eastAsiaTheme="majorEastAsia" w:cstheme="majorEastAsia"/>
          <w:bCs/>
          <w:color w:val="auto"/>
          <w:szCs w:val="21"/>
        </w:rPr>
        <w:t>规定</w:t>
      </w:r>
      <w:r>
        <w:rPr>
          <w:rFonts w:hint="eastAsia" w:asciiTheme="majorEastAsia" w:hAnsiTheme="majorEastAsia" w:eastAsiaTheme="majorEastAsia" w:cstheme="majorEastAsia"/>
          <w:color w:val="auto"/>
          <w:szCs w:val="21"/>
        </w:rPr>
        <w:t>价值扣除后的最终报价。</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3.4</w:t>
      </w:r>
      <w:r>
        <w:rPr>
          <w:rFonts w:hint="eastAsia" w:asciiTheme="majorEastAsia" w:hAnsiTheme="majorEastAsia" w:eastAsiaTheme="majorEastAsia" w:cstheme="majorEastAsia"/>
          <w:color w:val="auto"/>
          <w:szCs w:val="21"/>
        </w:rPr>
        <w:t>涉及政府采购政策优惠的，</w:t>
      </w:r>
      <w:r>
        <w:rPr>
          <w:rFonts w:hint="eastAsia" w:asciiTheme="majorEastAsia" w:hAnsiTheme="majorEastAsia" w:eastAsiaTheme="majorEastAsia" w:cstheme="majorEastAsia"/>
          <w:bCs/>
          <w:color w:val="auto"/>
          <w:szCs w:val="21"/>
        </w:rPr>
        <w:t>按</w:t>
      </w:r>
      <w:r>
        <w:rPr>
          <w:rFonts w:hint="eastAsia" w:asciiTheme="majorEastAsia" w:hAnsiTheme="majorEastAsia" w:eastAsiaTheme="majorEastAsia" w:cstheme="majorEastAsia"/>
          <w:b/>
          <w:color w:val="auto"/>
          <w:szCs w:val="21"/>
          <w:lang w:eastAsia="zh-CN"/>
        </w:rPr>
        <w:t>磋商须知前附表</w:t>
      </w:r>
      <w:r>
        <w:rPr>
          <w:rFonts w:hint="eastAsia" w:asciiTheme="majorEastAsia" w:hAnsiTheme="majorEastAsia" w:eastAsiaTheme="majorEastAsia" w:cstheme="majorEastAsia"/>
          <w:bCs/>
          <w:color w:val="auto"/>
          <w:szCs w:val="21"/>
        </w:rPr>
        <w:t>规定</w:t>
      </w:r>
      <w:r>
        <w:rPr>
          <w:rFonts w:hint="eastAsia" w:asciiTheme="majorEastAsia" w:hAnsiTheme="majorEastAsia" w:eastAsiaTheme="majorEastAsia" w:cstheme="majorEastAsia"/>
          <w:color w:val="auto"/>
          <w:szCs w:val="21"/>
        </w:rPr>
        <w:t>调整供应商的技术、价格</w:t>
      </w:r>
      <w:r>
        <w:rPr>
          <w:rFonts w:hint="eastAsia" w:asciiTheme="majorEastAsia" w:hAnsiTheme="majorEastAsia" w:eastAsiaTheme="majorEastAsia" w:cstheme="majorEastAsia"/>
          <w:color w:val="auto"/>
          <w:kern w:val="0"/>
          <w:szCs w:val="21"/>
        </w:rPr>
        <w:t>得分或总得分</w:t>
      </w:r>
      <w:r>
        <w:rPr>
          <w:rFonts w:hint="eastAsia" w:asciiTheme="majorEastAsia" w:hAnsiTheme="majorEastAsia" w:eastAsiaTheme="majorEastAsia" w:cstheme="majorEastAsia"/>
          <w:color w:val="auto"/>
          <w:szCs w:val="21"/>
        </w:rPr>
        <w:t>。</w:t>
      </w:r>
    </w:p>
    <w:p>
      <w:pPr>
        <w:adjustRightInd w:val="0"/>
        <w:snapToGrid w:val="0"/>
        <w:spacing w:before="120"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3.5涉及多处获得政府采购政策优惠的，涉及调整得分的，</w:t>
      </w:r>
      <w:r>
        <w:rPr>
          <w:rFonts w:hint="eastAsia" w:asciiTheme="majorEastAsia" w:hAnsiTheme="majorEastAsia" w:eastAsiaTheme="majorEastAsia" w:cstheme="majorEastAsia"/>
          <w:color w:val="auto"/>
          <w:kern w:val="0"/>
          <w:szCs w:val="21"/>
        </w:rPr>
        <w:t>按</w:t>
      </w:r>
      <w:r>
        <w:rPr>
          <w:rFonts w:hint="eastAsia" w:asciiTheme="majorEastAsia" w:hAnsiTheme="majorEastAsia" w:eastAsiaTheme="majorEastAsia" w:cstheme="majorEastAsia"/>
          <w:bCs/>
          <w:color w:val="auto"/>
          <w:szCs w:val="21"/>
        </w:rPr>
        <w:t>本章第3.4</w:t>
      </w:r>
      <w:r>
        <w:rPr>
          <w:rFonts w:hint="eastAsia" w:asciiTheme="majorEastAsia" w:hAnsiTheme="majorEastAsia" w:eastAsiaTheme="majorEastAsia" w:cstheme="majorEastAsia"/>
          <w:color w:val="auto"/>
          <w:kern w:val="0"/>
          <w:szCs w:val="21"/>
          <w:lang w:val="zh-CN"/>
        </w:rPr>
        <w:t>款</w:t>
      </w:r>
      <w:r>
        <w:rPr>
          <w:rFonts w:hint="eastAsia" w:asciiTheme="majorEastAsia" w:hAnsiTheme="majorEastAsia" w:eastAsiaTheme="majorEastAsia" w:cstheme="majorEastAsia"/>
          <w:bCs/>
          <w:color w:val="auto"/>
          <w:szCs w:val="21"/>
        </w:rPr>
        <w:t>规定</w:t>
      </w:r>
      <w:r>
        <w:rPr>
          <w:rFonts w:hint="eastAsia" w:asciiTheme="majorEastAsia" w:hAnsiTheme="majorEastAsia" w:eastAsiaTheme="majorEastAsia" w:cstheme="majorEastAsia"/>
          <w:color w:val="auto"/>
          <w:szCs w:val="21"/>
        </w:rPr>
        <w:t>调整得分；涉及调整价格的，</w:t>
      </w:r>
      <w:r>
        <w:rPr>
          <w:rFonts w:hint="eastAsia" w:asciiTheme="majorEastAsia" w:hAnsiTheme="majorEastAsia" w:eastAsiaTheme="majorEastAsia" w:cstheme="majorEastAsia"/>
          <w:color w:val="auto"/>
          <w:kern w:val="0"/>
          <w:szCs w:val="21"/>
        </w:rPr>
        <w:t>按</w:t>
      </w:r>
      <w:r>
        <w:rPr>
          <w:rFonts w:hint="eastAsia" w:asciiTheme="majorEastAsia" w:hAnsiTheme="majorEastAsia" w:eastAsiaTheme="majorEastAsia" w:cstheme="majorEastAsia"/>
          <w:bCs/>
          <w:color w:val="auto"/>
          <w:szCs w:val="21"/>
        </w:rPr>
        <w:t>本章第3.2</w:t>
      </w:r>
      <w:r>
        <w:rPr>
          <w:rFonts w:hint="eastAsia" w:asciiTheme="majorEastAsia" w:hAnsiTheme="majorEastAsia" w:eastAsiaTheme="majorEastAsia" w:cstheme="majorEastAsia"/>
          <w:color w:val="auto"/>
          <w:kern w:val="0"/>
          <w:szCs w:val="21"/>
          <w:lang w:val="zh-CN"/>
        </w:rPr>
        <w:t>款</w:t>
      </w:r>
      <w:r>
        <w:rPr>
          <w:rFonts w:hint="eastAsia" w:asciiTheme="majorEastAsia" w:hAnsiTheme="majorEastAsia" w:eastAsiaTheme="majorEastAsia" w:cstheme="majorEastAsia"/>
          <w:bCs/>
          <w:color w:val="auto"/>
          <w:szCs w:val="21"/>
        </w:rPr>
        <w:t>规定</w:t>
      </w:r>
      <w:r>
        <w:rPr>
          <w:rFonts w:hint="eastAsia" w:asciiTheme="majorEastAsia" w:hAnsiTheme="majorEastAsia" w:eastAsiaTheme="majorEastAsia" w:cstheme="majorEastAsia"/>
          <w:color w:val="auto"/>
          <w:szCs w:val="21"/>
        </w:rPr>
        <w:t>调整价格。综合调整见</w:t>
      </w:r>
      <w:r>
        <w:rPr>
          <w:rFonts w:hint="eastAsia" w:asciiTheme="majorEastAsia" w:hAnsiTheme="majorEastAsia" w:eastAsiaTheme="majorEastAsia" w:cstheme="majorEastAsia"/>
          <w:b/>
          <w:color w:val="auto"/>
          <w:szCs w:val="21"/>
          <w:lang w:eastAsia="zh-CN"/>
        </w:rPr>
        <w:t>磋商须知前附表</w:t>
      </w:r>
      <w:r>
        <w:rPr>
          <w:rFonts w:hint="eastAsia" w:asciiTheme="majorEastAsia" w:hAnsiTheme="majorEastAsia" w:eastAsiaTheme="majorEastAsia" w:cstheme="majorEastAsia"/>
          <w:color w:val="auto"/>
          <w:szCs w:val="21"/>
        </w:rPr>
        <w:t>相关规定。</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0"/>
          <w:szCs w:val="21"/>
        </w:rPr>
        <w:t>3.6</w:t>
      </w:r>
      <w:r>
        <w:rPr>
          <w:rFonts w:hint="eastAsia" w:asciiTheme="majorEastAsia" w:hAnsiTheme="majorEastAsia" w:eastAsiaTheme="majorEastAsia" w:cstheme="majorEastAsia"/>
          <w:color w:val="auto"/>
          <w:szCs w:val="21"/>
        </w:rPr>
        <w:t>评审时，磋商小组各成员应当独立对每个供应商的</w:t>
      </w:r>
      <w:r>
        <w:rPr>
          <w:rFonts w:hint="eastAsia" w:asciiTheme="majorEastAsia" w:hAnsiTheme="majorEastAsia" w:eastAsiaTheme="majorEastAsia" w:cstheme="majorEastAsia"/>
          <w:bCs/>
          <w:color w:val="auto"/>
          <w:szCs w:val="21"/>
        </w:rPr>
        <w:t>响应文件</w:t>
      </w:r>
      <w:r>
        <w:rPr>
          <w:rFonts w:hint="eastAsia" w:asciiTheme="majorEastAsia" w:hAnsiTheme="majorEastAsia" w:eastAsiaTheme="majorEastAsia" w:cstheme="majorEastAsia"/>
          <w:color w:val="auto"/>
          <w:szCs w:val="21"/>
        </w:rPr>
        <w:t>进行评价、评分，然后汇总每个供应商项评分因素的得分。</w:t>
      </w:r>
    </w:p>
    <w:p>
      <w:pPr>
        <w:widowControl/>
        <w:adjustRightInd w:val="0"/>
        <w:snapToGrid w:val="0"/>
        <w:spacing w:before="120" w:beforeLines="50" w:line="360" w:lineRule="auto"/>
        <w:ind w:firstLine="420" w:firstLineChars="200"/>
        <w:jc w:val="left"/>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3.7评分细则</w:t>
      </w:r>
    </w:p>
    <w:p>
      <w:pPr>
        <w:widowControl/>
        <w:adjustRightInd w:val="0"/>
        <w:snapToGrid w:val="0"/>
        <w:spacing w:before="120" w:beforeLines="50" w:line="360" w:lineRule="auto"/>
        <w:ind w:firstLine="422" w:firstLineChars="200"/>
        <w:jc w:val="center"/>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评 分 细 则</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725"/>
        <w:gridCol w:w="1281"/>
        <w:gridCol w:w="594"/>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465"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725"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项目</w:t>
            </w:r>
          </w:p>
        </w:tc>
        <w:tc>
          <w:tcPr>
            <w:tcW w:w="1281"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计分内容</w:t>
            </w:r>
          </w:p>
        </w:tc>
        <w:tc>
          <w:tcPr>
            <w:tcW w:w="594"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分值</w:t>
            </w:r>
          </w:p>
        </w:tc>
        <w:tc>
          <w:tcPr>
            <w:tcW w:w="5995" w:type="dxa"/>
            <w:noWrap w:val="0"/>
            <w:vAlign w:val="center"/>
          </w:tcPr>
          <w:p>
            <w:pPr>
              <w:tabs>
                <w:tab w:val="left" w:pos="0"/>
              </w:tabs>
              <w:adjustRightInd w:val="0"/>
              <w:snapToGrid w:val="0"/>
              <w:spacing w:before="120" w:beforeLines="50" w:line="360" w:lineRule="auto"/>
              <w:ind w:firstLine="422" w:firstLineChars="200"/>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465" w:type="dxa"/>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一</w:t>
            </w:r>
          </w:p>
        </w:tc>
        <w:tc>
          <w:tcPr>
            <w:tcW w:w="725" w:type="dxa"/>
            <w:noWrap w:val="0"/>
            <w:vAlign w:val="center"/>
          </w:tcPr>
          <w:p>
            <w:pPr>
              <w:tabs>
                <w:tab w:val="left" w:pos="0"/>
              </w:tabs>
              <w:adjustRightInd w:val="0"/>
              <w:snapToGrid w:val="0"/>
              <w:spacing w:before="120" w:beforeLines="50" w:line="240" w:lineRule="auto"/>
              <w:jc w:val="center"/>
              <w:rPr>
                <w:rFonts w:hint="eastAsia" w:ascii="宋体" w:hAnsi="宋体" w:eastAsia="宋体" w:cs="宋体"/>
                <w:bCs/>
                <w:color w:val="auto"/>
                <w:sz w:val="21"/>
                <w:szCs w:val="21"/>
                <w:lang w:val="ru-RU"/>
              </w:rPr>
            </w:pPr>
            <w:r>
              <w:rPr>
                <w:rFonts w:hint="eastAsia" w:ascii="宋体" w:hAnsi="宋体" w:eastAsia="宋体" w:cs="宋体"/>
                <w:bCs/>
                <w:color w:val="auto"/>
                <w:sz w:val="21"/>
                <w:szCs w:val="21"/>
                <w:lang w:val="ru-RU"/>
              </w:rPr>
              <w:t>报价</w:t>
            </w:r>
          </w:p>
          <w:p>
            <w:pPr>
              <w:tabs>
                <w:tab w:val="left" w:pos="0"/>
              </w:tabs>
              <w:adjustRightInd w:val="0"/>
              <w:snapToGrid w:val="0"/>
              <w:spacing w:before="120" w:beforeLines="50" w:line="240" w:lineRule="auto"/>
              <w:jc w:val="center"/>
              <w:rPr>
                <w:rFonts w:hint="eastAsia" w:ascii="宋体" w:hAnsi="宋体" w:eastAsia="宋体" w:cs="宋体"/>
                <w:bCs/>
                <w:color w:val="auto"/>
                <w:kern w:val="2"/>
                <w:sz w:val="21"/>
                <w:szCs w:val="21"/>
                <w:lang w:val="ru-RU" w:eastAsia="zh-CN" w:bidi="ar-SA"/>
              </w:rPr>
            </w:pPr>
            <w:r>
              <w:rPr>
                <w:rFonts w:hint="eastAsia" w:ascii="宋体" w:hAnsi="宋体" w:cs="宋体"/>
                <w:bCs/>
                <w:color w:val="auto"/>
                <w:sz w:val="21"/>
                <w:szCs w:val="21"/>
                <w:lang w:val="en-US" w:eastAsia="zh-CN"/>
              </w:rPr>
              <w:t>40</w:t>
            </w:r>
            <w:r>
              <w:rPr>
                <w:rFonts w:hint="eastAsia" w:ascii="宋体" w:hAnsi="宋体" w:eastAsia="宋体" w:cs="宋体"/>
                <w:bCs/>
                <w:color w:val="auto"/>
                <w:sz w:val="21"/>
                <w:szCs w:val="21"/>
                <w:lang w:val="ru-RU"/>
              </w:rPr>
              <w:t>分</w:t>
            </w:r>
          </w:p>
        </w:tc>
        <w:tc>
          <w:tcPr>
            <w:tcW w:w="1281" w:type="dxa"/>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kern w:val="2"/>
                <w:sz w:val="21"/>
                <w:szCs w:val="21"/>
                <w:lang w:val="ru-RU" w:eastAsia="zh-CN" w:bidi="ar-SA"/>
              </w:rPr>
            </w:pPr>
            <w:r>
              <w:rPr>
                <w:rFonts w:hint="eastAsia" w:ascii="宋体" w:hAnsi="宋体" w:eastAsia="宋体" w:cs="宋体"/>
                <w:bCs/>
                <w:color w:val="auto"/>
                <w:sz w:val="21"/>
                <w:szCs w:val="21"/>
                <w:lang w:val="ru-RU"/>
              </w:rPr>
              <w:t>投标总报价</w:t>
            </w:r>
          </w:p>
        </w:tc>
        <w:tc>
          <w:tcPr>
            <w:tcW w:w="594" w:type="dxa"/>
            <w:noWrap w:val="0"/>
            <w:vAlign w:val="center"/>
          </w:tcPr>
          <w:p>
            <w:pPr>
              <w:tabs>
                <w:tab w:val="left" w:pos="0"/>
              </w:tabs>
              <w:adjustRightInd w:val="0"/>
              <w:snapToGrid w:val="0"/>
              <w:spacing w:before="120" w:beforeLines="50" w:line="360" w:lineRule="auto"/>
              <w:jc w:val="center"/>
              <w:rPr>
                <w:rFonts w:hint="default" w:ascii="宋体" w:hAnsi="宋体" w:eastAsia="宋体" w:cs="宋体"/>
                <w:bCs/>
                <w:color w:val="auto"/>
                <w:kern w:val="2"/>
                <w:sz w:val="21"/>
                <w:szCs w:val="21"/>
                <w:lang w:val="en-US" w:eastAsia="zh-CN" w:bidi="ar-SA"/>
              </w:rPr>
            </w:pPr>
            <w:r>
              <w:rPr>
                <w:rFonts w:hint="eastAsia" w:ascii="宋体" w:hAnsi="宋体" w:cs="宋体"/>
                <w:bCs/>
                <w:color w:val="auto"/>
                <w:sz w:val="21"/>
                <w:szCs w:val="21"/>
                <w:lang w:val="en-US" w:eastAsia="zh-CN"/>
              </w:rPr>
              <w:t>40</w:t>
            </w:r>
          </w:p>
        </w:tc>
        <w:tc>
          <w:tcPr>
            <w:tcW w:w="5995" w:type="dxa"/>
            <w:noWrap w:val="0"/>
            <w:vAlign w:val="center"/>
          </w:tcPr>
          <w:p>
            <w:pPr>
              <w:tabs>
                <w:tab w:val="left" w:pos="0"/>
              </w:tabs>
              <w:adjustRightInd w:val="0"/>
              <w:snapToGrid w:val="0"/>
              <w:spacing w:before="120" w:beforeLines="50" w:line="360" w:lineRule="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 w:val="21"/>
                <w:szCs w:val="21"/>
              </w:rPr>
              <w:t>投标报价得分＝(评标基准价／投标报价)×</w:t>
            </w:r>
            <w:r>
              <w:rPr>
                <w:rFonts w:hint="eastAsia" w:ascii="宋体" w:hAnsi="宋体" w:cs="宋体"/>
                <w:bCs/>
                <w:color w:val="auto"/>
                <w:sz w:val="21"/>
                <w:szCs w:val="21"/>
                <w:lang w:val="en-US" w:eastAsia="zh-CN"/>
              </w:rPr>
              <w:t>40</w:t>
            </w:r>
            <w:r>
              <w:rPr>
                <w:rFonts w:hint="eastAsia" w:ascii="宋体" w:hAnsi="宋体" w:eastAsia="宋体" w:cs="宋体"/>
                <w:bCs/>
                <w:color w:val="auto"/>
                <w:sz w:val="21"/>
                <w:szCs w:val="21"/>
              </w:rPr>
              <w:t>；满足采购文件要求且投标价格最低的投标总报价为基准价。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6" w:hRule="atLeast"/>
          <w:jc w:val="center"/>
        </w:trPr>
        <w:tc>
          <w:tcPr>
            <w:tcW w:w="465" w:type="dxa"/>
            <w:vMerge w:val="restart"/>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二</w:t>
            </w:r>
          </w:p>
        </w:tc>
        <w:tc>
          <w:tcPr>
            <w:tcW w:w="725" w:type="dxa"/>
            <w:vMerge w:val="restart"/>
            <w:noWrap w:val="0"/>
            <w:vAlign w:val="center"/>
          </w:tcPr>
          <w:p>
            <w:pPr>
              <w:tabs>
                <w:tab w:val="left" w:pos="0"/>
              </w:tabs>
              <w:adjustRightInd w:val="0"/>
              <w:snapToGrid w:val="0"/>
              <w:spacing w:before="120" w:beforeLines="50"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技术</w:t>
            </w:r>
          </w:p>
          <w:p>
            <w:pPr>
              <w:tabs>
                <w:tab w:val="left" w:pos="0"/>
              </w:tabs>
              <w:adjustRightInd w:val="0"/>
              <w:snapToGrid w:val="0"/>
              <w:spacing w:before="120" w:beforeLines="50" w:line="24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部分</w:t>
            </w:r>
          </w:p>
          <w:p>
            <w:pPr>
              <w:tabs>
                <w:tab w:val="left" w:pos="0"/>
              </w:tabs>
              <w:adjustRightInd w:val="0"/>
              <w:snapToGrid w:val="0"/>
              <w:spacing w:before="120" w:beforeLines="50" w:line="240" w:lineRule="auto"/>
              <w:jc w:val="center"/>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40</w:t>
            </w:r>
            <w:r>
              <w:rPr>
                <w:rFonts w:hint="eastAsia" w:ascii="宋体" w:hAnsi="宋体" w:eastAsia="宋体" w:cs="宋体"/>
                <w:bCs/>
                <w:color w:val="auto"/>
                <w:sz w:val="21"/>
                <w:szCs w:val="21"/>
              </w:rPr>
              <w:t>分</w:t>
            </w:r>
          </w:p>
        </w:tc>
        <w:tc>
          <w:tcPr>
            <w:tcW w:w="1281" w:type="dxa"/>
            <w:noWrap w:val="0"/>
            <w:vAlign w:val="center"/>
          </w:tcPr>
          <w:p>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采购需求响应</w:t>
            </w:r>
          </w:p>
        </w:tc>
        <w:tc>
          <w:tcPr>
            <w:tcW w:w="594" w:type="dxa"/>
            <w:noWrap w:val="0"/>
            <w:vAlign w:val="center"/>
          </w:tcPr>
          <w:p>
            <w:pPr>
              <w:tabs>
                <w:tab w:val="left" w:pos="0"/>
              </w:tabs>
              <w:adjustRightInd w:val="0"/>
              <w:snapToGrid w:val="0"/>
              <w:spacing w:before="120" w:beforeLines="50" w:line="360" w:lineRule="auto"/>
              <w:jc w:val="center"/>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10</w:t>
            </w:r>
          </w:p>
        </w:tc>
        <w:tc>
          <w:tcPr>
            <w:tcW w:w="5995" w:type="dxa"/>
            <w:noWrap w:val="0"/>
            <w:vAlign w:val="center"/>
          </w:tcPr>
          <w:p>
            <w:pPr>
              <w:tabs>
                <w:tab w:val="left" w:pos="0"/>
              </w:tabs>
              <w:adjustRightInd w:val="0"/>
              <w:snapToGrid w:val="0"/>
              <w:spacing w:before="120" w:beforeLines="50" w:line="360" w:lineRule="auto"/>
              <w:rPr>
                <w:rFonts w:hint="eastAsia" w:ascii="宋体" w:hAnsi="宋体" w:eastAsia="宋体" w:cs="宋体"/>
                <w:bCs/>
                <w:color w:val="auto"/>
                <w:sz w:val="21"/>
                <w:szCs w:val="21"/>
                <w:lang w:eastAsia="zh-CN"/>
              </w:rPr>
            </w:pPr>
            <w:r>
              <w:rPr>
                <w:rFonts w:hint="eastAsia" w:ascii="宋体" w:hAnsi="宋体" w:eastAsia="宋体" w:cs="宋体"/>
                <w:color w:val="auto"/>
                <w:kern w:val="0"/>
                <w:sz w:val="21"/>
                <w:szCs w:val="21"/>
                <w:lang w:val="en-US" w:eastAsia="zh-CN"/>
              </w:rPr>
              <w:t>评标委员会将依据供应商的投标文件对采购需求进行评价，完全响应磋商文件要求的计10分，正偏离的不加分，无偏离的不扣分。非实质性要求条款每负偏离一项扣0.5分、方案阐述不详、服务技术要求不清、提供材料不齐的等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5" w:type="dxa"/>
            <w:vMerge w:val="continue"/>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240" w:lineRule="auto"/>
              <w:jc w:val="center"/>
              <w:rPr>
                <w:rFonts w:hint="eastAsia" w:ascii="宋体" w:hAnsi="宋体" w:eastAsia="宋体" w:cs="宋体"/>
                <w:bCs/>
                <w:color w:val="auto"/>
                <w:sz w:val="21"/>
                <w:szCs w:val="21"/>
                <w:lang w:val="en-US" w:eastAsia="zh-CN"/>
              </w:rPr>
            </w:pPr>
          </w:p>
        </w:tc>
        <w:tc>
          <w:tcPr>
            <w:tcW w:w="1281" w:type="dxa"/>
            <w:noWrap w:val="0"/>
            <w:vAlign w:val="center"/>
          </w:tcPr>
          <w:p>
            <w:pPr>
              <w:adjustRightInd w:val="0"/>
              <w:snapToGrid w:val="0"/>
              <w:jc w:val="center"/>
              <w:rPr>
                <w:rFonts w:hint="eastAsia" w:ascii="宋体" w:hAnsi="宋体" w:eastAsia="宋体" w:cs="宋体"/>
                <w:bCs/>
                <w:color w:val="auto"/>
                <w:kern w:val="2"/>
                <w:sz w:val="21"/>
                <w:szCs w:val="21"/>
                <w:lang w:val="ru-RU" w:eastAsia="zh-CN" w:bidi="ar-SA"/>
              </w:rPr>
            </w:pPr>
            <w:r>
              <w:rPr>
                <w:rFonts w:hint="eastAsia" w:ascii="宋体" w:hAnsi="宋体"/>
              </w:rPr>
              <w:t>产品成熟度及先进性</w:t>
            </w:r>
          </w:p>
        </w:tc>
        <w:tc>
          <w:tcPr>
            <w:tcW w:w="594" w:type="dxa"/>
            <w:noWrap w:val="0"/>
            <w:vAlign w:val="center"/>
          </w:tcPr>
          <w:p>
            <w:pPr>
              <w:jc w:val="center"/>
              <w:rPr>
                <w:rFonts w:hint="default" w:ascii="宋体" w:hAnsi="宋体" w:eastAsia="宋体" w:cs="宋体"/>
                <w:bCs/>
                <w:color w:val="auto"/>
                <w:kern w:val="2"/>
                <w:sz w:val="21"/>
                <w:szCs w:val="21"/>
                <w:lang w:val="en-US" w:eastAsia="zh-CN" w:bidi="ar-SA"/>
              </w:rPr>
            </w:pPr>
            <w:r>
              <w:rPr>
                <w:rFonts w:hint="eastAsia" w:ascii="宋体" w:hAnsi="宋体"/>
                <w:lang w:val="en-US" w:eastAsia="zh-CN"/>
              </w:rPr>
              <w:t>10</w:t>
            </w:r>
          </w:p>
        </w:tc>
        <w:tc>
          <w:tcPr>
            <w:tcW w:w="5995" w:type="dxa"/>
            <w:noWrap w:val="0"/>
            <w:vAlign w:val="center"/>
          </w:tcPr>
          <w:p>
            <w:pPr>
              <w:adjustRightInd w:val="0"/>
              <w:snapToGrid w:val="0"/>
              <w:jc w:val="left"/>
              <w:rPr>
                <w:rFonts w:hint="default" w:ascii="宋体" w:hAnsi="宋体" w:eastAsia="宋体" w:cs="宋体"/>
                <w:lang w:val="en-US" w:eastAsia="zh-CN" w:bidi="ar"/>
              </w:rPr>
            </w:pPr>
            <w:r>
              <w:rPr>
                <w:rFonts w:hint="eastAsia" w:ascii="宋体" w:hAnsi="宋体" w:cs="宋体"/>
                <w:lang w:bidi="ar"/>
              </w:rPr>
              <w:t>显示屏的外壳防护等级、像素失控率、硬件环境、软件环境、光学性能、电学性能、结构、安全要求、拼装精度、节能等相关技术参数的要求</w:t>
            </w:r>
            <w:r>
              <w:rPr>
                <w:rFonts w:hint="eastAsia" w:ascii="宋体" w:hAnsi="宋体" w:cs="宋体"/>
                <w:lang w:val="en-US" w:eastAsia="zh-CN" w:bidi="ar"/>
              </w:rPr>
              <w:t>综合评比：</w:t>
            </w:r>
          </w:p>
          <w:p>
            <w:pPr>
              <w:widowControl/>
              <w:adjustRightInd w:val="0"/>
              <w:snapToGrid w:val="0"/>
              <w:spacing w:before="120" w:beforeLines="50" w:line="24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1、产品</w:t>
            </w:r>
            <w:r>
              <w:rPr>
                <w:rFonts w:hint="eastAsia" w:ascii="宋体" w:hAnsi="宋体" w:cs="宋体"/>
                <w:lang w:bidi="ar"/>
              </w:rPr>
              <w:t>相关技术参数的要求</w:t>
            </w:r>
            <w:r>
              <w:rPr>
                <w:rFonts w:hint="eastAsia" w:ascii="宋体" w:hAnsi="宋体" w:eastAsia="宋体" w:cs="宋体"/>
                <w:color w:val="auto"/>
                <w:szCs w:val="21"/>
                <w:lang w:val="en-US" w:eastAsia="zh-CN"/>
              </w:rPr>
              <w:t>完全</w:t>
            </w:r>
            <w:r>
              <w:rPr>
                <w:rFonts w:hint="eastAsia" w:ascii="宋体" w:hAnsi="宋体" w:eastAsia="宋体" w:cs="宋体"/>
                <w:color w:val="auto"/>
                <w:szCs w:val="21"/>
                <w:lang w:eastAsia="zh-CN"/>
              </w:rPr>
              <w:t>合理的计</w:t>
            </w:r>
            <w:r>
              <w:rPr>
                <w:rFonts w:hint="eastAsia" w:ascii="宋体" w:hAnsi="宋体" w:cs="宋体"/>
                <w:color w:val="auto"/>
                <w:szCs w:val="21"/>
                <w:lang w:val="en-US" w:eastAsia="zh-CN"/>
              </w:rPr>
              <w:t>10</w:t>
            </w:r>
            <w:r>
              <w:rPr>
                <w:rFonts w:hint="eastAsia" w:ascii="宋体" w:hAnsi="宋体" w:eastAsia="宋体" w:cs="宋体"/>
                <w:color w:val="auto"/>
                <w:szCs w:val="21"/>
                <w:lang w:val="en-US" w:eastAsia="zh-CN"/>
              </w:rPr>
              <w:t>分</w:t>
            </w:r>
            <w:r>
              <w:rPr>
                <w:rFonts w:hint="eastAsia" w:ascii="宋体" w:hAnsi="宋体" w:cs="宋体"/>
                <w:color w:val="auto"/>
                <w:szCs w:val="21"/>
                <w:lang w:val="en-US" w:eastAsia="zh-CN"/>
              </w:rPr>
              <w:t>；</w:t>
            </w:r>
          </w:p>
          <w:p>
            <w:pPr>
              <w:widowControl/>
              <w:adjustRightInd w:val="0"/>
              <w:snapToGrid w:val="0"/>
              <w:spacing w:before="120" w:beforeLines="50" w:line="24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2、产品</w:t>
            </w:r>
            <w:r>
              <w:rPr>
                <w:rFonts w:hint="eastAsia" w:ascii="宋体" w:hAnsi="宋体" w:cs="宋体"/>
                <w:lang w:bidi="ar"/>
              </w:rPr>
              <w:t>相关技术参数的要求</w:t>
            </w:r>
            <w:r>
              <w:rPr>
                <w:rFonts w:hint="eastAsia" w:ascii="宋体" w:hAnsi="宋体" w:eastAsia="宋体" w:cs="宋体"/>
                <w:color w:val="auto"/>
                <w:szCs w:val="21"/>
                <w:lang w:val="en-US" w:eastAsia="zh-CN"/>
              </w:rPr>
              <w:t>基本可行的计6分；</w:t>
            </w:r>
          </w:p>
          <w:p>
            <w:pPr>
              <w:widowControl/>
              <w:adjustRightInd w:val="0"/>
              <w:snapToGrid w:val="0"/>
              <w:spacing w:before="120" w:beforeLines="50" w:line="24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3、产品</w:t>
            </w:r>
            <w:r>
              <w:rPr>
                <w:rFonts w:hint="eastAsia" w:ascii="宋体" w:hAnsi="宋体" w:cs="宋体"/>
                <w:lang w:bidi="ar"/>
              </w:rPr>
              <w:t>相关技术参数的要求</w:t>
            </w:r>
            <w:r>
              <w:rPr>
                <w:rFonts w:hint="eastAsia" w:ascii="宋体" w:hAnsi="宋体" w:eastAsia="宋体" w:cs="宋体"/>
                <w:color w:val="auto"/>
                <w:szCs w:val="21"/>
                <w:lang w:val="en-US" w:eastAsia="zh-CN"/>
              </w:rPr>
              <w:t>有缺陷的计2分。</w:t>
            </w:r>
          </w:p>
          <w:p>
            <w:pPr>
              <w:adjustRightInd w:val="0"/>
              <w:snapToGrid w:val="0"/>
              <w:jc w:val="left"/>
              <w:rPr>
                <w:rFonts w:hint="eastAsia" w:ascii="宋体" w:hAnsi="宋体" w:eastAsia="宋体" w:cs="宋体"/>
                <w:bCs/>
                <w:color w:val="auto"/>
                <w:kern w:val="2"/>
                <w:sz w:val="21"/>
                <w:szCs w:val="21"/>
                <w:lang w:val="en-US" w:eastAsia="zh-CN" w:bidi="ar-SA"/>
              </w:rPr>
            </w:pPr>
            <w:r>
              <w:rPr>
                <w:rFonts w:hint="eastAsia" w:ascii="宋体" w:hAnsi="宋体"/>
              </w:rPr>
              <w:t>（以上提供相关证明资料的复印件，并加盖</w:t>
            </w:r>
            <w:r>
              <w:rPr>
                <w:rFonts w:hint="eastAsia" w:ascii="宋体" w:hAnsi="宋体"/>
                <w:lang w:val="en-US" w:eastAsia="zh-CN"/>
              </w:rPr>
              <w:t>投标人</w:t>
            </w:r>
            <w:r>
              <w:rPr>
                <w:rFonts w:hint="eastAsia" w:ascii="宋体" w:hAnsi="宋体"/>
              </w:rPr>
              <w:t>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1281" w:type="dxa"/>
            <w:noWrap w:val="0"/>
            <w:vAlign w:val="center"/>
          </w:tcPr>
          <w:p>
            <w:pPr>
              <w:adjustRightInd w:val="0"/>
              <w:snapToGrid w:val="0"/>
              <w:jc w:val="center"/>
              <w:rPr>
                <w:rFonts w:hint="eastAsia" w:ascii="宋体" w:hAnsi="宋体" w:eastAsia="宋体" w:cs="宋体"/>
                <w:bCs/>
                <w:color w:val="auto"/>
                <w:sz w:val="21"/>
                <w:szCs w:val="21"/>
                <w:lang w:val="ru-RU" w:eastAsia="zh-CN"/>
              </w:rPr>
            </w:pPr>
            <w:r>
              <w:rPr>
                <w:rFonts w:hint="eastAsia" w:ascii="宋体" w:hAnsi="宋体"/>
              </w:rPr>
              <w:t>项目实施方案</w:t>
            </w:r>
          </w:p>
        </w:tc>
        <w:tc>
          <w:tcPr>
            <w:tcW w:w="594" w:type="dxa"/>
            <w:noWrap w:val="0"/>
            <w:vAlign w:val="center"/>
          </w:tcPr>
          <w:p>
            <w:pPr>
              <w:jc w:val="center"/>
              <w:rPr>
                <w:rFonts w:hint="default" w:ascii="宋体" w:hAnsi="宋体" w:eastAsia="宋体" w:cs="宋体"/>
                <w:bCs/>
                <w:color w:val="auto"/>
                <w:sz w:val="21"/>
                <w:szCs w:val="21"/>
                <w:lang w:val="en-US" w:eastAsia="zh-CN"/>
              </w:rPr>
            </w:pPr>
            <w:r>
              <w:rPr>
                <w:rFonts w:hint="eastAsia" w:ascii="宋体" w:hAnsi="宋体"/>
                <w:lang w:val="en-US" w:eastAsia="zh-CN"/>
              </w:rPr>
              <w:t>10</w:t>
            </w:r>
          </w:p>
        </w:tc>
        <w:tc>
          <w:tcPr>
            <w:tcW w:w="5995" w:type="dxa"/>
            <w:noWrap w:val="0"/>
            <w:vAlign w:val="center"/>
          </w:tcPr>
          <w:p>
            <w:pPr>
              <w:adjustRightInd w:val="0"/>
              <w:snapToGrid w:val="0"/>
              <w:jc w:val="left"/>
              <w:rPr>
                <w:rFonts w:ascii="宋体" w:hAnsi="宋体"/>
                <w:szCs w:val="21"/>
              </w:rPr>
            </w:pPr>
            <w:r>
              <w:rPr>
                <w:rFonts w:hint="eastAsia" w:ascii="宋体" w:hAnsi="宋体"/>
              </w:rPr>
              <w:t>投标</w:t>
            </w:r>
            <w:r>
              <w:rPr>
                <w:rFonts w:hint="eastAsia" w:ascii="宋体" w:hAnsi="宋体"/>
                <w:lang w:val="en-US" w:eastAsia="zh-CN"/>
              </w:rPr>
              <w:t>人</w:t>
            </w:r>
            <w:r>
              <w:rPr>
                <w:rFonts w:hint="eastAsia" w:ascii="宋体" w:hAnsi="宋体"/>
              </w:rPr>
              <w:t>需针对项目现场情况出具详细的项目实施方案：项目质量管理、人员配备和分工、项目进度计划及保障措施、项目施工组织协调、安装方法及流程、系统调试及验收方案等方案措施进行</w:t>
            </w:r>
            <w:r>
              <w:rPr>
                <w:rFonts w:hint="eastAsia" w:ascii="宋体" w:hAnsi="宋体"/>
                <w:lang w:val="en-US" w:eastAsia="zh-CN"/>
              </w:rPr>
              <w:t>综合评比</w:t>
            </w:r>
            <w:r>
              <w:rPr>
                <w:rFonts w:hint="eastAsia" w:ascii="宋体" w:hAnsi="宋体"/>
              </w:rPr>
              <w:t>：</w:t>
            </w:r>
          </w:p>
          <w:p>
            <w:pPr>
              <w:adjustRightInd w:val="0"/>
              <w:snapToGrid w:val="0"/>
              <w:jc w:val="left"/>
              <w:rPr>
                <w:rFonts w:ascii="宋体" w:hAnsi="宋体"/>
              </w:rPr>
            </w:pPr>
            <w:r>
              <w:rPr>
                <w:rFonts w:hint="eastAsia" w:ascii="宋体" w:hAnsi="宋体"/>
              </w:rPr>
              <w:t>1、项目实施方案全面，措施科学有效，人员配备科学合理，分工明确，项目进度计划及保障措施全面，施工组织协调全面细致，安装方法及流程清晰，系统调试及验收方案科学全面，计</w:t>
            </w:r>
            <w:r>
              <w:rPr>
                <w:rFonts w:hint="eastAsia" w:ascii="宋体" w:hAnsi="宋体"/>
                <w:lang w:val="en-US" w:eastAsia="zh-CN"/>
              </w:rPr>
              <w:t>10</w:t>
            </w:r>
            <w:r>
              <w:rPr>
                <w:rFonts w:hint="eastAsia" w:ascii="宋体" w:hAnsi="宋体"/>
              </w:rPr>
              <w:t>分；</w:t>
            </w:r>
          </w:p>
          <w:p>
            <w:pPr>
              <w:adjustRightInd w:val="0"/>
              <w:snapToGrid w:val="0"/>
              <w:jc w:val="left"/>
              <w:rPr>
                <w:rFonts w:ascii="宋体" w:hAnsi="宋体"/>
              </w:rPr>
            </w:pPr>
            <w:r>
              <w:rPr>
                <w:rFonts w:hint="eastAsia" w:ascii="宋体" w:hAnsi="宋体"/>
              </w:rPr>
              <w:t>2、项目实施方案较全面，措施较科学较有效，人员配备较科学合理，分工较明确，项目进度计划及保障措施较全面，施工组织协调较全面细致，安装方法及流程较清晰，系统调试及验收方案较科学全面，计</w:t>
            </w:r>
            <w:r>
              <w:rPr>
                <w:rFonts w:hint="eastAsia" w:ascii="宋体" w:hAnsi="宋体"/>
                <w:lang w:val="en-US" w:eastAsia="zh-CN"/>
              </w:rPr>
              <w:t>8</w:t>
            </w:r>
            <w:r>
              <w:rPr>
                <w:rFonts w:hint="eastAsia" w:ascii="宋体" w:hAnsi="宋体"/>
              </w:rPr>
              <w:t>分；</w:t>
            </w:r>
          </w:p>
          <w:p>
            <w:pPr>
              <w:adjustRightInd w:val="0"/>
              <w:snapToGrid w:val="0"/>
              <w:jc w:val="left"/>
              <w:rPr>
                <w:rFonts w:ascii="宋体" w:hAnsi="宋体"/>
              </w:rPr>
            </w:pPr>
            <w:r>
              <w:rPr>
                <w:rFonts w:hint="eastAsia" w:ascii="宋体" w:hAnsi="宋体"/>
              </w:rPr>
              <w:t>3、项目实施方案一般，人员配备基本满足，分工较明确，项目进度计划及保障措施及施工组织协调，安装方法及流程一般，系统调试及验收方案一般，计</w:t>
            </w:r>
            <w:r>
              <w:rPr>
                <w:rFonts w:hint="eastAsia" w:ascii="宋体" w:hAnsi="宋体"/>
                <w:lang w:val="en-US" w:eastAsia="zh-CN"/>
              </w:rPr>
              <w:t>6</w:t>
            </w:r>
            <w:r>
              <w:rPr>
                <w:rFonts w:hint="eastAsia" w:ascii="宋体" w:hAnsi="宋体"/>
              </w:rPr>
              <w:t>分；</w:t>
            </w:r>
          </w:p>
          <w:p>
            <w:pPr>
              <w:adjustRightInd w:val="0"/>
              <w:snapToGrid w:val="0"/>
              <w:jc w:val="left"/>
              <w:rPr>
                <w:rFonts w:ascii="宋体" w:hAnsi="宋体"/>
              </w:rPr>
            </w:pPr>
            <w:r>
              <w:rPr>
                <w:rFonts w:hint="eastAsia" w:ascii="宋体" w:hAnsi="宋体"/>
              </w:rPr>
              <w:t>4、项目实施方案整体较差，内容缺漏严重，计</w:t>
            </w:r>
            <w:r>
              <w:rPr>
                <w:rFonts w:hint="eastAsia" w:ascii="宋体" w:hAnsi="宋体"/>
                <w:lang w:val="en-US" w:eastAsia="zh-CN"/>
              </w:rPr>
              <w:t>4</w:t>
            </w:r>
            <w:r>
              <w:rPr>
                <w:rFonts w:hint="eastAsia" w:ascii="宋体" w:hAnsi="宋体"/>
              </w:rPr>
              <w:t>分。</w:t>
            </w:r>
            <w:r>
              <w:rPr>
                <w:rFonts w:ascii="宋体" w:hAnsi="宋体"/>
              </w:rPr>
              <w:t xml:space="preserve"> </w:t>
            </w:r>
          </w:p>
          <w:p>
            <w:pPr>
              <w:adjustRightInd w:val="0"/>
              <w:snapToGrid w:val="0"/>
              <w:jc w:val="left"/>
              <w:rPr>
                <w:rFonts w:hint="eastAsia" w:ascii="宋体" w:hAnsi="宋体" w:eastAsia="宋体" w:cs="宋体"/>
                <w:bCs/>
                <w:color w:val="auto"/>
                <w:sz w:val="21"/>
                <w:szCs w:val="21"/>
                <w:lang w:val="en-US" w:eastAsia="zh-CN"/>
              </w:rPr>
            </w:pPr>
            <w:r>
              <w:rPr>
                <w:rFonts w:ascii="宋体" w:hAnsi="宋体"/>
              </w:rPr>
              <w:t>5、未提供相关证明材料的不计分。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1281" w:type="dxa"/>
            <w:noWrap w:val="0"/>
            <w:vAlign w:val="center"/>
          </w:tcPr>
          <w:p>
            <w:pPr>
              <w:adjustRightInd w:val="0"/>
              <w:snapToGrid w:val="0"/>
              <w:jc w:val="center"/>
              <w:rPr>
                <w:rFonts w:hint="eastAsia" w:ascii="宋体" w:hAnsi="宋体" w:eastAsia="宋体" w:cs="宋体"/>
                <w:bCs/>
                <w:color w:val="auto"/>
                <w:sz w:val="21"/>
                <w:szCs w:val="21"/>
                <w:lang w:val="ru-RU" w:eastAsia="zh-CN"/>
              </w:rPr>
            </w:pPr>
            <w:r>
              <w:rPr>
                <w:rFonts w:hint="eastAsia" w:ascii="宋体" w:hAnsi="宋体"/>
                <w:szCs w:val="21"/>
              </w:rPr>
              <w:t>质量保证期</w:t>
            </w:r>
          </w:p>
        </w:tc>
        <w:tc>
          <w:tcPr>
            <w:tcW w:w="594"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lang w:val="en-US" w:eastAsia="zh-CN"/>
              </w:rPr>
              <w:t>6</w:t>
            </w:r>
          </w:p>
        </w:tc>
        <w:tc>
          <w:tcPr>
            <w:tcW w:w="5995" w:type="dxa"/>
            <w:noWrap w:val="0"/>
            <w:vAlign w:val="center"/>
          </w:tcPr>
          <w:p>
            <w:pPr>
              <w:adjustRightInd w:val="0"/>
              <w:snapToGrid w:val="0"/>
              <w:jc w:val="left"/>
              <w:rPr>
                <w:rFonts w:hint="eastAsia" w:ascii="宋体" w:hAnsi="宋体" w:eastAsia="宋体"/>
                <w:szCs w:val="21"/>
                <w:lang w:eastAsia="zh-CN"/>
              </w:rPr>
            </w:pPr>
            <w:r>
              <w:rPr>
                <w:rFonts w:hint="eastAsia" w:ascii="宋体" w:hAnsi="宋体"/>
                <w:szCs w:val="21"/>
              </w:rPr>
              <w:t>根据采购需求提出的售后服务要求年限</w:t>
            </w:r>
            <w:r>
              <w:rPr>
                <w:rFonts w:hint="eastAsia" w:ascii="宋体" w:hAnsi="宋体"/>
                <w:szCs w:val="21"/>
                <w:lang w:eastAsia="zh-CN"/>
              </w:rPr>
              <w:t>：</w:t>
            </w:r>
          </w:p>
          <w:p>
            <w:pPr>
              <w:numPr>
                <w:ilvl w:val="0"/>
                <w:numId w:val="1"/>
              </w:numPr>
              <w:adjustRightInd w:val="0"/>
              <w:snapToGrid w:val="0"/>
              <w:jc w:val="left"/>
              <w:rPr>
                <w:rFonts w:hint="eastAsia" w:ascii="宋体" w:hAnsi="宋体"/>
                <w:szCs w:val="21"/>
              </w:rPr>
            </w:pPr>
            <w:r>
              <w:rPr>
                <w:rFonts w:hint="eastAsia" w:ascii="宋体" w:hAnsi="宋体"/>
                <w:szCs w:val="21"/>
              </w:rPr>
              <w:t>额外增加免费五年及以上的质保服务的得</w:t>
            </w:r>
            <w:r>
              <w:rPr>
                <w:rFonts w:hint="eastAsia" w:ascii="宋体" w:hAnsi="宋体"/>
                <w:lang w:val="en-US" w:eastAsia="zh-CN"/>
              </w:rPr>
              <w:t>6</w:t>
            </w:r>
            <w:r>
              <w:rPr>
                <w:rFonts w:hint="eastAsia" w:ascii="宋体" w:hAnsi="宋体"/>
                <w:szCs w:val="21"/>
              </w:rPr>
              <w:t>分，</w:t>
            </w:r>
          </w:p>
          <w:p>
            <w:pPr>
              <w:numPr>
                <w:ilvl w:val="0"/>
                <w:numId w:val="1"/>
              </w:numPr>
              <w:adjustRightInd w:val="0"/>
              <w:snapToGrid w:val="0"/>
              <w:jc w:val="left"/>
              <w:rPr>
                <w:rFonts w:hint="eastAsia" w:ascii="宋体" w:hAnsi="宋体" w:eastAsia="宋体" w:cs="宋体"/>
                <w:bCs/>
                <w:color w:val="auto"/>
                <w:sz w:val="21"/>
                <w:szCs w:val="21"/>
                <w:lang w:eastAsia="zh-CN"/>
              </w:rPr>
            </w:pPr>
            <w:r>
              <w:rPr>
                <w:rFonts w:hint="eastAsia" w:ascii="宋体" w:hAnsi="宋体"/>
                <w:szCs w:val="21"/>
              </w:rPr>
              <w:t>额外增加免费</w:t>
            </w:r>
            <w:r>
              <w:rPr>
                <w:rFonts w:ascii="宋体" w:hAnsi="宋体"/>
              </w:rPr>
              <w:t>四</w:t>
            </w:r>
            <w:r>
              <w:rPr>
                <w:rFonts w:hint="eastAsia" w:ascii="宋体" w:hAnsi="宋体"/>
                <w:szCs w:val="21"/>
              </w:rPr>
              <w:t>年及以上的质保服务的得</w:t>
            </w:r>
            <w:r>
              <w:rPr>
                <w:rFonts w:hint="eastAsia" w:ascii="宋体" w:hAnsi="宋体"/>
                <w:lang w:val="en-US" w:eastAsia="zh-CN"/>
              </w:rPr>
              <w:t>4</w:t>
            </w:r>
            <w:r>
              <w:rPr>
                <w:rFonts w:hint="eastAsia" w:ascii="宋体" w:hAnsi="宋体"/>
                <w:szCs w:val="21"/>
              </w:rPr>
              <w:t>分，</w:t>
            </w:r>
          </w:p>
          <w:p>
            <w:pPr>
              <w:numPr>
                <w:ilvl w:val="0"/>
                <w:numId w:val="1"/>
              </w:numPr>
              <w:adjustRightInd w:val="0"/>
              <w:snapToGrid w:val="0"/>
              <w:jc w:val="left"/>
              <w:rPr>
                <w:rFonts w:hint="eastAsia" w:ascii="宋体" w:hAnsi="宋体" w:eastAsia="宋体" w:cs="宋体"/>
                <w:bCs/>
                <w:color w:val="auto"/>
                <w:sz w:val="21"/>
                <w:szCs w:val="21"/>
                <w:lang w:eastAsia="zh-CN"/>
              </w:rPr>
            </w:pPr>
            <w:r>
              <w:rPr>
                <w:rFonts w:hint="eastAsia" w:ascii="宋体" w:hAnsi="宋体"/>
                <w:szCs w:val="21"/>
              </w:rPr>
              <w:t>额外增加免费</w:t>
            </w:r>
            <w:r>
              <w:rPr>
                <w:rFonts w:ascii="宋体" w:hAnsi="宋体"/>
              </w:rPr>
              <w:t>三</w:t>
            </w:r>
            <w:r>
              <w:rPr>
                <w:rFonts w:hint="eastAsia" w:ascii="宋体" w:hAnsi="宋体"/>
                <w:szCs w:val="21"/>
              </w:rPr>
              <w:t>年及以上的质保服务的得</w:t>
            </w:r>
            <w:r>
              <w:rPr>
                <w:rFonts w:ascii="宋体" w:hAnsi="宋体"/>
              </w:rPr>
              <w:t>2</w:t>
            </w:r>
            <w:r>
              <w:rPr>
                <w:rFonts w:hint="eastAsia" w:ascii="宋体" w:hAnsi="宋体"/>
                <w:szCs w:val="21"/>
              </w:rPr>
              <w:t>分。</w:t>
            </w:r>
          </w:p>
          <w:p>
            <w:pPr>
              <w:numPr>
                <w:ilvl w:val="0"/>
                <w:numId w:val="0"/>
              </w:numPr>
              <w:adjustRightInd w:val="0"/>
              <w:snapToGrid w:val="0"/>
              <w:jc w:val="left"/>
              <w:rPr>
                <w:rFonts w:hint="eastAsia" w:ascii="宋体" w:hAnsi="宋体" w:eastAsia="宋体" w:cs="宋体"/>
                <w:bCs/>
                <w:color w:val="auto"/>
                <w:sz w:val="21"/>
                <w:szCs w:val="21"/>
                <w:lang w:eastAsia="zh-CN"/>
              </w:rPr>
            </w:pPr>
            <w:r>
              <w:rPr>
                <w:rFonts w:hint="eastAsia" w:ascii="宋体" w:hAnsi="宋体"/>
                <w:szCs w:val="21"/>
                <w:lang w:val="en-US" w:eastAsia="zh-CN"/>
              </w:rPr>
              <w:t>4、</w:t>
            </w:r>
            <w:r>
              <w:rPr>
                <w:rFonts w:hint="eastAsia" w:ascii="宋体" w:hAnsi="宋体"/>
                <w:szCs w:val="21"/>
              </w:rPr>
              <w:t>未按要求提供相关证明材料或者与要求不相符的的不</w:t>
            </w:r>
            <w:r>
              <w:rPr>
                <w:rFonts w:hint="eastAsia" w:ascii="宋体" w:hAnsi="宋体"/>
                <w:szCs w:val="21"/>
                <w:lang w:val="en-US" w:eastAsia="zh-CN"/>
              </w:rPr>
              <w:t>计</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7"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1281" w:type="dxa"/>
            <w:noWrap w:val="0"/>
            <w:vAlign w:val="center"/>
          </w:tcPr>
          <w:p>
            <w:pPr>
              <w:adjustRightInd w:val="0"/>
              <w:snapToGrid w:val="0"/>
              <w:jc w:val="center"/>
              <w:rPr>
                <w:rFonts w:hint="eastAsia" w:ascii="宋体" w:hAnsi="宋体" w:eastAsia="宋体" w:cs="宋体"/>
                <w:bCs/>
                <w:color w:val="auto"/>
                <w:sz w:val="21"/>
                <w:szCs w:val="21"/>
                <w:lang w:val="ru-RU" w:eastAsia="zh-CN"/>
              </w:rPr>
            </w:pPr>
            <w:r>
              <w:rPr>
                <w:rFonts w:hint="eastAsia" w:ascii="宋体" w:hAnsi="宋体"/>
                <w:szCs w:val="21"/>
              </w:rPr>
              <w:t>项目实施团队</w:t>
            </w:r>
          </w:p>
        </w:tc>
        <w:tc>
          <w:tcPr>
            <w:tcW w:w="594" w:type="dxa"/>
            <w:noWrap w:val="0"/>
            <w:vAlign w:val="center"/>
          </w:tcPr>
          <w:p>
            <w:pPr>
              <w:jc w:val="center"/>
              <w:rPr>
                <w:rFonts w:hint="eastAsia" w:ascii="宋体" w:hAnsi="宋体" w:eastAsia="宋体" w:cs="宋体"/>
                <w:bCs/>
                <w:color w:val="auto"/>
                <w:sz w:val="21"/>
                <w:szCs w:val="21"/>
                <w:lang w:val="en-US" w:eastAsia="zh-CN"/>
              </w:rPr>
            </w:pPr>
            <w:r>
              <w:rPr>
                <w:rFonts w:hint="eastAsia" w:ascii="宋体" w:hAnsi="宋体"/>
                <w:lang w:val="en-US" w:eastAsia="zh-CN"/>
              </w:rPr>
              <w:t>4</w:t>
            </w:r>
          </w:p>
        </w:tc>
        <w:tc>
          <w:tcPr>
            <w:tcW w:w="5995" w:type="dxa"/>
            <w:noWrap w:val="0"/>
            <w:vAlign w:val="center"/>
          </w:tcPr>
          <w:p>
            <w:pPr>
              <w:adjustRightInd w:val="0"/>
              <w:snapToGrid w:val="0"/>
              <w:jc w:val="left"/>
              <w:rPr>
                <w:rFonts w:ascii="宋体" w:hAnsi="宋体"/>
                <w:szCs w:val="21"/>
              </w:rPr>
            </w:pPr>
            <w:r>
              <w:rPr>
                <w:rFonts w:hint="eastAsia" w:ascii="宋体" w:hAnsi="宋体"/>
                <w:szCs w:val="21"/>
              </w:rPr>
              <w:t>1、供应商项目实施团队项目经理具备机电专业二级及以上注册建造师的计</w:t>
            </w:r>
            <w:r>
              <w:rPr>
                <w:rFonts w:hint="eastAsia" w:ascii="宋体" w:hAnsi="宋体"/>
                <w:szCs w:val="21"/>
                <w:lang w:val="en-US" w:eastAsia="zh-CN"/>
              </w:rPr>
              <w:t>2</w:t>
            </w:r>
            <w:r>
              <w:rPr>
                <w:rFonts w:hint="eastAsia" w:ascii="宋体" w:hAnsi="宋体"/>
                <w:szCs w:val="21"/>
              </w:rPr>
              <w:t>分；</w:t>
            </w:r>
          </w:p>
          <w:p>
            <w:pPr>
              <w:adjustRightInd w:val="0"/>
              <w:snapToGrid w:val="0"/>
              <w:jc w:val="left"/>
              <w:rPr>
                <w:rFonts w:hint="default" w:ascii="宋体" w:hAnsi="宋体" w:eastAsia="宋体" w:cs="宋体"/>
                <w:bCs/>
                <w:color w:val="auto"/>
                <w:sz w:val="21"/>
                <w:szCs w:val="21"/>
                <w:lang w:val="en-US" w:eastAsia="zh-CN"/>
              </w:rPr>
            </w:pPr>
            <w:r>
              <w:rPr>
                <w:rFonts w:hint="eastAsia" w:ascii="宋体" w:hAnsi="宋体" w:cs="宋体"/>
              </w:rPr>
              <w:t>2、</w:t>
            </w:r>
            <w:r>
              <w:rPr>
                <w:rFonts w:hint="eastAsia" w:ascii="宋体" w:hAnsi="宋体"/>
                <w:szCs w:val="21"/>
              </w:rPr>
              <w:t>供应商项目实施团队</w:t>
            </w:r>
            <w:r>
              <w:rPr>
                <w:rFonts w:hint="eastAsia" w:ascii="宋体" w:hAnsi="宋体" w:cs="宋体"/>
              </w:rPr>
              <w:t>成员具备电工作业证的计1分；</w:t>
            </w:r>
            <w:r>
              <w:rPr>
                <w:rFonts w:hint="eastAsia" w:ascii="宋体" w:hAnsi="宋体" w:cs="宋体"/>
                <w:lang w:val="en-US" w:eastAsia="zh-CN"/>
              </w:rPr>
              <w:t>本项最高计2分；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9" w:hRule="atLeast"/>
          <w:jc w:val="center"/>
        </w:trPr>
        <w:tc>
          <w:tcPr>
            <w:tcW w:w="465" w:type="dxa"/>
            <w:vMerge w:val="restart"/>
            <w:noWrap w:val="0"/>
            <w:vAlign w:val="center"/>
          </w:tcPr>
          <w:p>
            <w:pPr>
              <w:tabs>
                <w:tab w:val="left" w:pos="0"/>
              </w:tabs>
              <w:adjustRightInd w:val="0"/>
              <w:snapToGrid w:val="0"/>
              <w:spacing w:before="120" w:beforeLines="50"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三</w:t>
            </w:r>
          </w:p>
        </w:tc>
        <w:tc>
          <w:tcPr>
            <w:tcW w:w="725" w:type="dxa"/>
            <w:vMerge w:val="restart"/>
            <w:noWrap w:val="0"/>
            <w:vAlign w:val="center"/>
          </w:tcPr>
          <w:p>
            <w:pPr>
              <w:tabs>
                <w:tab w:val="left" w:pos="0"/>
              </w:tabs>
              <w:adjustRightInd w:val="0"/>
              <w:snapToGrid w:val="0"/>
              <w:spacing w:before="120" w:beforeLines="50" w:line="240" w:lineRule="auto"/>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商务</w:t>
            </w:r>
          </w:p>
          <w:p>
            <w:pPr>
              <w:tabs>
                <w:tab w:val="left" w:pos="0"/>
              </w:tabs>
              <w:adjustRightInd w:val="0"/>
              <w:snapToGrid w:val="0"/>
              <w:spacing w:before="120" w:beforeLines="50" w:line="240" w:lineRule="auto"/>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部分</w:t>
            </w:r>
          </w:p>
          <w:p>
            <w:pPr>
              <w:tabs>
                <w:tab w:val="left" w:pos="0"/>
              </w:tabs>
              <w:adjustRightInd w:val="0"/>
              <w:snapToGrid w:val="0"/>
              <w:spacing w:before="120" w:beforeLines="50" w:line="240" w:lineRule="auto"/>
              <w:jc w:val="center"/>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20</w:t>
            </w:r>
            <w:r>
              <w:rPr>
                <w:rFonts w:hint="eastAsia" w:ascii="宋体" w:hAnsi="宋体" w:eastAsia="宋体" w:cs="宋体"/>
                <w:bCs/>
                <w:color w:val="auto"/>
                <w:sz w:val="21"/>
                <w:szCs w:val="21"/>
                <w:lang w:val="zh-CN"/>
              </w:rPr>
              <w:t>分</w:t>
            </w:r>
          </w:p>
        </w:tc>
        <w:tc>
          <w:tcPr>
            <w:tcW w:w="1281" w:type="dxa"/>
            <w:tcBorders>
              <w:top w:val="single" w:color="auto" w:sz="4" w:space="0"/>
              <w:right w:val="single" w:color="auto" w:sz="4" w:space="0"/>
            </w:tcBorders>
            <w:noWrap w:val="0"/>
            <w:vAlign w:val="center"/>
          </w:tcPr>
          <w:p>
            <w:pPr>
              <w:adjustRightInd w:val="0"/>
              <w:snapToGrid w:val="0"/>
              <w:jc w:val="center"/>
              <w:rPr>
                <w:rFonts w:hint="eastAsia" w:ascii="宋体" w:hAnsi="宋体" w:eastAsia="宋体" w:cs="宋体"/>
                <w:bCs/>
                <w:color w:val="auto"/>
                <w:sz w:val="21"/>
                <w:szCs w:val="21"/>
                <w:lang w:val="ru-RU" w:eastAsia="zh-CN"/>
              </w:rPr>
            </w:pPr>
            <w:r>
              <w:rPr>
                <w:rFonts w:hint="eastAsia" w:ascii="宋体" w:hAnsi="宋体"/>
              </w:rPr>
              <w:t>售后服务及技术支持</w:t>
            </w:r>
          </w:p>
        </w:tc>
        <w:tc>
          <w:tcPr>
            <w:tcW w:w="594"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s="宋体"/>
                <w:bCs/>
                <w:color w:val="auto"/>
                <w:sz w:val="21"/>
                <w:szCs w:val="21"/>
                <w:lang w:val="en-US" w:eastAsia="zh-CN"/>
              </w:rPr>
            </w:pPr>
            <w:r>
              <w:rPr>
                <w:rFonts w:hint="eastAsia" w:ascii="宋体" w:hAnsi="宋体"/>
                <w:lang w:val="en-US" w:eastAsia="zh-CN"/>
              </w:rPr>
              <w:t>10</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宋体" w:hAnsi="宋体"/>
                <w:szCs w:val="21"/>
              </w:rPr>
            </w:pPr>
            <w:r>
              <w:rPr>
                <w:rFonts w:hint="eastAsia" w:ascii="宋体" w:hAnsi="宋体"/>
              </w:rPr>
              <w:t>根据供应商提供的售后服务承诺中的售后服务团队配置、故障响应时间、人员培训、维护保养措施、技术培训、技术支持、专业的服务人员情况、备品备件、应急处理措施及质量保障措施等10个方面的优劣进行</w:t>
            </w:r>
            <w:r>
              <w:rPr>
                <w:rFonts w:hint="eastAsia" w:ascii="宋体" w:hAnsi="宋体"/>
                <w:lang w:val="en-US" w:eastAsia="zh-CN"/>
              </w:rPr>
              <w:t>综合评定</w:t>
            </w:r>
            <w:r>
              <w:rPr>
                <w:rFonts w:hint="eastAsia" w:ascii="宋体" w:hAnsi="宋体"/>
              </w:rPr>
              <w:t>：</w:t>
            </w:r>
          </w:p>
          <w:p>
            <w:pPr>
              <w:adjustRightInd w:val="0"/>
              <w:snapToGrid w:val="0"/>
              <w:jc w:val="left"/>
              <w:rPr>
                <w:rFonts w:ascii="宋体" w:hAnsi="宋体"/>
              </w:rPr>
            </w:pPr>
            <w:r>
              <w:rPr>
                <w:rFonts w:hint="eastAsia" w:ascii="宋体" w:hAnsi="宋体"/>
              </w:rPr>
              <w:t>售后服务团队配置合理、故障响应时间短、人员培训计划详细周全、维护保养措施完善、技术培训条理清晰、技术支持优秀、服务人员专业能力优秀、备品备件丰富、应急处理措施及质量保障措施完善，计</w:t>
            </w:r>
            <w:r>
              <w:rPr>
                <w:rFonts w:hint="eastAsia" w:ascii="宋体" w:hAnsi="宋体"/>
                <w:lang w:val="en-US" w:eastAsia="zh-CN"/>
              </w:rPr>
              <w:t>10</w:t>
            </w:r>
            <w:r>
              <w:rPr>
                <w:rFonts w:hint="eastAsia" w:ascii="宋体" w:hAnsi="宋体"/>
              </w:rPr>
              <w:t>分；</w:t>
            </w:r>
          </w:p>
          <w:p>
            <w:pPr>
              <w:adjustRightInd w:val="0"/>
              <w:snapToGrid w:val="0"/>
              <w:jc w:val="left"/>
              <w:rPr>
                <w:rFonts w:ascii="宋体" w:hAnsi="宋体"/>
              </w:rPr>
            </w:pPr>
            <w:r>
              <w:rPr>
                <w:rFonts w:hint="eastAsia" w:ascii="宋体" w:hAnsi="宋体"/>
              </w:rPr>
              <w:t>售后服务团队配置较合理、故障响应时间较短、人员培训计划较周全、维护保养措施较为完善、技术培训较为条理清晰、技术支持良好、服务人员专业能力良好、备品备件充足、应急处理措施及质量保障措施较完善，计</w:t>
            </w:r>
            <w:r>
              <w:rPr>
                <w:rFonts w:hint="eastAsia" w:ascii="宋体" w:hAnsi="宋体"/>
                <w:lang w:val="en-US" w:eastAsia="zh-CN"/>
              </w:rPr>
              <w:t>6</w:t>
            </w:r>
            <w:r>
              <w:rPr>
                <w:rFonts w:hint="eastAsia" w:ascii="宋体" w:hAnsi="宋体"/>
              </w:rPr>
              <w:t>分；</w:t>
            </w:r>
          </w:p>
          <w:p>
            <w:pPr>
              <w:adjustRightInd w:val="0"/>
              <w:snapToGrid w:val="0"/>
              <w:jc w:val="left"/>
              <w:rPr>
                <w:rFonts w:ascii="宋体" w:hAnsi="宋体"/>
              </w:rPr>
            </w:pPr>
            <w:r>
              <w:rPr>
                <w:rFonts w:hint="eastAsia" w:ascii="宋体" w:hAnsi="宋体"/>
              </w:rPr>
              <w:t>售后服务团队配置较合理、故障响应时间较长、人员培训计划一般、维护保养措施一般、技术培训一般、技术支持一般、服务人员专业能力一般、备品备件较充足、应急处理措施及质量保障措施一般，计2分；</w:t>
            </w:r>
          </w:p>
          <w:p>
            <w:pPr>
              <w:adjustRightInd w:val="0"/>
              <w:snapToGrid w:val="0"/>
              <w:jc w:val="left"/>
              <w:rPr>
                <w:rFonts w:hint="eastAsia" w:ascii="宋体" w:hAnsi="宋体" w:eastAsia="宋体" w:cs="宋体"/>
                <w:bCs/>
                <w:color w:val="auto"/>
                <w:sz w:val="21"/>
                <w:szCs w:val="21"/>
                <w:lang w:val="ru-RU" w:eastAsia="zh-CN"/>
              </w:rPr>
            </w:pPr>
            <w:r>
              <w:rPr>
                <w:rFonts w:ascii="宋体" w:hAnsi="宋体"/>
              </w:rPr>
              <w:t>未提供相关证明材料的不得分。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240" w:lineRule="auto"/>
              <w:ind w:firstLine="420" w:firstLineChars="200"/>
              <w:jc w:val="center"/>
              <w:rPr>
                <w:rFonts w:hint="eastAsia" w:ascii="宋体" w:hAnsi="宋体" w:eastAsia="宋体" w:cs="宋体"/>
                <w:bCs/>
                <w:color w:val="auto"/>
                <w:sz w:val="21"/>
                <w:szCs w:val="21"/>
              </w:rPr>
            </w:pPr>
          </w:p>
        </w:tc>
        <w:tc>
          <w:tcPr>
            <w:tcW w:w="1281"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ru-RU" w:eastAsia="zh-CN"/>
              </w:rPr>
              <w:t>管理水平</w:t>
            </w:r>
          </w:p>
        </w:tc>
        <w:tc>
          <w:tcPr>
            <w:tcW w:w="594"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8</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before="120" w:beforeLines="50" w:line="360" w:lineRule="auto"/>
              <w:rPr>
                <w:rFonts w:hint="eastAsia" w:ascii="宋体" w:hAnsi="宋体" w:eastAsia="宋体" w:cs="宋体"/>
                <w:bCs/>
                <w:color w:val="auto"/>
                <w:sz w:val="21"/>
                <w:szCs w:val="21"/>
                <w:lang w:val="ru-RU" w:eastAsia="ru-RU"/>
              </w:rPr>
            </w:pPr>
            <w:r>
              <w:rPr>
                <w:rFonts w:hint="eastAsia" w:ascii="宋体" w:hAnsi="宋体" w:eastAsia="宋体" w:cs="宋体"/>
                <w:color w:val="auto"/>
                <w:kern w:val="0"/>
                <w:sz w:val="21"/>
                <w:szCs w:val="21"/>
                <w:lang w:val="ru-RU" w:eastAsia="zh-CN"/>
              </w:rPr>
              <w:t>有完善严谨的管理制度（含</w:t>
            </w:r>
            <w:r>
              <w:rPr>
                <w:rFonts w:hint="eastAsia" w:ascii="宋体" w:hAnsi="宋体" w:eastAsia="宋体" w:cs="宋体"/>
                <w:color w:val="auto"/>
                <w:kern w:val="0"/>
                <w:sz w:val="21"/>
                <w:szCs w:val="21"/>
                <w:lang w:val="zh-CN" w:eastAsia="zh-CN"/>
              </w:rPr>
              <w:t>项目机构设置情况</w:t>
            </w:r>
            <w:r>
              <w:rPr>
                <w:rFonts w:hint="eastAsia" w:ascii="宋体" w:hAnsi="宋体" w:eastAsia="宋体" w:cs="宋体"/>
                <w:color w:val="auto"/>
                <w:kern w:val="0"/>
                <w:sz w:val="21"/>
                <w:szCs w:val="21"/>
                <w:lang w:val="ru-RU" w:eastAsia="zh-CN"/>
              </w:rPr>
              <w:t>、行政管理制度、安全保障制度等）和操作规程，管理科学、规范、标准：</w:t>
            </w:r>
            <w:r>
              <w:rPr>
                <w:rFonts w:hint="eastAsia" w:ascii="宋体" w:hAnsi="宋体" w:eastAsia="宋体" w:cs="宋体"/>
                <w:color w:val="auto"/>
                <w:kern w:val="0"/>
                <w:sz w:val="21"/>
                <w:szCs w:val="21"/>
                <w:lang w:val="zh-CN" w:eastAsia="zh-CN"/>
              </w:rPr>
              <w:t>内容全面完善的计</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lang w:val="zh-CN" w:eastAsia="zh-CN"/>
              </w:rPr>
              <w:t>分；内容较详细完善的计</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val="zh-CN" w:eastAsia="zh-CN"/>
              </w:rPr>
              <w:t>分；内容一般基本符合的计</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lang w:val="zh-CN" w:eastAsia="zh-CN"/>
              </w:rPr>
              <w:t>分，未提供的不计分</w:t>
            </w:r>
            <w:r>
              <w:rPr>
                <w:rFonts w:hint="eastAsia" w:ascii="宋体" w:hAnsi="宋体" w:eastAsia="宋体" w:cs="宋体"/>
                <w:color w:val="auto"/>
                <w:kern w:val="0"/>
                <w:sz w:val="21"/>
                <w:szCs w:val="21"/>
                <w:lang w:val="ru-RU"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465" w:type="dxa"/>
            <w:vMerge w:val="continue"/>
            <w:noWrap w:val="0"/>
            <w:vAlign w:val="center"/>
          </w:tcPr>
          <w:p>
            <w:pPr>
              <w:tabs>
                <w:tab w:val="left" w:pos="0"/>
              </w:tabs>
              <w:adjustRightInd w:val="0"/>
              <w:snapToGrid w:val="0"/>
              <w:spacing w:before="120" w:beforeLines="50" w:line="360" w:lineRule="auto"/>
              <w:ind w:firstLine="420" w:firstLineChars="200"/>
              <w:jc w:val="center"/>
              <w:rPr>
                <w:rFonts w:hint="eastAsia" w:ascii="宋体" w:hAnsi="宋体" w:eastAsia="宋体" w:cs="宋体"/>
                <w:bCs/>
                <w:color w:val="auto"/>
                <w:sz w:val="21"/>
                <w:szCs w:val="21"/>
              </w:rPr>
            </w:pPr>
          </w:p>
        </w:tc>
        <w:tc>
          <w:tcPr>
            <w:tcW w:w="725" w:type="dxa"/>
            <w:vMerge w:val="continue"/>
            <w:noWrap w:val="0"/>
            <w:vAlign w:val="center"/>
          </w:tcPr>
          <w:p>
            <w:pPr>
              <w:tabs>
                <w:tab w:val="left" w:pos="0"/>
              </w:tabs>
              <w:adjustRightInd w:val="0"/>
              <w:snapToGrid w:val="0"/>
              <w:spacing w:before="120" w:beforeLines="50" w:line="240" w:lineRule="auto"/>
              <w:ind w:firstLine="420" w:firstLineChars="200"/>
              <w:jc w:val="center"/>
              <w:rPr>
                <w:rFonts w:hint="eastAsia" w:ascii="宋体" w:hAnsi="宋体" w:eastAsia="宋体" w:cs="宋体"/>
                <w:bCs/>
                <w:color w:val="auto"/>
                <w:sz w:val="21"/>
                <w:szCs w:val="21"/>
              </w:rPr>
            </w:pPr>
          </w:p>
        </w:tc>
        <w:tc>
          <w:tcPr>
            <w:tcW w:w="1281" w:type="dxa"/>
            <w:tcBorders>
              <w:top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line="360" w:lineRule="auto"/>
              <w:ind w:firstLine="0" w:firstLineChars="0"/>
              <w:jc w:val="center"/>
              <w:textAlignment w:val="auto"/>
              <w:rPr>
                <w:rFonts w:hint="eastAsia" w:ascii="宋体" w:hAnsi="宋体" w:eastAsia="宋体" w:cs="宋体"/>
                <w:bCs/>
                <w:color w:val="auto"/>
                <w:sz w:val="21"/>
                <w:szCs w:val="21"/>
                <w:lang w:val="ru-RU" w:eastAsia="zh-CN"/>
              </w:rPr>
            </w:pPr>
            <w:r>
              <w:rPr>
                <w:rFonts w:hint="eastAsia" w:ascii="宋体" w:hAnsi="宋体" w:eastAsia="宋体" w:cs="宋体"/>
                <w:bCs/>
                <w:color w:val="auto"/>
                <w:sz w:val="21"/>
                <w:szCs w:val="21"/>
                <w:lang w:val="ru-RU"/>
              </w:rPr>
              <w:t>文件</w:t>
            </w:r>
            <w:r>
              <w:rPr>
                <w:rFonts w:hint="eastAsia" w:ascii="宋体" w:hAnsi="宋体" w:eastAsia="宋体" w:cs="宋体"/>
                <w:bCs/>
                <w:color w:val="auto"/>
                <w:sz w:val="21"/>
                <w:szCs w:val="21"/>
                <w:lang w:val="ru-RU" w:eastAsia="zh-CN"/>
              </w:rPr>
              <w:t>编制</w:t>
            </w:r>
          </w:p>
        </w:tc>
        <w:tc>
          <w:tcPr>
            <w:tcW w:w="594"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before="120" w:beforeLines="50" w:line="360" w:lineRule="auto"/>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w:t>
            </w:r>
          </w:p>
        </w:tc>
        <w:tc>
          <w:tcPr>
            <w:tcW w:w="5995"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spacing w:before="120" w:beforeLines="50"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响应文件</w:t>
            </w:r>
            <w:r>
              <w:rPr>
                <w:rFonts w:hint="eastAsia" w:ascii="宋体" w:hAnsi="宋体" w:eastAsia="宋体" w:cs="宋体"/>
                <w:bCs/>
                <w:color w:val="auto"/>
                <w:sz w:val="21"/>
                <w:szCs w:val="21"/>
              </w:rPr>
              <w:t>按</w:t>
            </w:r>
            <w:r>
              <w:rPr>
                <w:rFonts w:hint="eastAsia" w:ascii="宋体" w:hAnsi="宋体" w:eastAsia="宋体" w:cs="宋体"/>
                <w:bCs/>
                <w:color w:val="auto"/>
                <w:sz w:val="21"/>
                <w:szCs w:val="21"/>
                <w:lang w:eastAsia="zh-CN"/>
              </w:rPr>
              <w:t>磋商文件</w:t>
            </w:r>
            <w:r>
              <w:rPr>
                <w:rFonts w:hint="eastAsia" w:ascii="宋体" w:hAnsi="宋体" w:eastAsia="宋体" w:cs="宋体"/>
                <w:bCs/>
                <w:color w:val="auto"/>
                <w:sz w:val="21"/>
                <w:szCs w:val="21"/>
              </w:rPr>
              <w:t>规定的格式、顺序编制，有目录、编页码，装订成册，书面整治无涂改，没有缺漏项的，计</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分；不符合要求的，每次扣0.</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分</w:t>
            </w:r>
            <w:r>
              <w:rPr>
                <w:rFonts w:hint="eastAsia" w:ascii="宋体" w:hAnsi="宋体" w:cs="宋体"/>
                <w:bCs/>
                <w:color w:val="auto"/>
                <w:sz w:val="21"/>
                <w:szCs w:val="21"/>
                <w:lang w:eastAsia="zh-CN"/>
              </w:rPr>
              <w:t>，</w:t>
            </w:r>
            <w:r>
              <w:rPr>
                <w:rFonts w:hint="eastAsia" w:ascii="宋体" w:hAnsi="宋体" w:eastAsia="宋体" w:cs="宋体"/>
                <w:bCs/>
                <w:color w:val="auto"/>
                <w:sz w:val="21"/>
                <w:szCs w:val="21"/>
                <w:highlight w:val="none"/>
              </w:rPr>
              <w:t>扣完为止</w:t>
            </w:r>
            <w:r>
              <w:rPr>
                <w:rFonts w:hint="eastAsia" w:ascii="宋体" w:hAnsi="宋体" w:eastAsia="宋体" w:cs="宋体"/>
                <w:bCs/>
                <w:color w:val="auto"/>
                <w:sz w:val="21"/>
                <w:szCs w:val="21"/>
              </w:rPr>
              <w:t>。</w:t>
            </w:r>
          </w:p>
        </w:tc>
      </w:tr>
    </w:tbl>
    <w:p>
      <w:pPr>
        <w:pStyle w:val="11"/>
        <w:rPr>
          <w:rFonts w:hint="eastAsia" w:ascii="宋体" w:hAnsi="宋体" w:eastAsia="宋体" w:cs="宋体"/>
          <w:color w:val="auto"/>
          <w:sz w:val="21"/>
          <w:szCs w:val="21"/>
          <w:lang w:eastAsia="zh-CN"/>
        </w:rPr>
      </w:pPr>
    </w:p>
    <w:p>
      <w:pPr>
        <w:tabs>
          <w:tab w:val="left" w:pos="0"/>
        </w:tabs>
        <w:adjustRightInd w:val="0"/>
        <w:snapToGrid w:val="0"/>
        <w:spacing w:before="120" w:beforeLines="50" w:line="360" w:lineRule="auto"/>
        <w:outlineLvl w:val="1"/>
        <w:rPr>
          <w:rFonts w:hint="eastAsia" w:ascii="宋体" w:hAnsi="宋体" w:eastAsia="宋体" w:cs="宋体"/>
          <w:b/>
          <w:color w:val="auto"/>
          <w:sz w:val="20"/>
          <w:szCs w:val="20"/>
        </w:rPr>
      </w:pPr>
      <w:bookmarkStart w:id="51" w:name="_Toc4441"/>
      <w:r>
        <w:rPr>
          <w:rFonts w:hint="eastAsia" w:ascii="宋体" w:hAnsi="宋体" w:eastAsia="宋体" w:cs="宋体"/>
          <w:b/>
          <w:color w:val="auto"/>
          <w:sz w:val="20"/>
          <w:szCs w:val="20"/>
        </w:rPr>
        <w:t>4.推荐成交候选人名单</w:t>
      </w:r>
      <w:bookmarkEnd w:id="51"/>
    </w:p>
    <w:p>
      <w:pPr>
        <w:tabs>
          <w:tab w:val="left" w:pos="0"/>
        </w:tabs>
        <w:adjustRightInd w:val="0"/>
        <w:snapToGrid w:val="0"/>
        <w:spacing w:before="120" w:beforeLines="50"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4.1按评审后得分由高到低顺序排列。得分相同的，按最终报价由低到高顺序排列。得分且最终报价相同的，按技术指标优劣顺序排列。</w:t>
      </w:r>
    </w:p>
    <w:p>
      <w:pPr>
        <w:tabs>
          <w:tab w:val="left" w:pos="0"/>
        </w:tabs>
        <w:adjustRightInd w:val="0"/>
        <w:snapToGrid w:val="0"/>
        <w:spacing w:before="120" w:beforeLines="50" w:line="360" w:lineRule="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rPr>
        <w:t>4.2成交候选人数量为1-3名，本次磋商采购推荐的成交候选人数量见</w:t>
      </w:r>
      <w:r>
        <w:rPr>
          <w:rFonts w:hint="eastAsia" w:ascii="宋体" w:hAnsi="宋体" w:eastAsia="宋体" w:cs="宋体"/>
          <w:b/>
          <w:bCs w:val="0"/>
          <w:color w:val="auto"/>
          <w:sz w:val="21"/>
          <w:szCs w:val="21"/>
          <w:lang w:eastAsia="zh-CN"/>
        </w:rPr>
        <w:t>磋商须知前附表</w:t>
      </w:r>
      <w:r>
        <w:rPr>
          <w:rFonts w:hint="eastAsia" w:ascii="宋体" w:hAnsi="宋体" w:eastAsia="宋体" w:cs="宋体"/>
          <w:bCs/>
          <w:color w:val="auto"/>
          <w:sz w:val="21"/>
          <w:szCs w:val="21"/>
          <w:lang w:eastAsia="zh-CN"/>
        </w:rPr>
        <w:t>。</w:t>
      </w:r>
    </w:p>
    <w:p>
      <w:pPr>
        <w:rPr>
          <w:rFonts w:hint="eastAsia"/>
          <w:color w:val="auto"/>
        </w:rPr>
      </w:pPr>
      <w:r>
        <w:rPr>
          <w:rFonts w:hint="eastAsia"/>
          <w:color w:val="auto"/>
        </w:rPr>
        <w:br w:type="page"/>
      </w:r>
    </w:p>
    <w:p>
      <w:pPr>
        <w:rPr>
          <w:rFonts w:ascii="宋体" w:cs="宋体"/>
          <w:b/>
          <w:bCs/>
          <w:color w:val="auto"/>
          <w:kern w:val="0"/>
          <w:sz w:val="28"/>
          <w:szCs w:val="28"/>
        </w:rPr>
      </w:pPr>
      <w:bookmarkStart w:id="52" w:name="_Toc11524"/>
      <w:r>
        <w:rPr>
          <w:rFonts w:hint="eastAsia" w:ascii="宋体" w:hAnsi="宋体" w:cs="仿宋_GB2312"/>
          <w:b/>
          <w:bCs/>
          <w:color w:val="auto"/>
          <w:szCs w:val="21"/>
        </w:rPr>
        <w:t>附表3  响应文件初步审查表</w:t>
      </w:r>
      <w:bookmarkEnd w:id="52"/>
    </w:p>
    <w:p>
      <w:pPr>
        <w:spacing w:line="288" w:lineRule="auto"/>
        <w:jc w:val="center"/>
        <w:rPr>
          <w:rFonts w:hint="eastAsia" w:ascii="宋体" w:cs="宋体"/>
          <w:b/>
          <w:bCs/>
          <w:color w:val="auto"/>
          <w:kern w:val="0"/>
          <w:sz w:val="28"/>
          <w:szCs w:val="28"/>
        </w:rPr>
      </w:pPr>
      <w:r>
        <w:rPr>
          <w:rFonts w:hint="eastAsia" w:ascii="宋体" w:cs="宋体"/>
          <w:b/>
          <w:bCs/>
          <w:color w:val="auto"/>
          <w:kern w:val="0"/>
          <w:sz w:val="28"/>
          <w:szCs w:val="28"/>
        </w:rPr>
        <w:t>响应文件初步审查表</w:t>
      </w:r>
    </w:p>
    <w:tbl>
      <w:tblPr>
        <w:tblStyle w:val="20"/>
        <w:tblpPr w:leftFromText="180" w:rightFromText="180" w:vertAnchor="text" w:horzAnchor="page" w:tblpX="1698" w:tblpY="4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431"/>
        <w:gridCol w:w="903"/>
        <w:gridCol w:w="3938"/>
        <w:gridCol w:w="958"/>
        <w:gridCol w:w="958"/>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51" w:type="dxa"/>
            <w:vMerge w:val="restart"/>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序号</w:t>
            </w:r>
          </w:p>
        </w:tc>
        <w:tc>
          <w:tcPr>
            <w:tcW w:w="5272" w:type="dxa"/>
            <w:gridSpan w:val="3"/>
            <w:vMerge w:val="restart"/>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检查项目</w:t>
            </w:r>
          </w:p>
        </w:tc>
        <w:tc>
          <w:tcPr>
            <w:tcW w:w="2875" w:type="dxa"/>
            <w:gridSpan w:val="3"/>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供应商名单及审查意见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51" w:type="dxa"/>
            <w:vMerge w:val="continue"/>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5272" w:type="dxa"/>
            <w:gridSpan w:val="3"/>
            <w:vMerge w:val="continue"/>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spacing w:line="300" w:lineRule="exact"/>
              <w:jc w:val="center"/>
              <w:rPr>
                <w:rFonts w:hint="eastAsia" w:ascii="宋体" w:hAnsi="宋体" w:cs="宋体"/>
                <w:color w:val="auto"/>
                <w:kern w:val="0"/>
                <w:szCs w:val="21"/>
              </w:rPr>
            </w:pPr>
          </w:p>
        </w:tc>
        <w:tc>
          <w:tcPr>
            <w:tcW w:w="958" w:type="dxa"/>
            <w:noWrap w:val="0"/>
            <w:vAlign w:val="center"/>
          </w:tcPr>
          <w:p>
            <w:pPr>
              <w:spacing w:line="300" w:lineRule="exact"/>
              <w:jc w:val="center"/>
              <w:rPr>
                <w:rFonts w:hint="eastAsia" w:ascii="宋体" w:hAnsi="宋体" w:cs="宋体"/>
                <w:color w:val="auto"/>
                <w:kern w:val="0"/>
                <w:szCs w:val="21"/>
              </w:rPr>
            </w:pPr>
          </w:p>
        </w:tc>
        <w:tc>
          <w:tcPr>
            <w:tcW w:w="959" w:type="dxa"/>
            <w:noWrap w:val="0"/>
            <w:vAlign w:val="center"/>
          </w:tcPr>
          <w:p>
            <w:pPr>
              <w:spacing w:line="300" w:lineRule="exact"/>
              <w:jc w:val="center"/>
              <w:rPr>
                <w:rFonts w:hint="eastAsia" w:ascii="宋体" w:hAnsi="宋体" w:cs="宋体"/>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w:t>
            </w:r>
          </w:p>
        </w:tc>
        <w:tc>
          <w:tcPr>
            <w:tcW w:w="431" w:type="dxa"/>
            <w:vMerge w:val="restart"/>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完整性</w:t>
            </w:r>
          </w:p>
        </w:tc>
        <w:tc>
          <w:tcPr>
            <w:tcW w:w="903" w:type="dxa"/>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响应文件组成</w:t>
            </w:r>
          </w:p>
        </w:tc>
        <w:tc>
          <w:tcPr>
            <w:tcW w:w="3938" w:type="dxa"/>
            <w:noWrap w:val="0"/>
            <w:vAlign w:val="center"/>
          </w:tcPr>
          <w:p>
            <w:pPr>
              <w:pStyle w:val="41"/>
              <w:spacing w:line="240" w:lineRule="exact"/>
              <w:rPr>
                <w:rFonts w:hint="eastAsia" w:ascii="宋体" w:hAnsi="宋体" w:cs="宋体"/>
                <w:color w:val="auto"/>
                <w:sz w:val="21"/>
                <w:lang w:val="en-US" w:eastAsia="zh-CN"/>
              </w:rPr>
            </w:pPr>
            <w:r>
              <w:rPr>
                <w:rFonts w:hint="eastAsia" w:ascii="宋体" w:hAnsi="宋体" w:cs="宋体"/>
                <w:color w:val="auto"/>
                <w:sz w:val="21"/>
                <w:lang w:val="en-US" w:eastAsia="zh-CN"/>
              </w:rPr>
              <w:t>是否符合磋商文件“响应文件组成”的要求</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w:t>
            </w:r>
          </w:p>
        </w:tc>
        <w:tc>
          <w:tcPr>
            <w:tcW w:w="431" w:type="dxa"/>
            <w:vMerge w:val="continue"/>
            <w:noWrap w:val="0"/>
            <w:vAlign w:val="center"/>
          </w:tcPr>
          <w:p>
            <w:pPr>
              <w:spacing w:line="240" w:lineRule="exact"/>
              <w:jc w:val="center"/>
              <w:rPr>
                <w:rFonts w:hint="eastAsia" w:ascii="宋体" w:hAnsi="宋体" w:cs="宋体"/>
                <w:color w:val="auto"/>
                <w:szCs w:val="21"/>
              </w:rPr>
            </w:pPr>
          </w:p>
        </w:tc>
        <w:tc>
          <w:tcPr>
            <w:tcW w:w="903" w:type="dxa"/>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响应文件格式</w:t>
            </w:r>
          </w:p>
        </w:tc>
        <w:tc>
          <w:tcPr>
            <w:tcW w:w="3938" w:type="dxa"/>
            <w:noWrap w:val="0"/>
            <w:vAlign w:val="center"/>
          </w:tcPr>
          <w:p>
            <w:pPr>
              <w:pStyle w:val="41"/>
              <w:spacing w:line="240" w:lineRule="exact"/>
              <w:rPr>
                <w:rFonts w:hint="eastAsia" w:ascii="宋体" w:hAnsi="宋体" w:cs="宋体"/>
                <w:color w:val="auto"/>
                <w:sz w:val="21"/>
                <w:lang w:val="en-US" w:eastAsia="zh-CN"/>
              </w:rPr>
            </w:pPr>
            <w:r>
              <w:rPr>
                <w:rFonts w:hint="eastAsia" w:ascii="宋体" w:hAnsi="宋体" w:cs="宋体"/>
                <w:color w:val="auto"/>
                <w:sz w:val="21"/>
                <w:lang w:val="en-US" w:eastAsia="zh-CN"/>
              </w:rPr>
              <w:t>是否符合磋商文件第七章“响应文件组成”的要求。（响应文件未按规定的格式填写的，内容不全或关键字迹模糊、无法辨认的，为不合格）</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w:t>
            </w:r>
          </w:p>
        </w:tc>
        <w:tc>
          <w:tcPr>
            <w:tcW w:w="1334"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响应内容</w:t>
            </w:r>
          </w:p>
        </w:tc>
        <w:tc>
          <w:tcPr>
            <w:tcW w:w="3938" w:type="dxa"/>
            <w:noWrap w:val="0"/>
            <w:vAlign w:val="center"/>
          </w:tcPr>
          <w:p>
            <w:pPr>
              <w:jc w:val="left"/>
              <w:rPr>
                <w:rFonts w:hint="eastAsia" w:ascii="宋体" w:hAnsi="宋体" w:cs="宋体"/>
                <w:color w:val="auto"/>
                <w:szCs w:val="21"/>
              </w:rPr>
            </w:pPr>
            <w:r>
              <w:rPr>
                <w:rFonts w:hint="eastAsia" w:ascii="宋体" w:hAnsi="宋体" w:cs="宋体"/>
                <w:color w:val="auto"/>
                <w:szCs w:val="21"/>
              </w:rPr>
              <w:t>响应文件载明的范围不小于磋商文件规定的磋商范围</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w:t>
            </w:r>
          </w:p>
        </w:tc>
        <w:tc>
          <w:tcPr>
            <w:tcW w:w="1334" w:type="dxa"/>
            <w:gridSpan w:val="2"/>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工期</w:t>
            </w:r>
          </w:p>
        </w:tc>
        <w:tc>
          <w:tcPr>
            <w:tcW w:w="3938" w:type="dxa"/>
            <w:noWrap w:val="0"/>
            <w:vAlign w:val="center"/>
          </w:tcPr>
          <w:p>
            <w:pPr>
              <w:pStyle w:val="41"/>
              <w:spacing w:line="240" w:lineRule="exact"/>
              <w:rPr>
                <w:rFonts w:hint="eastAsia" w:ascii="宋体" w:hAnsi="宋体" w:cs="宋体"/>
                <w:color w:val="auto"/>
                <w:sz w:val="21"/>
                <w:lang w:val="en-US" w:eastAsia="zh-CN"/>
              </w:rPr>
            </w:pPr>
            <w:r>
              <w:rPr>
                <w:rFonts w:hint="eastAsia" w:ascii="宋体" w:hAnsi="宋体" w:cs="宋体"/>
                <w:color w:val="auto"/>
                <w:sz w:val="21"/>
                <w:lang w:val="en-US" w:eastAsia="zh-CN"/>
              </w:rPr>
              <w:t>响应文件载明的工期是否符合磋商文件规定</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w:t>
            </w:r>
          </w:p>
        </w:tc>
        <w:tc>
          <w:tcPr>
            <w:tcW w:w="1334"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质量</w:t>
            </w:r>
          </w:p>
        </w:tc>
        <w:tc>
          <w:tcPr>
            <w:tcW w:w="3938" w:type="dxa"/>
            <w:noWrap w:val="0"/>
            <w:vAlign w:val="center"/>
          </w:tcPr>
          <w:p>
            <w:pPr>
              <w:jc w:val="left"/>
              <w:rPr>
                <w:rFonts w:hint="eastAsia" w:ascii="宋体" w:hAnsi="宋体" w:cs="宋体"/>
                <w:color w:val="auto"/>
                <w:szCs w:val="21"/>
              </w:rPr>
            </w:pPr>
            <w:r>
              <w:rPr>
                <w:rFonts w:hint="eastAsia" w:ascii="宋体" w:hAnsi="宋体" w:cs="宋体"/>
                <w:color w:val="auto"/>
                <w:szCs w:val="21"/>
              </w:rPr>
              <w:t>响应文件载明的质量标准是否符合磋商文件规定</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6</w:t>
            </w:r>
          </w:p>
        </w:tc>
        <w:tc>
          <w:tcPr>
            <w:tcW w:w="1334" w:type="dxa"/>
            <w:gridSpan w:val="2"/>
            <w:noWrap w:val="0"/>
            <w:vAlign w:val="center"/>
          </w:tcPr>
          <w:p>
            <w:pPr>
              <w:jc w:val="center"/>
              <w:rPr>
                <w:rFonts w:hint="eastAsia" w:ascii="宋体" w:hAnsi="宋体" w:cs="宋体"/>
                <w:color w:val="auto"/>
                <w:szCs w:val="21"/>
              </w:rPr>
            </w:pPr>
            <w:r>
              <w:rPr>
                <w:rFonts w:hint="eastAsia" w:ascii="宋体" w:hAnsi="宋体" w:cs="宋体"/>
                <w:color w:val="auto"/>
                <w:szCs w:val="21"/>
              </w:rPr>
              <w:t>保修要求</w:t>
            </w:r>
          </w:p>
        </w:tc>
        <w:tc>
          <w:tcPr>
            <w:tcW w:w="3938" w:type="dxa"/>
            <w:noWrap w:val="0"/>
            <w:vAlign w:val="center"/>
          </w:tcPr>
          <w:p>
            <w:pPr>
              <w:jc w:val="left"/>
              <w:rPr>
                <w:rFonts w:hint="eastAsia" w:ascii="宋体" w:hAnsi="宋体" w:cs="宋体"/>
                <w:color w:val="auto"/>
                <w:szCs w:val="21"/>
              </w:rPr>
            </w:pPr>
            <w:r>
              <w:rPr>
                <w:rFonts w:hint="eastAsia" w:ascii="宋体" w:hAnsi="宋体" w:cs="宋体"/>
                <w:color w:val="auto"/>
                <w:szCs w:val="21"/>
              </w:rPr>
              <w:t>响应文件载明的保修承诺是否符合磋商文件规定</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7</w:t>
            </w:r>
          </w:p>
        </w:tc>
        <w:tc>
          <w:tcPr>
            <w:tcW w:w="1334" w:type="dxa"/>
            <w:gridSpan w:val="2"/>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响应文件有效期</w:t>
            </w:r>
          </w:p>
        </w:tc>
        <w:tc>
          <w:tcPr>
            <w:tcW w:w="3938" w:type="dxa"/>
            <w:noWrap w:val="0"/>
            <w:vAlign w:val="center"/>
          </w:tcPr>
          <w:p>
            <w:pPr>
              <w:pStyle w:val="41"/>
              <w:spacing w:line="240" w:lineRule="exact"/>
              <w:rPr>
                <w:rFonts w:hint="eastAsia" w:ascii="宋体" w:hAnsi="宋体" w:cs="宋体"/>
                <w:color w:val="auto"/>
                <w:sz w:val="21"/>
                <w:lang w:val="en-US" w:eastAsia="zh-CN"/>
              </w:rPr>
            </w:pPr>
            <w:r>
              <w:rPr>
                <w:rFonts w:hint="eastAsia" w:ascii="宋体" w:hAnsi="宋体" w:cs="宋体"/>
                <w:color w:val="auto"/>
                <w:sz w:val="21"/>
                <w:lang w:val="en-US" w:eastAsia="zh-CN"/>
              </w:rPr>
              <w:t>响应文件有效期是否符合磋商文件的要求</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51" w:type="dxa"/>
            <w:vMerge w:val="restart"/>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8</w:t>
            </w:r>
          </w:p>
        </w:tc>
        <w:tc>
          <w:tcPr>
            <w:tcW w:w="1334" w:type="dxa"/>
            <w:gridSpan w:val="2"/>
            <w:vMerge w:val="restart"/>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采购清单报价</w:t>
            </w:r>
          </w:p>
        </w:tc>
        <w:tc>
          <w:tcPr>
            <w:tcW w:w="3938" w:type="dxa"/>
            <w:noWrap w:val="0"/>
            <w:vAlign w:val="center"/>
          </w:tcPr>
          <w:p>
            <w:pPr>
              <w:jc w:val="left"/>
              <w:rPr>
                <w:rFonts w:hint="eastAsia" w:ascii="宋体" w:hAnsi="宋体" w:cs="宋体"/>
                <w:color w:val="auto"/>
                <w:szCs w:val="21"/>
              </w:rPr>
            </w:pPr>
            <w:r>
              <w:rPr>
                <w:rFonts w:hint="eastAsia" w:ascii="宋体" w:hAnsi="宋体" w:cs="宋体"/>
                <w:color w:val="auto"/>
                <w:szCs w:val="21"/>
              </w:rPr>
              <w:t>响应文件</w:t>
            </w:r>
            <w:r>
              <w:rPr>
                <w:rFonts w:hint="eastAsia" w:ascii="宋体" w:hAnsi="宋体" w:cs="宋体"/>
                <w:color w:val="auto"/>
                <w:kern w:val="0"/>
                <w:szCs w:val="21"/>
              </w:rPr>
              <w:t>是否按磋商文件要求报价，</w:t>
            </w:r>
            <w:r>
              <w:rPr>
                <w:rFonts w:hint="eastAsia" w:ascii="宋体" w:hAnsi="宋体" w:cs="宋体"/>
                <w:color w:val="auto"/>
                <w:szCs w:val="21"/>
              </w:rPr>
              <w:t>是否符合磋商文件“</w:t>
            </w:r>
            <w:r>
              <w:rPr>
                <w:rFonts w:hint="eastAsia" w:ascii="宋体" w:hAnsi="宋体" w:cs="宋体"/>
                <w:color w:val="auto"/>
                <w:szCs w:val="21"/>
                <w:lang w:val="en-US" w:eastAsia="zh-CN"/>
              </w:rPr>
              <w:t>采购</w:t>
            </w:r>
            <w:r>
              <w:rPr>
                <w:rFonts w:hint="eastAsia" w:ascii="宋体" w:hAnsi="宋体" w:cs="宋体"/>
                <w:color w:val="auto"/>
                <w:szCs w:val="21"/>
              </w:rPr>
              <w:t>清单”</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51" w:type="dxa"/>
            <w:vMerge w:val="continue"/>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1334" w:type="dxa"/>
            <w:gridSpan w:val="2"/>
            <w:vMerge w:val="continue"/>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3938" w:type="dxa"/>
            <w:noWrap w:val="0"/>
            <w:vAlign w:val="center"/>
          </w:tcPr>
          <w:p>
            <w:pPr>
              <w:jc w:val="left"/>
              <w:rPr>
                <w:rFonts w:hint="eastAsia" w:ascii="宋体" w:hAnsi="宋体" w:cs="宋体"/>
                <w:color w:val="auto"/>
                <w:szCs w:val="21"/>
              </w:rPr>
            </w:pPr>
            <w:r>
              <w:rPr>
                <w:rFonts w:hint="eastAsia" w:ascii="宋体" w:hAnsi="宋体" w:cs="宋体"/>
                <w:color w:val="auto"/>
                <w:szCs w:val="21"/>
              </w:rPr>
              <w:t>供应商的报价不得超过采购预算，也不得超过最高限价(如果设定)</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9</w:t>
            </w:r>
          </w:p>
        </w:tc>
        <w:tc>
          <w:tcPr>
            <w:tcW w:w="5272" w:type="dxa"/>
            <w:gridSpan w:val="3"/>
            <w:noWrap w:val="0"/>
            <w:vAlign w:val="center"/>
          </w:tcPr>
          <w:p>
            <w:pPr>
              <w:pStyle w:val="41"/>
              <w:rPr>
                <w:rFonts w:hint="eastAsia" w:ascii="宋体" w:hAnsi="宋体" w:cs="宋体"/>
                <w:color w:val="auto"/>
                <w:sz w:val="21"/>
                <w:lang w:val="en-US" w:eastAsia="zh-CN"/>
              </w:rPr>
            </w:pPr>
            <w:r>
              <w:rPr>
                <w:rFonts w:hint="eastAsia" w:ascii="宋体" w:hAnsi="宋体" w:cs="宋体"/>
                <w:color w:val="auto"/>
                <w:sz w:val="21"/>
                <w:lang w:val="en-US" w:eastAsia="zh-CN"/>
              </w:rPr>
              <w:t>响应文件对磋商文件中标明的实质性要求和条件是否偏离，若有实质性偏离，其投标无效</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10</w:t>
            </w:r>
          </w:p>
        </w:tc>
        <w:tc>
          <w:tcPr>
            <w:tcW w:w="5272" w:type="dxa"/>
            <w:gridSpan w:val="3"/>
            <w:noWrap w:val="0"/>
            <w:vAlign w:val="center"/>
          </w:tcPr>
          <w:p>
            <w:pPr>
              <w:pStyle w:val="41"/>
              <w:rPr>
                <w:rFonts w:hint="eastAsia" w:ascii="宋体" w:hAnsi="宋体" w:cs="宋体"/>
                <w:color w:val="auto"/>
                <w:sz w:val="21"/>
                <w:lang w:val="en-US" w:eastAsia="zh-CN"/>
              </w:rPr>
            </w:pPr>
            <w:r>
              <w:rPr>
                <w:rFonts w:hint="eastAsia" w:ascii="宋体" w:hAnsi="宋体" w:cs="宋体"/>
                <w:color w:val="auto"/>
                <w:sz w:val="21"/>
                <w:lang w:val="en-US" w:eastAsia="zh-CN"/>
              </w:rPr>
              <w:t>一般商务</w:t>
            </w:r>
            <w:r>
              <w:rPr>
                <w:rFonts w:hint="eastAsia" w:ascii="宋体" w:hAnsi="宋体" w:cs="宋体"/>
                <w:color w:val="auto"/>
                <w:spacing w:val="4"/>
                <w:sz w:val="21"/>
                <w:lang w:val="en-US" w:eastAsia="zh-CN"/>
              </w:rPr>
              <w:t>和</w:t>
            </w:r>
            <w:r>
              <w:rPr>
                <w:rFonts w:hint="eastAsia" w:ascii="宋体" w:hAnsi="宋体" w:cs="宋体"/>
                <w:color w:val="auto"/>
                <w:sz w:val="21"/>
                <w:lang w:val="en-US" w:eastAsia="zh-CN"/>
              </w:rPr>
              <w:t>技术条款偏离项数之和≥</w:t>
            </w:r>
            <w:r>
              <w:rPr>
                <w:rFonts w:hint="eastAsia" w:ascii="宋体" w:hAnsi="宋体" w:cs="宋体"/>
                <w:color w:val="auto"/>
                <w:sz w:val="21"/>
                <w:u w:val="single"/>
                <w:lang w:val="en-US" w:eastAsia="zh-CN"/>
              </w:rPr>
              <w:t xml:space="preserve"> 10 </w:t>
            </w:r>
            <w:r>
              <w:rPr>
                <w:rFonts w:hint="eastAsia" w:ascii="宋体" w:hAnsi="宋体" w:cs="宋体"/>
                <w:color w:val="auto"/>
                <w:sz w:val="21"/>
                <w:lang w:val="en-US" w:eastAsia="zh-CN"/>
              </w:rPr>
              <w:t>项将导致无效响应。</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11</w:t>
            </w:r>
          </w:p>
        </w:tc>
        <w:tc>
          <w:tcPr>
            <w:tcW w:w="5272" w:type="dxa"/>
            <w:gridSpan w:val="3"/>
            <w:noWrap w:val="0"/>
            <w:vAlign w:val="center"/>
          </w:tcPr>
          <w:p>
            <w:pPr>
              <w:pStyle w:val="41"/>
              <w:rPr>
                <w:rFonts w:hint="eastAsia" w:ascii="宋体" w:hAnsi="宋体" w:cs="宋体"/>
                <w:color w:val="auto"/>
                <w:sz w:val="21"/>
                <w:lang w:val="en-US" w:eastAsia="zh-CN"/>
              </w:rPr>
            </w:pPr>
            <w:r>
              <w:rPr>
                <w:rFonts w:hint="eastAsia" w:ascii="宋体" w:hAnsi="宋体" w:cs="宋体"/>
                <w:color w:val="auto"/>
                <w:sz w:val="21"/>
                <w:lang w:val="en-US" w:eastAsia="zh-CN"/>
              </w:rPr>
              <w:t>响应文件符合磋商文件所有条款、条件且没有重大偏离或保留</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12</w:t>
            </w:r>
          </w:p>
        </w:tc>
        <w:tc>
          <w:tcPr>
            <w:tcW w:w="5272" w:type="dxa"/>
            <w:gridSpan w:val="3"/>
            <w:noWrap w:val="0"/>
            <w:vAlign w:val="center"/>
          </w:tcPr>
          <w:p>
            <w:pPr>
              <w:pStyle w:val="41"/>
              <w:spacing w:line="240" w:lineRule="exact"/>
              <w:rPr>
                <w:rFonts w:hint="eastAsia" w:ascii="宋体" w:hAnsi="宋体" w:cs="宋体"/>
                <w:color w:val="auto"/>
                <w:sz w:val="21"/>
                <w:lang w:val="en-US" w:eastAsia="zh-CN"/>
              </w:rPr>
            </w:pPr>
            <w:r>
              <w:rPr>
                <w:rFonts w:hint="eastAsia" w:ascii="宋体" w:hAnsi="宋体" w:cs="宋体"/>
                <w:color w:val="auto"/>
                <w:sz w:val="21"/>
                <w:lang w:val="en-US" w:eastAsia="zh-CN"/>
              </w:rPr>
              <w:t>响应文件是否含有采购人不能接受的附加条件。</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51"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13</w:t>
            </w:r>
          </w:p>
        </w:tc>
        <w:tc>
          <w:tcPr>
            <w:tcW w:w="1334" w:type="dxa"/>
            <w:gridSpan w:val="2"/>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商务技术文件的装订、签署、盖章</w:t>
            </w:r>
          </w:p>
        </w:tc>
        <w:tc>
          <w:tcPr>
            <w:tcW w:w="3938" w:type="dxa"/>
            <w:noWrap w:val="0"/>
            <w:vAlign w:val="center"/>
          </w:tcPr>
          <w:p>
            <w:pPr>
              <w:pStyle w:val="41"/>
              <w:spacing w:line="240" w:lineRule="exact"/>
              <w:rPr>
                <w:rFonts w:hint="eastAsia" w:ascii="宋体" w:hAnsi="宋体" w:cs="宋体"/>
                <w:color w:val="auto"/>
                <w:sz w:val="21"/>
                <w:lang w:val="en-US" w:eastAsia="zh-CN"/>
              </w:rPr>
            </w:pPr>
            <w:r>
              <w:rPr>
                <w:rFonts w:hint="eastAsia" w:ascii="宋体" w:hAnsi="宋体" w:cs="宋体"/>
                <w:color w:val="auto"/>
                <w:sz w:val="21"/>
                <w:lang w:val="en-US" w:eastAsia="zh-CN"/>
              </w:rPr>
              <w:t>是否符合磋商文件第二章“磋商须知”第19条要求</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885" w:type="dxa"/>
            <w:gridSpan w:val="3"/>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结论</w:t>
            </w:r>
          </w:p>
        </w:tc>
        <w:tc>
          <w:tcPr>
            <w:tcW w:w="393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合格或不合格</w:t>
            </w: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8"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c>
          <w:tcPr>
            <w:tcW w:w="959" w:type="dxa"/>
            <w:noWrap w:val="0"/>
            <w:vAlign w:val="center"/>
          </w:tcPr>
          <w:p>
            <w:pPr>
              <w:pStyle w:val="2"/>
              <w:tabs>
                <w:tab w:val="left" w:pos="630"/>
              </w:tabs>
              <w:spacing w:after="0"/>
              <w:ind w:left="0" w:leftChars="0" w:firstLine="0" w:firstLineChars="0"/>
              <w:jc w:val="center"/>
              <w:rPr>
                <w:rFonts w:hint="eastAsia" w:ascii="宋体" w:hAnsi="宋体" w:cs="宋体"/>
                <w:color w:val="auto"/>
                <w:sz w:val="21"/>
                <w:szCs w:val="21"/>
                <w:lang w:val="en-US" w:eastAsia="zh-CN"/>
              </w:rPr>
            </w:pPr>
          </w:p>
        </w:tc>
      </w:tr>
    </w:tbl>
    <w:p>
      <w:pPr>
        <w:spacing w:line="288" w:lineRule="auto"/>
        <w:jc w:val="center"/>
        <w:rPr>
          <w:rFonts w:hint="eastAsia" w:ascii="宋体" w:cs="宋体"/>
          <w:b/>
          <w:bCs/>
          <w:color w:val="auto"/>
          <w:kern w:val="0"/>
          <w:sz w:val="28"/>
          <w:szCs w:val="28"/>
        </w:rPr>
      </w:pPr>
    </w:p>
    <w:p>
      <w:pPr>
        <w:widowControl/>
        <w:jc w:val="left"/>
        <w:rPr>
          <w:rFonts w:hint="eastAsia" w:ascii="宋体" w:hAnsi="宋体" w:cs="宋体"/>
          <w:bCs/>
          <w:color w:val="auto"/>
          <w:sz w:val="24"/>
        </w:rPr>
      </w:pPr>
      <w:r>
        <w:rPr>
          <w:rFonts w:ascii="宋体" w:hAnsi="宋体" w:cs="宋体"/>
          <w:color w:val="auto"/>
          <w:kern w:val="0"/>
          <w:szCs w:val="21"/>
        </w:rPr>
        <w:t>备注：1、达到要求的标记“√”，未达到的标记“╳”并注明其理由。</w:t>
      </w:r>
      <w:r>
        <w:rPr>
          <w:rFonts w:ascii="宋体" w:hAnsi="宋体" w:cs="宋体"/>
          <w:color w:val="auto"/>
          <w:kern w:val="0"/>
          <w:szCs w:val="21"/>
        </w:rPr>
        <w:br w:type="textWrapping"/>
      </w:r>
      <w:r>
        <w:rPr>
          <w:rFonts w:hint="eastAsia" w:ascii="宋体" w:hAnsi="宋体" w:cs="宋体"/>
          <w:color w:val="auto"/>
          <w:kern w:val="0"/>
          <w:szCs w:val="21"/>
        </w:rPr>
        <w:t xml:space="preserve">      </w:t>
      </w:r>
      <w:r>
        <w:rPr>
          <w:rFonts w:ascii="宋体" w:hAnsi="宋体" w:cs="宋体"/>
          <w:color w:val="auto"/>
          <w:kern w:val="0"/>
          <w:szCs w:val="21"/>
        </w:rPr>
        <w:t>2、结论填写“合格”或“不合格”</w:t>
      </w:r>
      <w:r>
        <w:rPr>
          <w:rFonts w:hint="eastAsia" w:ascii="宋体" w:hAnsi="宋体" w:cs="宋体"/>
          <w:color w:val="auto"/>
          <w:kern w:val="0"/>
          <w:szCs w:val="21"/>
        </w:rPr>
        <w:t>。</w:t>
      </w:r>
      <w:r>
        <w:rPr>
          <w:rFonts w:ascii="宋体" w:hAnsi="宋体" w:cs="宋体"/>
          <w:color w:val="auto"/>
          <w:kern w:val="0"/>
          <w:szCs w:val="21"/>
        </w:rPr>
        <w:br w:type="textWrapping"/>
      </w:r>
      <w:r>
        <w:rPr>
          <w:rFonts w:hint="eastAsia" w:ascii="宋体" w:hAnsi="宋体" w:cs="宋体"/>
          <w:color w:val="auto"/>
          <w:kern w:val="0"/>
          <w:szCs w:val="21"/>
        </w:rPr>
        <w:t xml:space="preserve">      3</w:t>
      </w:r>
      <w:r>
        <w:rPr>
          <w:rFonts w:ascii="宋体" w:hAnsi="宋体" w:cs="宋体"/>
          <w:color w:val="auto"/>
          <w:kern w:val="0"/>
          <w:szCs w:val="21"/>
        </w:rPr>
        <w:t>、结论“不合格”的</w:t>
      </w:r>
      <w:r>
        <w:rPr>
          <w:rFonts w:hint="eastAsia" w:ascii="宋体" w:hAnsi="宋体" w:cs="宋体"/>
          <w:color w:val="auto"/>
          <w:kern w:val="0"/>
          <w:szCs w:val="21"/>
        </w:rPr>
        <w:t>供应商</w:t>
      </w:r>
      <w:r>
        <w:rPr>
          <w:rFonts w:ascii="宋体" w:hAnsi="宋体" w:cs="宋体"/>
          <w:color w:val="auto"/>
          <w:kern w:val="0"/>
          <w:szCs w:val="21"/>
        </w:rPr>
        <w:t>不进入下一轮评议。</w:t>
      </w:r>
    </w:p>
    <w:p>
      <w:pPr>
        <w:pStyle w:val="48"/>
        <w:ind w:firstLine="0" w:firstLineChars="0"/>
        <w:rPr>
          <w:rFonts w:hint="eastAsia" w:ascii="宋体" w:hAnsi="宋体" w:cs="宋体"/>
          <w:bCs/>
          <w:color w:val="auto"/>
        </w:rPr>
      </w:pPr>
    </w:p>
    <w:p>
      <w:pPr>
        <w:pStyle w:val="48"/>
        <w:ind w:firstLine="0" w:firstLineChars="0"/>
        <w:rPr>
          <w:rFonts w:hint="eastAsia" w:ascii="宋体" w:hAnsi="Times New Roman" w:cs="宋体"/>
          <w:b/>
          <w:bCs/>
          <w:color w:val="auto"/>
          <w:kern w:val="0"/>
          <w:sz w:val="28"/>
          <w:szCs w:val="28"/>
        </w:rPr>
      </w:pPr>
      <w:r>
        <w:rPr>
          <w:rFonts w:hint="eastAsia" w:ascii="宋体" w:hAnsi="宋体" w:cs="宋体"/>
          <w:bCs/>
          <w:color w:val="auto"/>
        </w:rPr>
        <w:t>蹉商小组（签字/日期）：</w:t>
      </w:r>
    </w:p>
    <w:p>
      <w:pPr>
        <w:spacing w:line="480" w:lineRule="exact"/>
        <w:outlineLvl w:val="9"/>
        <w:rPr>
          <w:rFonts w:hint="eastAsia" w:ascii="宋体" w:hAnsi="宋体" w:cs="宋体"/>
          <w:b/>
          <w:bCs/>
          <w:color w:val="auto"/>
          <w:sz w:val="28"/>
          <w:szCs w:val="28"/>
        </w:rPr>
      </w:pPr>
      <w:r>
        <w:rPr>
          <w:rFonts w:hint="eastAsia" w:ascii="宋体" w:hAnsi="宋体" w:cs="宋体"/>
          <w:b/>
          <w:bCs/>
          <w:color w:val="auto"/>
          <w:sz w:val="28"/>
          <w:szCs w:val="28"/>
        </w:rPr>
        <w:br w:type="page"/>
      </w:r>
      <w:bookmarkStart w:id="53" w:name="_Toc28240"/>
      <w:r>
        <w:rPr>
          <w:rFonts w:hint="eastAsia" w:ascii="宋体" w:hAnsi="宋体" w:cs="仿宋_GB2312"/>
          <w:b/>
          <w:bCs/>
          <w:color w:val="auto"/>
          <w:szCs w:val="21"/>
        </w:rPr>
        <w:t>附表4  响应文件符合性审查表</w:t>
      </w:r>
      <w:bookmarkEnd w:id="53"/>
    </w:p>
    <w:p>
      <w:pPr>
        <w:spacing w:line="480" w:lineRule="exact"/>
        <w:jc w:val="center"/>
        <w:rPr>
          <w:rFonts w:hint="eastAsia" w:ascii="宋体" w:hAnsi="宋体" w:cs="宋体"/>
          <w:color w:val="auto"/>
          <w:sz w:val="24"/>
        </w:rPr>
      </w:pPr>
      <w:r>
        <w:rPr>
          <w:rFonts w:hint="eastAsia" w:ascii="宋体" w:hAnsi="宋体" w:cs="宋体"/>
          <w:b/>
          <w:bCs/>
          <w:color w:val="auto"/>
          <w:sz w:val="28"/>
          <w:szCs w:val="28"/>
        </w:rPr>
        <w:t>响应文件符合性审查表</w:t>
      </w:r>
    </w:p>
    <w:p>
      <w:pPr>
        <w:jc w:val="center"/>
        <w:rPr>
          <w:rFonts w:hint="eastAsia" w:ascii="宋体" w:hAnsi="宋体" w:cs="宋体"/>
          <w:b/>
          <w:bCs/>
          <w:color w:val="auto"/>
          <w:kern w:val="0"/>
          <w:sz w:val="36"/>
          <w:szCs w:val="36"/>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2639"/>
        <w:gridCol w:w="2165"/>
        <w:gridCol w:w="2850"/>
        <w:gridCol w:w="910"/>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ascii="宋体" w:hAnsi="宋体" w:cs="宋体"/>
                <w:color w:val="auto"/>
                <w:sz w:val="22"/>
                <w:szCs w:val="22"/>
              </w:rPr>
            </w:pPr>
            <w:r>
              <w:rPr>
                <w:rFonts w:hint="eastAsia" w:ascii="宋体" w:hAnsi="宋体" w:cs="宋体"/>
                <w:color w:val="auto"/>
                <w:sz w:val="22"/>
                <w:szCs w:val="22"/>
              </w:rPr>
              <w:t>序号</w:t>
            </w:r>
          </w:p>
        </w:tc>
        <w:tc>
          <w:tcPr>
            <w:tcW w:w="2639" w:type="dxa"/>
            <w:tcBorders>
              <w:top w:val="single" w:color="auto" w:sz="4" w:space="0"/>
              <w:left w:val="single" w:color="auto" w:sz="4" w:space="0"/>
              <w:bottom w:val="single" w:color="auto" w:sz="4" w:space="0"/>
              <w:right w:val="single" w:color="auto" w:sz="4" w:space="0"/>
              <w:tl2br w:val="single" w:color="auto" w:sz="4" w:space="0"/>
            </w:tcBorders>
            <w:noWrap w:val="0"/>
            <w:vAlign w:val="center"/>
          </w:tcPr>
          <w:p>
            <w:pPr>
              <w:ind w:right="-107" w:rightChars="-51"/>
              <w:jc w:val="right"/>
              <w:rPr>
                <w:rFonts w:hint="eastAsia"/>
                <w:color w:val="auto"/>
              </w:rPr>
            </w:pPr>
            <w:r>
              <w:rPr>
                <w:rFonts w:hint="eastAsia"/>
                <w:color w:val="auto"/>
              </w:rPr>
              <w:t xml:space="preserve">         检查项目</w:t>
            </w:r>
          </w:p>
          <w:p>
            <w:pPr>
              <w:pStyle w:val="2"/>
              <w:tabs>
                <w:tab w:val="left" w:pos="630"/>
              </w:tabs>
              <w:ind w:left="0" w:leftChars="0" w:firstLine="0" w:firstLineChars="0"/>
              <w:rPr>
                <w:rFonts w:hint="eastAsia"/>
                <w:color w:val="auto"/>
                <w:lang w:val="en-US" w:eastAsia="zh-CN"/>
              </w:rPr>
            </w:pPr>
            <w:r>
              <w:rPr>
                <w:rFonts w:hint="eastAsia" w:ascii="宋体" w:hAnsi="宋体" w:cs="宋体"/>
                <w:color w:val="auto"/>
                <w:sz w:val="22"/>
                <w:szCs w:val="22"/>
                <w:lang w:val="en-US" w:eastAsia="zh-CN"/>
              </w:rPr>
              <w:t>供应商名称</w:t>
            </w:r>
          </w:p>
        </w:tc>
        <w:tc>
          <w:tcPr>
            <w:tcW w:w="2165"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详见磋商文件“采购需求”</w:t>
            </w:r>
          </w:p>
        </w:tc>
        <w:tc>
          <w:tcPr>
            <w:tcW w:w="2850" w:type="dxa"/>
            <w:tcBorders>
              <w:top w:val="single" w:color="auto" w:sz="4" w:space="0"/>
              <w:left w:val="single" w:color="auto" w:sz="4" w:space="0"/>
              <w:right w:val="single" w:color="auto" w:sz="4" w:space="0"/>
            </w:tcBorders>
            <w:noWrap w:val="0"/>
            <w:vAlign w:val="center"/>
          </w:tcPr>
          <w:p>
            <w:pPr>
              <w:spacing w:line="240" w:lineRule="exact"/>
              <w:jc w:val="center"/>
              <w:rPr>
                <w:rFonts w:hint="eastAsia" w:ascii="宋体" w:hAnsi="宋体" w:cs="宋体"/>
                <w:color w:val="auto"/>
                <w:szCs w:val="21"/>
              </w:rPr>
            </w:pPr>
            <w:r>
              <w:rPr>
                <w:rFonts w:hint="eastAsia" w:ascii="宋体" w:hAnsi="宋体" w:cs="宋体"/>
                <w:color w:val="auto"/>
                <w:szCs w:val="21"/>
              </w:rPr>
              <w:t>是否有不符合法律、法规情况</w:t>
            </w:r>
            <w:r>
              <w:rPr>
                <w:rFonts w:hint="eastAsia" w:ascii="宋体" w:hAnsi="宋体" w:cs="宋体"/>
                <w:b/>
                <w:bCs/>
                <w:color w:val="auto"/>
                <w:szCs w:val="21"/>
              </w:rPr>
              <w:t>(此栏填写“有”或“无”)</w:t>
            </w:r>
          </w:p>
        </w:tc>
        <w:tc>
          <w:tcPr>
            <w:tcW w:w="910" w:type="dxa"/>
            <w:tcBorders>
              <w:top w:val="single" w:color="auto" w:sz="4" w:space="0"/>
              <w:left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r>
              <w:rPr>
                <w:rFonts w:hint="eastAsia" w:ascii="宋体" w:hAnsi="宋体" w:cs="宋体"/>
                <w:color w:val="auto"/>
                <w:sz w:val="22"/>
                <w:szCs w:val="22"/>
              </w:rPr>
              <w:t>结论</w:t>
            </w: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r>
              <w:rPr>
                <w:rFonts w:hint="eastAsia" w:ascii="宋体" w:hAnsi="宋体" w:cs="宋体"/>
                <w:color w:val="auto"/>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r>
              <w:rPr>
                <w:rFonts w:hint="eastAsia" w:ascii="宋体" w:hAnsi="宋体" w:cs="宋体"/>
                <w:color w:val="auto"/>
                <w:sz w:val="22"/>
                <w:szCs w:val="22"/>
              </w:rPr>
              <w:t>1</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2"/>
                <w:szCs w:val="22"/>
              </w:rPr>
            </w:pPr>
          </w:p>
        </w:tc>
        <w:tc>
          <w:tcPr>
            <w:tcW w:w="21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r>
              <w:rPr>
                <w:rFonts w:hint="eastAsia" w:ascii="宋体" w:hAnsi="宋体" w:cs="宋体"/>
                <w:color w:val="auto"/>
                <w:sz w:val="22"/>
                <w:szCs w:val="22"/>
              </w:rPr>
              <w:t>2</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2"/>
                <w:szCs w:val="22"/>
              </w:rPr>
            </w:pPr>
          </w:p>
        </w:tc>
        <w:tc>
          <w:tcPr>
            <w:tcW w:w="21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r>
              <w:rPr>
                <w:rFonts w:hint="eastAsia" w:ascii="宋体" w:hAnsi="宋体" w:cs="宋体"/>
                <w:color w:val="auto"/>
                <w:sz w:val="22"/>
                <w:szCs w:val="22"/>
              </w:rPr>
              <w:t>3</w:t>
            </w:r>
          </w:p>
        </w:tc>
        <w:tc>
          <w:tcPr>
            <w:tcW w:w="263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auto"/>
                <w:kern w:val="0"/>
                <w:sz w:val="22"/>
                <w:szCs w:val="22"/>
              </w:rPr>
            </w:pPr>
          </w:p>
        </w:tc>
        <w:tc>
          <w:tcPr>
            <w:tcW w:w="21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91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c>
          <w:tcPr>
            <w:tcW w:w="697"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cs="宋体"/>
                <w:color w:val="auto"/>
                <w:sz w:val="22"/>
                <w:szCs w:val="22"/>
              </w:rPr>
            </w:pPr>
          </w:p>
        </w:tc>
      </w:tr>
    </w:tbl>
    <w:p>
      <w:pPr>
        <w:tabs>
          <w:tab w:val="right" w:pos="8844"/>
        </w:tabs>
        <w:adjustRightInd w:val="0"/>
        <w:snapToGrid w:val="0"/>
        <w:spacing w:line="280" w:lineRule="exact"/>
        <w:ind w:right="28"/>
        <w:rPr>
          <w:rFonts w:hint="eastAsia" w:ascii="宋体" w:hAnsi="宋体" w:cs="宋体"/>
          <w:color w:val="auto"/>
          <w:szCs w:val="21"/>
        </w:rPr>
      </w:pPr>
    </w:p>
    <w:p>
      <w:pPr>
        <w:tabs>
          <w:tab w:val="right" w:pos="8844"/>
        </w:tabs>
        <w:adjustRightInd w:val="0"/>
        <w:snapToGrid w:val="0"/>
        <w:spacing w:line="280" w:lineRule="exact"/>
        <w:ind w:right="28"/>
        <w:rPr>
          <w:rFonts w:hint="eastAsia" w:ascii="宋体" w:hAnsi="宋体" w:cs="宋体"/>
          <w:color w:val="auto"/>
          <w:szCs w:val="21"/>
        </w:rPr>
      </w:pPr>
      <w:r>
        <w:rPr>
          <w:rFonts w:hint="eastAsia" w:ascii="宋体" w:hAnsi="宋体" w:cs="宋体"/>
          <w:color w:val="auto"/>
          <w:szCs w:val="21"/>
        </w:rPr>
        <w:t>备注：1、达到要求的标记“√”，未达到的标记“×”并注明其理由。</w:t>
      </w:r>
    </w:p>
    <w:p>
      <w:pPr>
        <w:tabs>
          <w:tab w:val="right" w:pos="8844"/>
        </w:tabs>
        <w:adjustRightInd w:val="0"/>
        <w:snapToGrid w:val="0"/>
        <w:spacing w:line="280" w:lineRule="exact"/>
        <w:ind w:right="28" w:firstLine="630" w:firstLineChars="300"/>
        <w:rPr>
          <w:rFonts w:hint="eastAsia" w:ascii="宋体" w:hAnsi="宋体" w:cs="宋体"/>
          <w:color w:val="auto"/>
          <w:szCs w:val="21"/>
        </w:rPr>
      </w:pPr>
      <w:r>
        <w:rPr>
          <w:rFonts w:hint="eastAsia" w:ascii="宋体" w:hAnsi="宋体" w:cs="宋体"/>
          <w:color w:val="auto"/>
          <w:szCs w:val="21"/>
        </w:rPr>
        <w:t>2、结论填写“合格”或“不合格”。</w:t>
      </w:r>
    </w:p>
    <w:p>
      <w:pPr>
        <w:spacing w:line="280" w:lineRule="exact"/>
        <w:ind w:left="630" w:leftChars="300"/>
        <w:rPr>
          <w:rFonts w:hint="eastAsia" w:ascii="宋体" w:hAnsi="宋体" w:cs="宋体"/>
          <w:color w:val="auto"/>
          <w:szCs w:val="21"/>
        </w:rPr>
      </w:pPr>
      <w:r>
        <w:rPr>
          <w:rFonts w:hint="eastAsia" w:ascii="宋体" w:hAnsi="宋体" w:cs="宋体"/>
          <w:color w:val="auto"/>
          <w:szCs w:val="21"/>
        </w:rPr>
        <w:t>3、结论为“不合格”的不进入下一轮评审。</w:t>
      </w:r>
    </w:p>
    <w:p>
      <w:pPr>
        <w:spacing w:before="240" w:beforeLines="100"/>
        <w:rPr>
          <w:rFonts w:hint="eastAsia" w:ascii="宋体" w:hAnsi="宋体" w:cs="宋体"/>
          <w:bCs/>
          <w:color w:val="auto"/>
          <w:sz w:val="24"/>
        </w:rPr>
      </w:pPr>
      <w:r>
        <w:rPr>
          <w:rFonts w:hint="eastAsia" w:ascii="宋体" w:hAnsi="宋体" w:cs="宋体"/>
          <w:bCs/>
          <w:color w:val="auto"/>
          <w:szCs w:val="21"/>
        </w:rPr>
        <w:t>蹉商小组（签字/日期）</w:t>
      </w:r>
      <w:r>
        <w:rPr>
          <w:rFonts w:hint="eastAsia" w:ascii="宋体" w:hAnsi="宋体" w:cs="宋体"/>
          <w:bCs/>
          <w:color w:val="auto"/>
          <w:sz w:val="24"/>
        </w:rPr>
        <w:t>：</w:t>
      </w:r>
    </w:p>
    <w:p>
      <w:pPr>
        <w:pStyle w:val="2"/>
        <w:rPr>
          <w:rFonts w:hint="eastAsia"/>
          <w:color w:val="auto"/>
        </w:rPr>
        <w:sectPr>
          <w:footerReference r:id="rId9" w:type="default"/>
          <w:pgSz w:w="11906" w:h="16838"/>
          <w:pgMar w:top="1474" w:right="1531" w:bottom="1474" w:left="1531" w:header="851" w:footer="992" w:gutter="0"/>
          <w:pgNumType w:fmt="decimal"/>
          <w:cols w:space="720" w:num="1"/>
          <w:docGrid w:linePitch="312" w:charSpace="0"/>
        </w:sectPr>
      </w:pPr>
    </w:p>
    <w:p>
      <w:pPr>
        <w:adjustRightInd w:val="0"/>
        <w:snapToGrid w:val="0"/>
        <w:spacing w:before="156" w:beforeLines="50" w:line="360" w:lineRule="auto"/>
        <w:jc w:val="center"/>
        <w:outlineLvl w:val="0"/>
        <w:rPr>
          <w:rFonts w:hint="default" w:ascii="宋体" w:hAnsi="宋体" w:eastAsia="宋体" w:cs="宋体"/>
          <w:b/>
          <w:color w:val="auto"/>
          <w:sz w:val="32"/>
          <w:szCs w:val="32"/>
          <w:lang w:val="en-US" w:eastAsia="zh-CN"/>
        </w:rPr>
      </w:pPr>
      <w:bookmarkStart w:id="54" w:name="_bookmark34"/>
      <w:bookmarkEnd w:id="54"/>
      <w:bookmarkStart w:id="55" w:name="附表5  评审因素及标准"/>
      <w:bookmarkEnd w:id="55"/>
      <w:bookmarkStart w:id="56" w:name="_Toc3546"/>
      <w:r>
        <w:rPr>
          <w:rFonts w:hint="eastAsia" w:ascii="宋体" w:hAnsi="宋体" w:eastAsia="宋体" w:cs="宋体"/>
          <w:b/>
          <w:color w:val="auto"/>
          <w:sz w:val="32"/>
          <w:szCs w:val="32"/>
          <w:lang w:eastAsia="zh-CN"/>
        </w:rPr>
        <w:t>第五章</w:t>
      </w: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lang w:eastAsia="zh-CN"/>
        </w:rPr>
        <w:t>政府采购合同格式</w:t>
      </w:r>
      <w:bookmarkEnd w:id="56"/>
    </w:p>
    <w:p>
      <w:pPr>
        <w:adjustRightInd w:val="0"/>
        <w:snapToGrid w:val="0"/>
        <w:spacing w:before="156" w:beforeLines="50" w:line="360" w:lineRule="auto"/>
        <w:jc w:val="center"/>
        <w:outlineLvl w:val="1"/>
        <w:rPr>
          <w:rFonts w:hint="eastAsia"/>
          <w:color w:val="auto"/>
        </w:rPr>
      </w:pPr>
      <w:bookmarkStart w:id="57" w:name="_Toc32396"/>
      <w:bookmarkStart w:id="58" w:name="_Toc22924"/>
      <w:r>
        <w:rPr>
          <w:rFonts w:hint="eastAsia" w:ascii="宋体" w:hAnsi="宋体" w:cs="宋体"/>
          <w:b/>
          <w:color w:val="auto"/>
          <w:sz w:val="32"/>
          <w:szCs w:val="32"/>
          <w:lang w:eastAsia="zh-CN"/>
        </w:rPr>
        <w:t>第一节</w:t>
      </w:r>
      <w:r>
        <w:rPr>
          <w:rFonts w:hint="eastAsia" w:ascii="宋体" w:hAnsi="宋体" w:cs="宋体"/>
          <w:b/>
          <w:color w:val="auto"/>
          <w:sz w:val="32"/>
          <w:szCs w:val="32"/>
          <w:lang w:val="en-US" w:eastAsia="zh-CN"/>
        </w:rPr>
        <w:t xml:space="preserve"> </w:t>
      </w:r>
      <w:r>
        <w:rPr>
          <w:rFonts w:hint="eastAsia" w:ascii="宋体" w:hAnsi="宋体" w:cs="宋体"/>
          <w:b/>
          <w:color w:val="auto"/>
          <w:sz w:val="32"/>
          <w:szCs w:val="32"/>
        </w:rPr>
        <w:t>政府采购合同协议书</w:t>
      </w:r>
      <w:bookmarkEnd w:id="57"/>
      <w:bookmarkEnd w:id="58"/>
    </w:p>
    <w:p>
      <w:pPr>
        <w:jc w:val="both"/>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政府采购编号：</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ab/>
      </w:r>
    </w:p>
    <w:p>
      <w:pPr>
        <w:jc w:val="both"/>
        <w:rPr>
          <w:rFonts w:hint="eastAsia" w:asciiTheme="majorEastAsia" w:hAnsiTheme="majorEastAsia" w:eastAsiaTheme="majorEastAsia" w:cstheme="majorEastAsia"/>
          <w:color w:val="auto"/>
          <w:kern w:val="0"/>
          <w:sz w:val="21"/>
          <w:szCs w:val="21"/>
          <w:lang w:val="en-US" w:eastAsia="zh-CN" w:bidi="ar-SA"/>
        </w:rPr>
      </w:pP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eastAsia="zh-CN"/>
        </w:rPr>
        <w:t>采购人</w:t>
      </w:r>
      <w:r>
        <w:rPr>
          <w:rFonts w:hint="eastAsia" w:asciiTheme="majorEastAsia" w:hAnsiTheme="majorEastAsia" w:eastAsiaTheme="majorEastAsia" w:cstheme="majorEastAsia"/>
          <w:color w:val="auto"/>
          <w:szCs w:val="21"/>
        </w:rPr>
        <w:t>（全称）：</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（甲方）</w:t>
      </w:r>
    </w:p>
    <w:p>
      <w:pPr>
        <w:jc w:val="both"/>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kern w:val="0"/>
          <w:sz w:val="21"/>
          <w:szCs w:val="21"/>
          <w:lang w:val="en-US" w:eastAsia="zh-CN" w:bidi="ar-SA"/>
        </w:rPr>
        <w:t xml:space="preserve">   </w:t>
      </w:r>
      <w:r>
        <w:rPr>
          <w:rFonts w:hint="eastAsia" w:asciiTheme="majorEastAsia" w:hAnsiTheme="majorEastAsia" w:eastAsiaTheme="majorEastAsia" w:cstheme="majorEastAsia"/>
          <w:color w:val="auto"/>
          <w:szCs w:val="21"/>
        </w:rPr>
        <w:t xml:space="preserve">                       </w:t>
      </w:r>
      <w:r>
        <w:rPr>
          <w:rFonts w:hint="eastAsia" w:asciiTheme="majorEastAsia" w:hAnsiTheme="majorEastAsia" w:eastAsiaTheme="majorEastAsia" w:cstheme="majorEastAsia"/>
          <w:color w:val="auto"/>
          <w:szCs w:val="21"/>
          <w:lang w:val="en-US" w:eastAsia="zh-CN"/>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供应商（全称）：</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（乙方）</w:t>
      </w:r>
    </w:p>
    <w:p>
      <w:pPr>
        <w:pStyle w:val="3"/>
        <w:adjustRightInd w:val="0"/>
        <w:snapToGrid w:val="0"/>
        <w:spacing w:after="0" w:line="360" w:lineRule="auto"/>
        <w:rPr>
          <w:rFonts w:hint="eastAsia" w:asciiTheme="majorEastAsia" w:hAnsiTheme="majorEastAsia" w:eastAsiaTheme="majorEastAsia" w:cstheme="majorEastAsia"/>
          <w:color w:val="auto"/>
          <w:sz w:val="21"/>
          <w:szCs w:val="21"/>
        </w:rPr>
      </w:pPr>
    </w:p>
    <w:p>
      <w:pPr>
        <w:pStyle w:val="3"/>
        <w:adjustRightInd w:val="0"/>
        <w:snapToGrid w:val="0"/>
        <w:spacing w:after="0" w:line="360" w:lineRule="auto"/>
        <w:ind w:left="0" w:leftChars="0" w:firstLine="420" w:firstLineChars="20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为了保护甲、乙双方合法权益，根据《中华人民共和国合同法》、《中华人民共和国政府采购法》及其他有关法律、法规、规章，双方签订本合同协议书。</w:t>
      </w:r>
    </w:p>
    <w:p>
      <w:pPr>
        <w:adjustRightInd w:val="0"/>
        <w:snapToGrid w:val="0"/>
        <w:spacing w:line="360" w:lineRule="auto"/>
        <w:ind w:firstLine="422" w:firstLineChars="200"/>
        <w:rPr>
          <w:rFonts w:hint="eastAsia"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1.项目信息</w:t>
      </w:r>
    </w:p>
    <w:p>
      <w:pPr>
        <w:pStyle w:val="3"/>
        <w:adjustRightInd w:val="0"/>
        <w:snapToGrid w:val="0"/>
        <w:spacing w:after="0" w:line="36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（1）采购项目名称：</w:t>
      </w:r>
      <w:r>
        <w:rPr>
          <w:rFonts w:hint="eastAsia" w:asciiTheme="majorEastAsia" w:hAnsiTheme="majorEastAsia" w:eastAsiaTheme="majorEastAsia" w:cstheme="majorEastAsia"/>
          <w:color w:val="auto"/>
          <w:sz w:val="21"/>
          <w:szCs w:val="21"/>
          <w:u w:val="single"/>
        </w:rPr>
        <w:t xml:space="preserve">                                          </w:t>
      </w:r>
    </w:p>
    <w:p>
      <w:pPr>
        <w:pStyle w:val="3"/>
        <w:adjustRightInd w:val="0"/>
        <w:snapToGrid w:val="0"/>
        <w:spacing w:after="0" w:line="360" w:lineRule="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（2）采购计划编号：</w:t>
      </w:r>
      <w:r>
        <w:rPr>
          <w:rFonts w:hint="eastAsia" w:asciiTheme="majorEastAsia" w:hAnsiTheme="majorEastAsia" w:eastAsiaTheme="majorEastAsia" w:cstheme="majorEastAsia"/>
          <w:color w:val="auto"/>
          <w:sz w:val="21"/>
          <w:szCs w:val="21"/>
          <w:u w:val="single"/>
        </w:rPr>
        <w:t xml:space="preserve">                          </w:t>
      </w:r>
      <w:r>
        <w:rPr>
          <w:rFonts w:hint="eastAsia" w:asciiTheme="majorEastAsia" w:hAnsiTheme="majorEastAsia" w:eastAsiaTheme="majorEastAsia" w:cstheme="majorEastAsia"/>
          <w:color w:val="auto"/>
          <w:sz w:val="21"/>
          <w:szCs w:val="21"/>
        </w:rPr>
        <w:t xml:space="preserve">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（3）项目内容：</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840" w:firstLineChars="4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（工程项目）承包范围：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项目经理：</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w:t>
      </w:r>
    </w:p>
    <w:p>
      <w:pPr>
        <w:adjustRightInd w:val="0"/>
        <w:snapToGrid w:val="0"/>
        <w:spacing w:line="360" w:lineRule="auto"/>
        <w:ind w:firstLine="413" w:firstLineChars="196"/>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2.合同金额</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（1）合同金额小写：</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1260" w:firstLineChars="6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color w:val="auto"/>
          <w:szCs w:val="21"/>
        </w:rPr>
        <w:t>大写：</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（2）具体标的见附件。</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（3）合同价格形式：</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u w:val="single"/>
          <w:lang w:val="en-US" w:eastAsia="zh-CN"/>
        </w:rPr>
        <w:t xml:space="preserve">        </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w:t>
      </w:r>
    </w:p>
    <w:p>
      <w:pPr>
        <w:adjustRightInd w:val="0"/>
        <w:snapToGrid w:val="0"/>
        <w:spacing w:line="360" w:lineRule="auto"/>
        <w:ind w:firstLine="422" w:firstLineChars="200"/>
        <w:rPr>
          <w:rFonts w:hint="eastAsia" w:asciiTheme="majorEastAsia" w:hAnsiTheme="majorEastAsia" w:eastAsiaTheme="majorEastAsia" w:cstheme="majorEastAsia"/>
          <w:color w:val="auto"/>
          <w:szCs w:val="21"/>
          <w:u w:val="single"/>
        </w:rPr>
      </w:pPr>
      <w:r>
        <w:rPr>
          <w:rFonts w:hint="eastAsia" w:asciiTheme="majorEastAsia" w:hAnsiTheme="majorEastAsia" w:eastAsiaTheme="majorEastAsia" w:cstheme="majorEastAsia"/>
          <w:b/>
          <w:color w:val="auto"/>
          <w:szCs w:val="21"/>
        </w:rPr>
        <w:t>3.履行合同的时间、地点及方式</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630" w:firstLineChars="3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起始日期：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日，完成日期：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日。总日历天数：</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天。</w:t>
      </w:r>
    </w:p>
    <w:p>
      <w:pPr>
        <w:adjustRightInd w:val="0"/>
        <w:snapToGrid w:val="0"/>
        <w:spacing w:line="360" w:lineRule="auto"/>
        <w:ind w:firstLine="630" w:firstLineChars="300"/>
        <w:rPr>
          <w:rFonts w:hint="eastAsia" w:asciiTheme="majorEastAsia" w:hAnsiTheme="majorEastAsia" w:eastAsiaTheme="majorEastAsia" w:cstheme="majorEastAsia"/>
          <w:color w:val="auto"/>
          <w:szCs w:val="21"/>
          <w:u w:val="single"/>
        </w:rPr>
      </w:pPr>
      <w:r>
        <w:rPr>
          <w:rFonts w:hint="eastAsia" w:asciiTheme="majorEastAsia" w:hAnsiTheme="majorEastAsia" w:eastAsiaTheme="majorEastAsia" w:cstheme="majorEastAsia"/>
          <w:color w:val="auto"/>
          <w:szCs w:val="21"/>
        </w:rPr>
        <w:t>地点</w:t>
      </w:r>
      <w:r>
        <w:rPr>
          <w:rFonts w:hint="eastAsia" w:asciiTheme="majorEastAsia" w:hAnsiTheme="majorEastAsia" w:eastAsiaTheme="majorEastAsia" w:cstheme="majorEastAsia"/>
          <w:b/>
          <w:color w:val="auto"/>
          <w:szCs w:val="21"/>
        </w:rPr>
        <w:t>：</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630" w:firstLineChars="3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方式：</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4.付款：</w:t>
      </w:r>
    </w:p>
    <w:p>
      <w:pPr>
        <w:ind w:firstLine="630" w:firstLineChars="300"/>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color w:val="auto"/>
          <w:szCs w:val="21"/>
        </w:rPr>
        <w:t>1、</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5.解决合同纠纷方式</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首先通过双方协商解决，协商解决不成，则通过以下途径之一解决纠纷：</w:t>
      </w:r>
    </w:p>
    <w:p>
      <w:pPr>
        <w:adjustRightInd w:val="0"/>
        <w:snapToGrid w:val="0"/>
        <w:spacing w:line="360" w:lineRule="auto"/>
        <w:ind w:firstLine="840" w:firstLineChars="4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提请仲裁       □ 向人民法院提起诉讼</w:t>
      </w:r>
    </w:p>
    <w:p>
      <w:pPr>
        <w:adjustRightInd w:val="0"/>
        <w:snapToGrid w:val="0"/>
        <w:spacing w:line="360" w:lineRule="auto"/>
        <w:ind w:firstLine="422" w:firstLineChars="200"/>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6.组成合同的文件</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本协议书与下列文件一起构成合同文件，如下述文件之间有任何抵触、矛盾或歧义，应按以下顺序解释：</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（1）在采购或合同履行过程中乙方作出的承诺以及双方协商达成的变更或补充协议</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（2）成交通知书</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（3）响应文件</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（4）政府采购合同格式条款及其附件</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（5）专用合同条款</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（6）通用合同条款（如果有）</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（7）标准、规范及有关技术文件，图纸，已标价工程量清单或预算书（如果有）</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（8）其他合同文件。</w:t>
      </w:r>
    </w:p>
    <w:p>
      <w:pPr>
        <w:adjustRightInd w:val="0"/>
        <w:snapToGrid w:val="0"/>
        <w:spacing w:line="360" w:lineRule="auto"/>
        <w:ind w:firstLine="310" w:firstLineChars="147"/>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7.合同生效</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本合同自</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生效。</w:t>
      </w:r>
    </w:p>
    <w:p>
      <w:pPr>
        <w:adjustRightInd w:val="0"/>
        <w:snapToGrid w:val="0"/>
        <w:spacing w:line="360" w:lineRule="auto"/>
        <w:ind w:firstLine="310" w:firstLineChars="147"/>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8.合同份数</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本合同一式</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份，采购人执</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份，供应商执</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份，均具有同等法律效力。</w:t>
      </w: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合同订立时间：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合同订立地点：</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甲      方：（公章）                     乙      方：（公章）</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法定代表人：</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委托代理人：</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委托代理人：</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电      话：</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电      话：</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传      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         传      真：</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                                    开 户 银 行：</w:t>
      </w:r>
      <w:r>
        <w:rPr>
          <w:rFonts w:hint="eastAsia" w:asciiTheme="majorEastAsia" w:hAnsiTheme="majorEastAsia" w:eastAsiaTheme="majorEastAsia" w:cstheme="majorEastAsia"/>
          <w:color w:val="auto"/>
          <w:szCs w:val="21"/>
          <w:u w:val="single"/>
        </w:rPr>
        <w:t xml:space="preserve">                  </w:t>
      </w:r>
    </w:p>
    <w:p>
      <w:pPr>
        <w:snapToGrid w:val="0"/>
        <w:spacing w:line="360" w:lineRule="auto"/>
        <w:jc w:val="center"/>
        <w:outlineLvl w:val="9"/>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color w:val="auto"/>
          <w:szCs w:val="21"/>
        </w:rPr>
        <w:t xml:space="preserve">        </w:t>
      </w:r>
      <w:r>
        <w:rPr>
          <w:rFonts w:hint="eastAsia" w:asciiTheme="majorEastAsia" w:hAnsiTheme="majorEastAsia" w:eastAsiaTheme="majorEastAsia" w:cstheme="majorEastAsia"/>
          <w:color w:val="auto"/>
          <w:szCs w:val="21"/>
          <w:lang w:val="en-US" w:eastAsia="zh-CN"/>
        </w:rPr>
        <w:t xml:space="preserve">     </w:t>
      </w:r>
      <w:r>
        <w:rPr>
          <w:rFonts w:hint="eastAsia" w:asciiTheme="majorEastAsia" w:hAnsiTheme="majorEastAsia" w:eastAsiaTheme="majorEastAsia" w:cstheme="majorEastAsia"/>
          <w:color w:val="auto"/>
          <w:szCs w:val="21"/>
        </w:rPr>
        <w:t xml:space="preserve"> 帐       号：</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u w:val="single"/>
          <w:lang w:val="en-US" w:eastAsia="zh-CN"/>
        </w:rPr>
        <w:t xml:space="preserve"> </w:t>
      </w:r>
      <w:r>
        <w:rPr>
          <w:rFonts w:hint="eastAsia" w:asciiTheme="majorEastAsia" w:hAnsiTheme="majorEastAsia" w:eastAsiaTheme="majorEastAsia" w:cstheme="majorEastAsia"/>
          <w:color w:val="auto"/>
          <w:szCs w:val="21"/>
          <w:u w:val="single"/>
        </w:rPr>
        <w:t xml:space="preserve">    </w:t>
      </w:r>
    </w:p>
    <w:p>
      <w:pPr>
        <w:adjustRightInd w:val="0"/>
        <w:snapToGrid w:val="0"/>
        <w:spacing w:line="440" w:lineRule="exact"/>
        <w:ind w:firstLine="420" w:firstLineChars="200"/>
        <w:outlineLvl w:val="9"/>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outlineLvl w:val="9"/>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outlineLvl w:val="9"/>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rPr>
          <w:rFonts w:hint="eastAsia" w:asciiTheme="majorEastAsia" w:hAnsiTheme="majorEastAsia" w:eastAsiaTheme="majorEastAsia" w:cstheme="majorEastAsia"/>
          <w:bCs/>
          <w:color w:val="auto"/>
          <w:szCs w:val="21"/>
        </w:rPr>
      </w:pPr>
    </w:p>
    <w:p>
      <w:pPr>
        <w:spacing w:line="360" w:lineRule="exact"/>
        <w:jc w:val="center"/>
        <w:rPr>
          <w:rFonts w:hint="eastAsia" w:ascii="宋体" w:hAnsi="宋体"/>
          <w:b/>
          <w:bCs/>
          <w:color w:val="auto"/>
          <w:szCs w:val="21"/>
        </w:rPr>
      </w:pPr>
      <w:r>
        <w:rPr>
          <w:rFonts w:hint="eastAsia" w:ascii="宋体" w:hAnsi="宋体"/>
          <w:b/>
          <w:bCs/>
          <w:color w:val="auto"/>
          <w:szCs w:val="21"/>
        </w:rPr>
        <w:t>此合同格式仅做参考，具体乙双方签订为准。</w:t>
      </w:r>
    </w:p>
    <w:p>
      <w:pPr>
        <w:adjustRightInd w:val="0"/>
        <w:snapToGrid w:val="0"/>
        <w:spacing w:line="440" w:lineRule="exact"/>
        <w:ind w:firstLine="420" w:firstLineChars="200"/>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rPr>
          <w:rFonts w:hint="eastAsia" w:asciiTheme="majorEastAsia" w:hAnsiTheme="majorEastAsia" w:eastAsiaTheme="majorEastAsia" w:cstheme="majorEastAsia"/>
          <w:bCs/>
          <w:color w:val="auto"/>
          <w:szCs w:val="21"/>
        </w:rPr>
      </w:pPr>
    </w:p>
    <w:p>
      <w:pPr>
        <w:adjustRightInd w:val="0"/>
        <w:snapToGrid w:val="0"/>
        <w:spacing w:line="440" w:lineRule="exact"/>
        <w:ind w:firstLine="420" w:firstLineChars="200"/>
        <w:rPr>
          <w:rFonts w:hint="eastAsia" w:asciiTheme="majorEastAsia" w:hAnsiTheme="majorEastAsia" w:eastAsiaTheme="majorEastAsia" w:cstheme="majorEastAsia"/>
          <w:bCs/>
          <w:color w:val="auto"/>
          <w:szCs w:val="21"/>
        </w:rPr>
      </w:pPr>
    </w:p>
    <w:p>
      <w:pPr>
        <w:adjustRightInd w:val="0"/>
        <w:snapToGrid w:val="0"/>
        <w:spacing w:line="440" w:lineRule="exact"/>
        <w:rPr>
          <w:rFonts w:hint="eastAsia" w:asciiTheme="majorEastAsia" w:hAnsiTheme="majorEastAsia" w:eastAsiaTheme="majorEastAsia" w:cstheme="majorEastAsia"/>
          <w:bCs/>
          <w:color w:val="auto"/>
          <w:szCs w:val="21"/>
        </w:rPr>
      </w:pPr>
    </w:p>
    <w:p>
      <w:pPr>
        <w:adjustRightInd w:val="0"/>
        <w:snapToGrid w:val="0"/>
        <w:spacing w:before="156" w:beforeLines="50" w:line="360" w:lineRule="auto"/>
        <w:jc w:val="both"/>
        <w:rPr>
          <w:rFonts w:hint="eastAsia" w:asciiTheme="majorEastAsia" w:hAnsiTheme="majorEastAsia" w:eastAsiaTheme="majorEastAsia" w:cstheme="majorEastAsia"/>
          <w:b/>
          <w:color w:val="auto"/>
          <w:sz w:val="32"/>
          <w:szCs w:val="32"/>
        </w:rPr>
      </w:pPr>
    </w:p>
    <w:p>
      <w:pPr>
        <w:pStyle w:val="39"/>
        <w:rPr>
          <w:rFonts w:hint="eastAsia"/>
          <w:color w:val="auto"/>
        </w:rPr>
      </w:pPr>
    </w:p>
    <w:p>
      <w:pPr>
        <w:adjustRightInd w:val="0"/>
        <w:snapToGrid w:val="0"/>
        <w:spacing w:before="156" w:beforeLines="50" w:line="360" w:lineRule="auto"/>
        <w:jc w:val="center"/>
        <w:outlineLvl w:val="1"/>
        <w:rPr>
          <w:rFonts w:hint="eastAsia" w:ascii="宋体" w:hAnsi="宋体" w:eastAsia="宋体" w:cs="宋体"/>
          <w:b/>
          <w:color w:val="auto"/>
          <w:sz w:val="32"/>
          <w:szCs w:val="32"/>
        </w:rPr>
      </w:pPr>
      <w:bookmarkStart w:id="59" w:name="_Toc30211"/>
      <w:r>
        <w:rPr>
          <w:rFonts w:hint="eastAsia" w:ascii="宋体" w:hAnsi="宋体" w:cs="宋体"/>
          <w:b/>
          <w:color w:val="auto"/>
          <w:sz w:val="32"/>
          <w:szCs w:val="32"/>
          <w:lang w:eastAsia="zh-CN"/>
        </w:rPr>
        <w:t>第二节</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lang w:eastAsia="zh-CN"/>
        </w:rPr>
        <w:t>合同</w:t>
      </w:r>
      <w:r>
        <w:rPr>
          <w:rFonts w:hint="eastAsia" w:ascii="宋体" w:hAnsi="宋体" w:eastAsia="宋体" w:cs="宋体"/>
          <w:b/>
          <w:color w:val="auto"/>
          <w:sz w:val="32"/>
          <w:szCs w:val="32"/>
        </w:rPr>
        <w:t>条款</w:t>
      </w:r>
      <w:bookmarkEnd w:id="59"/>
    </w:p>
    <w:p>
      <w:pPr>
        <w:pStyle w:val="3"/>
        <w:adjustRightInd w:val="0"/>
        <w:snapToGrid w:val="0"/>
        <w:spacing w:after="0" w:line="360" w:lineRule="auto"/>
        <w:ind w:left="0" w:leftChars="0" w:firstLine="422" w:firstLineChars="200"/>
        <w:rPr>
          <w:rFonts w:hint="eastAsia" w:ascii="宋体" w:hAnsi="宋体" w:cs="宋体"/>
          <w:b/>
          <w:color w:val="auto"/>
          <w:sz w:val="21"/>
          <w:szCs w:val="21"/>
        </w:rPr>
      </w:pPr>
      <w:r>
        <w:rPr>
          <w:rFonts w:hint="eastAsia" w:ascii="宋体" w:hAnsi="宋体" w:cs="宋体"/>
          <w:b/>
          <w:color w:val="auto"/>
          <w:sz w:val="21"/>
          <w:szCs w:val="21"/>
        </w:rPr>
        <w:t>(一)、合同通用条款</w:t>
      </w:r>
    </w:p>
    <w:p>
      <w:pPr>
        <w:pStyle w:val="3"/>
        <w:adjustRightInd w:val="0"/>
        <w:snapToGrid w:val="0"/>
        <w:spacing w:after="0" w:line="360" w:lineRule="auto"/>
        <w:ind w:left="0" w:leftChars="0" w:firstLine="420" w:firstLineChars="200"/>
        <w:rPr>
          <w:rFonts w:hint="eastAsia" w:ascii="宋体" w:hAnsi="宋体" w:cs="宋体"/>
          <w:color w:val="auto"/>
          <w:sz w:val="21"/>
          <w:szCs w:val="21"/>
        </w:rPr>
      </w:pPr>
      <w:r>
        <w:rPr>
          <w:rFonts w:hint="eastAsia" w:ascii="宋体" w:hAnsi="宋体" w:cs="宋体"/>
          <w:color w:val="auto"/>
          <w:sz w:val="21"/>
          <w:szCs w:val="21"/>
        </w:rPr>
        <w:t>本合同通用条款按《</w:t>
      </w:r>
      <w:r>
        <w:rPr>
          <w:rFonts w:hint="eastAsia" w:ascii="宋体" w:hAnsi="宋体" w:cs="宋体"/>
          <w:color w:val="auto"/>
          <w:sz w:val="21"/>
          <w:szCs w:val="21"/>
          <w:lang w:eastAsia="zh-CN"/>
        </w:rPr>
        <w:t>湖南省</w:t>
      </w:r>
      <w:r>
        <w:rPr>
          <w:rFonts w:hint="eastAsia" w:ascii="宋体" w:hAnsi="宋体" w:cs="宋体"/>
          <w:color w:val="auto"/>
          <w:sz w:val="21"/>
          <w:szCs w:val="21"/>
        </w:rPr>
        <w:t>建设工程施工合同示范文本》（</w:t>
      </w:r>
      <w:r>
        <w:rPr>
          <w:rFonts w:hint="eastAsia" w:ascii="宋体" w:hAnsi="宋体" w:cs="宋体"/>
          <w:color w:val="auto"/>
          <w:sz w:val="21"/>
          <w:szCs w:val="21"/>
          <w:lang w:eastAsia="zh-CN"/>
        </w:rPr>
        <w:t>HNJS-2014</w:t>
      </w:r>
      <w:r>
        <w:rPr>
          <w:rFonts w:hint="eastAsia" w:ascii="宋体" w:hAnsi="宋体" w:cs="宋体"/>
          <w:color w:val="auto"/>
          <w:sz w:val="21"/>
          <w:szCs w:val="21"/>
        </w:rPr>
        <w:t>）中的合同通用条款执行。</w:t>
      </w:r>
    </w:p>
    <w:p>
      <w:pPr>
        <w:pStyle w:val="3"/>
        <w:adjustRightInd w:val="0"/>
        <w:snapToGrid w:val="0"/>
        <w:spacing w:after="0" w:line="360" w:lineRule="auto"/>
        <w:ind w:left="0" w:leftChars="0" w:firstLine="422" w:firstLineChars="200"/>
        <w:rPr>
          <w:rFonts w:hint="eastAsia" w:ascii="宋体" w:hAnsi="宋体" w:cs="宋体"/>
          <w:b/>
          <w:color w:val="auto"/>
          <w:sz w:val="21"/>
          <w:szCs w:val="21"/>
        </w:rPr>
      </w:pPr>
      <w:r>
        <w:rPr>
          <w:rFonts w:hint="eastAsia" w:ascii="宋体" w:hAnsi="宋体" w:cs="宋体"/>
          <w:b/>
          <w:color w:val="auto"/>
          <w:sz w:val="21"/>
          <w:szCs w:val="21"/>
        </w:rPr>
        <w:t>(二)、合同专用条款</w:t>
      </w:r>
    </w:p>
    <w:p>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olor w:val="auto"/>
          <w:szCs w:val="21"/>
          <w:highlight w:val="none"/>
        </w:rPr>
        <w:t>按采购建设工程的特殊要求，对第二部分通用合同条款的原则性约定进行细化、完善、补充，参照湖南省建设厅指定的《湖南省建设工程施工合同》范本中的合同专用条款。</w:t>
      </w:r>
    </w:p>
    <w:p>
      <w:pPr>
        <w:adjustRightInd w:val="0"/>
        <w:snapToGrid w:val="0"/>
        <w:spacing w:before="156" w:beforeLines="50" w:line="360" w:lineRule="auto"/>
        <w:rPr>
          <w:rFonts w:hint="eastAsia" w:ascii="宋体" w:hAnsi="宋体" w:eastAsia="宋体" w:cs="宋体"/>
          <w:b/>
          <w:color w:val="auto"/>
          <w:sz w:val="32"/>
          <w:szCs w:val="32"/>
        </w:rPr>
      </w:pPr>
    </w:p>
    <w:p>
      <w:pPr>
        <w:adjustRightInd w:val="0"/>
        <w:snapToGrid w:val="0"/>
        <w:spacing w:line="360" w:lineRule="auto"/>
        <w:ind w:firstLine="420" w:firstLineChars="200"/>
        <w:rPr>
          <w:rFonts w:hint="eastAsia" w:asciiTheme="majorEastAsia" w:hAnsiTheme="majorEastAsia" w:eastAsiaTheme="majorEastAsia" w:cstheme="majorEastAsia"/>
          <w:color w:val="auto"/>
          <w:szCs w:val="21"/>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spacing w:line="900" w:lineRule="exact"/>
        <w:jc w:val="center"/>
        <w:rPr>
          <w:rFonts w:hint="eastAsia" w:ascii="宋体" w:hAnsi="宋体" w:eastAsia="宋体" w:cs="宋体"/>
          <w:b/>
          <w:color w:val="auto"/>
          <w:spacing w:val="-30"/>
          <w:w w:val="90"/>
          <w:sz w:val="28"/>
          <w:szCs w:val="28"/>
          <w:highlight w:val="none"/>
        </w:rPr>
      </w:pPr>
      <w:r>
        <w:rPr>
          <w:rFonts w:hint="eastAsia" w:ascii="宋体" w:hAnsi="宋体" w:eastAsia="宋体" w:cs="宋体"/>
          <w:b/>
          <w:color w:val="auto"/>
          <w:spacing w:val="20"/>
          <w:w w:val="90"/>
          <w:sz w:val="28"/>
          <w:szCs w:val="28"/>
          <w:highlight w:val="none"/>
        </w:rPr>
        <w:br w:type="page"/>
      </w:r>
    </w:p>
    <w:p>
      <w:pPr>
        <w:numPr>
          <w:ilvl w:val="0"/>
          <w:numId w:val="0"/>
        </w:numPr>
        <w:adjustRightInd w:val="0"/>
        <w:snapToGrid w:val="0"/>
        <w:spacing w:before="156" w:beforeLines="50" w:line="360" w:lineRule="auto"/>
        <w:jc w:val="center"/>
        <w:outlineLvl w:val="0"/>
        <w:rPr>
          <w:rFonts w:hint="eastAsia" w:asciiTheme="majorEastAsia" w:hAnsiTheme="majorEastAsia" w:eastAsiaTheme="majorEastAsia" w:cstheme="majorEastAsia"/>
          <w:b/>
          <w:color w:val="auto"/>
          <w:sz w:val="32"/>
          <w:szCs w:val="32"/>
        </w:rPr>
      </w:pPr>
      <w:bookmarkStart w:id="60" w:name="_Toc6253"/>
      <w:r>
        <w:rPr>
          <w:rFonts w:hint="eastAsia" w:asciiTheme="majorEastAsia" w:hAnsiTheme="majorEastAsia" w:eastAsiaTheme="majorEastAsia" w:cstheme="majorEastAsia"/>
          <w:b/>
          <w:color w:val="auto"/>
          <w:sz w:val="32"/>
          <w:szCs w:val="32"/>
          <w:lang w:eastAsia="zh-CN"/>
        </w:rPr>
        <w:t>第六章</w:t>
      </w:r>
      <w:r>
        <w:rPr>
          <w:rFonts w:hint="eastAsia" w:asciiTheme="majorEastAsia" w:hAnsiTheme="majorEastAsia" w:eastAsiaTheme="majorEastAsia" w:cstheme="majorEastAsia"/>
          <w:b/>
          <w:color w:val="auto"/>
          <w:sz w:val="32"/>
          <w:szCs w:val="32"/>
          <w:lang w:val="en-US" w:eastAsia="zh-CN"/>
        </w:rPr>
        <w:t xml:space="preserve"> </w:t>
      </w:r>
      <w:r>
        <w:rPr>
          <w:rFonts w:hint="eastAsia" w:asciiTheme="majorEastAsia" w:hAnsiTheme="majorEastAsia" w:eastAsiaTheme="majorEastAsia" w:cstheme="majorEastAsia"/>
          <w:b/>
          <w:color w:val="auto"/>
          <w:sz w:val="32"/>
          <w:szCs w:val="32"/>
        </w:rPr>
        <w:t>采购需求</w:t>
      </w:r>
      <w:bookmarkEnd w:id="60"/>
    </w:p>
    <w:p>
      <w:pPr>
        <w:adjustRightInd w:val="0"/>
        <w:snapToGrid w:val="0"/>
        <w:spacing w:line="360" w:lineRule="auto"/>
        <w:outlineLvl w:val="1"/>
        <w:rPr>
          <w:rFonts w:hint="eastAsia" w:asciiTheme="majorEastAsia" w:hAnsiTheme="majorEastAsia" w:eastAsiaTheme="majorEastAsia" w:cstheme="majorEastAsia"/>
          <w:b/>
          <w:bCs/>
          <w:color w:val="auto"/>
          <w:szCs w:val="21"/>
        </w:rPr>
      </w:pPr>
      <w:bookmarkStart w:id="61" w:name="_Toc9839"/>
      <w:r>
        <w:rPr>
          <w:rFonts w:hint="eastAsia" w:asciiTheme="majorEastAsia" w:hAnsiTheme="majorEastAsia" w:eastAsiaTheme="majorEastAsia" w:cstheme="majorEastAsia"/>
          <w:b/>
          <w:bCs/>
          <w:color w:val="auto"/>
          <w:szCs w:val="21"/>
        </w:rPr>
        <w:t>一、项目概况</w:t>
      </w:r>
      <w:bookmarkEnd w:id="6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rPr>
        <w:t>1、采购项目名称</w:t>
      </w: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val="en-US" w:eastAsia="zh-CN"/>
        </w:rPr>
        <w:t>茶陵县秩堂镇马吉村红色美丽村庄建设项目户外高清P6全彩显示屏采购项目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Theme="minorEastAsia" w:hAnsiTheme="minorEastAsia" w:eastAsiaTheme="minorEastAsia" w:cstheme="minorEastAsia"/>
          <w:color w:val="auto"/>
          <w:kern w:val="2"/>
          <w:sz w:val="28"/>
          <w:szCs w:val="28"/>
          <w:lang w:val="en-US" w:eastAsia="zh-CN" w:bidi="ar-SA"/>
        </w:rPr>
      </w:pPr>
      <w:r>
        <w:rPr>
          <w:rFonts w:hint="eastAsia" w:asciiTheme="majorEastAsia" w:hAnsiTheme="majorEastAsia" w:eastAsiaTheme="majorEastAsia" w:cstheme="majorEastAsia"/>
          <w:b/>
          <w:bCs/>
          <w:color w:val="auto"/>
          <w:sz w:val="21"/>
          <w:szCs w:val="21"/>
          <w:highlight w:val="none"/>
        </w:rPr>
        <w:t>2、建设地点</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color w:val="auto"/>
          <w:sz w:val="21"/>
          <w:szCs w:val="21"/>
          <w:highlight w:val="none"/>
          <w:lang w:val="en-US" w:eastAsia="zh-CN"/>
        </w:rPr>
        <w:t>茶陵县秩堂镇马吉村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default"/>
          <w:color w:val="auto"/>
          <w:sz w:val="24"/>
          <w:szCs w:val="24"/>
          <w:lang w:val="en-US" w:eastAsia="zh-CN"/>
        </w:rPr>
      </w:pPr>
      <w:r>
        <w:rPr>
          <w:rFonts w:hint="eastAsia" w:asciiTheme="majorEastAsia" w:hAnsiTheme="majorEastAsia" w:eastAsiaTheme="majorEastAsia" w:cstheme="majorEastAsia"/>
          <w:b/>
          <w:bCs/>
          <w:color w:val="auto"/>
          <w:sz w:val="21"/>
          <w:szCs w:val="21"/>
          <w:highlight w:val="none"/>
        </w:rPr>
        <w:t>3、</w:t>
      </w:r>
      <w:r>
        <w:rPr>
          <w:rFonts w:hint="eastAsia" w:asciiTheme="majorEastAsia" w:hAnsiTheme="majorEastAsia" w:eastAsiaTheme="majorEastAsia" w:cstheme="majorEastAsia"/>
          <w:b/>
          <w:bCs/>
          <w:color w:val="auto"/>
          <w:sz w:val="21"/>
          <w:szCs w:val="21"/>
          <w:highlight w:val="none"/>
          <w:lang w:eastAsia="zh-CN"/>
        </w:rPr>
        <w:t>项目主要内容</w:t>
      </w:r>
      <w:r>
        <w:rPr>
          <w:rFonts w:hint="eastAsia" w:asciiTheme="majorEastAsia" w:hAnsiTheme="majorEastAsia" w:eastAsiaTheme="majorEastAsia" w:cstheme="majorEastAsia"/>
          <w:color w:val="auto"/>
          <w:sz w:val="21"/>
          <w:szCs w:val="21"/>
          <w:highlight w:val="none"/>
          <w:lang w:eastAsia="zh-CN"/>
        </w:rPr>
        <w:t>：</w:t>
      </w:r>
      <w:r>
        <w:rPr>
          <w:rFonts w:hint="eastAsia" w:asciiTheme="majorEastAsia" w:hAnsiTheme="majorEastAsia" w:eastAsiaTheme="majorEastAsia" w:cstheme="majorEastAsia"/>
          <w:color w:val="auto"/>
          <w:sz w:val="21"/>
          <w:szCs w:val="21"/>
          <w:highlight w:val="none"/>
          <w:lang w:val="en-US" w:eastAsia="zh-CN"/>
        </w:rPr>
        <w:t>主要包含户外高清P6全彩显示屏采购安装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eastAsia="宋体" w:cs="Times New Roman"/>
          <w:color w:val="auto"/>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4、招标范围</w:t>
      </w:r>
      <w:r>
        <w:rPr>
          <w:rFonts w:hint="eastAsia" w:asciiTheme="majorEastAsia" w:hAnsiTheme="majorEastAsia" w:eastAsiaTheme="majorEastAsia" w:cstheme="majorEastAsia"/>
          <w:color w:val="auto"/>
          <w:sz w:val="21"/>
          <w:szCs w:val="21"/>
          <w:highlight w:val="none"/>
          <w:lang w:val="en-US" w:eastAsia="zh-CN"/>
        </w:rPr>
        <w:t>：</w:t>
      </w:r>
      <w:r>
        <w:rPr>
          <w:rFonts w:hint="eastAsia" w:ascii="宋体" w:hAnsi="宋体"/>
          <w:color w:val="auto"/>
          <w:szCs w:val="21"/>
          <w:highlight w:val="none"/>
          <w:lang w:val="en-US" w:eastAsia="zh-CN"/>
        </w:rPr>
        <w:t>本招标项目的招标范围</w:t>
      </w:r>
      <w:r>
        <w:rPr>
          <w:rFonts w:hint="eastAsia" w:ascii="宋体" w:hAnsi="宋体" w:eastAsia="宋体" w:cs="Times New Roman"/>
          <w:color w:val="auto"/>
          <w:szCs w:val="21"/>
          <w:highlight w:val="none"/>
          <w:lang w:val="en-US" w:eastAsia="zh-CN"/>
        </w:rPr>
        <w:t>为全部内容。具体以项目</w:t>
      </w:r>
      <w:r>
        <w:rPr>
          <w:rFonts w:hint="eastAsia" w:ascii="宋体" w:hAnsi="宋体" w:cs="Times New Roman"/>
          <w:color w:val="auto"/>
          <w:szCs w:val="21"/>
          <w:highlight w:val="none"/>
          <w:lang w:val="en-US" w:eastAsia="zh-CN"/>
        </w:rPr>
        <w:t>采购</w:t>
      </w:r>
      <w:r>
        <w:rPr>
          <w:rFonts w:hint="eastAsia" w:ascii="宋体" w:hAnsi="宋体" w:eastAsia="宋体" w:cs="Times New Roman"/>
          <w:color w:val="auto"/>
          <w:szCs w:val="21"/>
          <w:highlight w:val="none"/>
          <w:lang w:val="en-US" w:eastAsia="zh-CN"/>
        </w:rPr>
        <w:t>清单为准。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5、采购项目的主要需求及磋商可能实质性变动内容：</w:t>
      </w:r>
    </w:p>
    <w:tbl>
      <w:tblPr>
        <w:tblStyle w:val="20"/>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436"/>
        <w:gridCol w:w="2299"/>
        <w:gridCol w:w="1654"/>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6" w:type="dxa"/>
            <w:vMerge w:val="restart"/>
            <w:noWrap w:val="0"/>
            <w:vAlign w:val="center"/>
          </w:tcPr>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品目号</w:t>
            </w:r>
          </w:p>
        </w:tc>
        <w:tc>
          <w:tcPr>
            <w:tcW w:w="1436" w:type="dxa"/>
            <w:vMerge w:val="restart"/>
            <w:noWrap w:val="0"/>
            <w:vAlign w:val="center"/>
          </w:tcPr>
          <w:p>
            <w:pPr>
              <w:widowControl/>
              <w:adjustRightInd w:val="0"/>
              <w:snapToGrid w:val="0"/>
              <w:jc w:val="cente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标的物</w:t>
            </w:r>
          </w:p>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名称</w:t>
            </w:r>
          </w:p>
        </w:tc>
        <w:tc>
          <w:tcPr>
            <w:tcW w:w="7664" w:type="dxa"/>
            <w:gridSpan w:val="3"/>
            <w:noWrap w:val="0"/>
            <w:vAlign w:val="center"/>
          </w:tcPr>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标的主要需求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6" w:type="dxa"/>
            <w:vMerge w:val="continue"/>
            <w:noWrap w:val="0"/>
            <w:vAlign w:val="center"/>
          </w:tcPr>
          <w:p>
            <w:pPr>
              <w:widowControl/>
              <w:adjustRightInd w:val="0"/>
              <w:snapToGrid w:val="0"/>
              <w:jc w:val="left"/>
              <w:rPr>
                <w:rFonts w:hint="eastAsia" w:asciiTheme="majorEastAsia" w:hAnsiTheme="majorEastAsia" w:eastAsiaTheme="majorEastAsia" w:cstheme="majorEastAsia"/>
                <w:color w:val="auto"/>
                <w:sz w:val="18"/>
                <w:szCs w:val="18"/>
              </w:rPr>
            </w:pPr>
          </w:p>
        </w:tc>
        <w:tc>
          <w:tcPr>
            <w:tcW w:w="1436" w:type="dxa"/>
            <w:vMerge w:val="continue"/>
            <w:noWrap w:val="0"/>
            <w:vAlign w:val="center"/>
          </w:tcPr>
          <w:p>
            <w:pPr>
              <w:widowControl/>
              <w:adjustRightInd w:val="0"/>
              <w:snapToGrid w:val="0"/>
              <w:jc w:val="left"/>
              <w:rPr>
                <w:rFonts w:hint="eastAsia" w:asciiTheme="majorEastAsia" w:hAnsiTheme="majorEastAsia" w:eastAsiaTheme="majorEastAsia" w:cstheme="majorEastAsia"/>
                <w:color w:val="auto"/>
                <w:sz w:val="18"/>
                <w:szCs w:val="18"/>
              </w:rPr>
            </w:pPr>
          </w:p>
        </w:tc>
        <w:tc>
          <w:tcPr>
            <w:tcW w:w="2299" w:type="dxa"/>
            <w:noWrap w:val="0"/>
            <w:vAlign w:val="center"/>
          </w:tcPr>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技术</w:t>
            </w:r>
          </w:p>
        </w:tc>
        <w:tc>
          <w:tcPr>
            <w:tcW w:w="1654" w:type="dxa"/>
            <w:noWrap w:val="0"/>
            <w:vAlign w:val="center"/>
          </w:tcPr>
          <w:p>
            <w:pPr>
              <w:widowControl/>
              <w:adjustRightInd w:val="0"/>
              <w:snapToGrid w:val="0"/>
              <w:jc w:val="center"/>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kern w:val="0"/>
                <w:szCs w:val="21"/>
              </w:rPr>
              <w:t>服务</w:t>
            </w:r>
          </w:p>
        </w:tc>
        <w:tc>
          <w:tcPr>
            <w:tcW w:w="3711" w:type="dxa"/>
            <w:noWrap w:val="0"/>
            <w:vAlign w:val="center"/>
          </w:tcPr>
          <w:p>
            <w:pPr>
              <w:widowControl/>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kern w:val="0"/>
                <w:szCs w:val="21"/>
              </w:rPr>
              <w:t>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16" w:type="dxa"/>
            <w:noWrap w:val="0"/>
            <w:vAlign w:val="center"/>
          </w:tcPr>
          <w:p>
            <w:pPr>
              <w:adjustRightInd w:val="0"/>
              <w:snapToGrid w:val="0"/>
              <w:jc w:val="center"/>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Cs w:val="21"/>
              </w:rPr>
              <w:t>1</w:t>
            </w:r>
          </w:p>
        </w:tc>
        <w:tc>
          <w:tcPr>
            <w:tcW w:w="1436" w:type="dxa"/>
            <w:noWrap w:val="0"/>
            <w:vAlign w:val="center"/>
          </w:tcPr>
          <w:p>
            <w:pPr>
              <w:adjustRightInd w:val="0"/>
              <w:snapToGrid w:val="0"/>
              <w:rPr>
                <w:rFonts w:hint="eastAsia" w:asciiTheme="majorEastAsia" w:hAnsiTheme="majorEastAsia" w:eastAsiaTheme="majorEastAsia" w:cstheme="majorEastAsia"/>
                <w:color w:val="auto"/>
                <w:sz w:val="18"/>
                <w:szCs w:val="18"/>
              </w:rPr>
            </w:pPr>
            <w:r>
              <w:rPr>
                <w:rFonts w:hint="eastAsia" w:asciiTheme="majorEastAsia" w:hAnsiTheme="majorEastAsia" w:eastAsiaTheme="majorEastAsia" w:cstheme="majorEastAsia"/>
                <w:color w:val="auto"/>
                <w:szCs w:val="21"/>
                <w:lang w:val="en-US" w:eastAsia="zh-CN"/>
              </w:rPr>
              <w:t xml:space="preserve">茶陵县秩堂镇马吉村红色美丽村庄建设项目户外高清P6全彩显示屏采购项目 </w:t>
            </w:r>
          </w:p>
        </w:tc>
        <w:tc>
          <w:tcPr>
            <w:tcW w:w="2299" w:type="dxa"/>
            <w:noWrap w:val="0"/>
            <w:vAlign w:val="center"/>
          </w:tcPr>
          <w:p>
            <w:pPr>
              <w:adjustRightInd w:val="0"/>
              <w:snapToGrid w:val="0"/>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1、施工要求：中标人须加强施工的组织管理，所有施工人员须遵守文明安全施工的有关规章制度。</w:t>
            </w:r>
          </w:p>
          <w:p>
            <w:pPr>
              <w:adjustRightInd w:val="0"/>
              <w:snapToGrid w:val="0"/>
              <w:rPr>
                <w:rFonts w:hint="eastAsia" w:asciiTheme="majorEastAsia" w:hAnsiTheme="majorEastAsia" w:eastAsiaTheme="majorEastAsia" w:cstheme="majorEastAsia"/>
                <w:color w:val="auto"/>
                <w:szCs w:val="21"/>
                <w:lang w:val="en-US" w:eastAsia="zh-CN"/>
              </w:rPr>
            </w:pPr>
            <w:r>
              <w:rPr>
                <w:rFonts w:hint="eastAsia" w:asciiTheme="majorEastAsia" w:hAnsiTheme="majorEastAsia" w:eastAsiaTheme="majorEastAsia" w:cstheme="majorEastAsia"/>
                <w:color w:val="auto"/>
                <w:szCs w:val="21"/>
                <w:lang w:val="en-US" w:eastAsia="zh-CN"/>
              </w:rPr>
              <w:t>2、验收要求：由采购人组织验收活动，按相关程序办理。</w:t>
            </w:r>
          </w:p>
        </w:tc>
        <w:tc>
          <w:tcPr>
            <w:tcW w:w="1654" w:type="dxa"/>
            <w:noWrap w:val="0"/>
            <w:vAlign w:val="center"/>
          </w:tcPr>
          <w:p>
            <w:pPr>
              <w:adjustRightInd w:val="0"/>
              <w:snapToGrid w:val="0"/>
              <w:rPr>
                <w:rFonts w:hint="eastAsia" w:asciiTheme="majorEastAsia" w:hAnsiTheme="majorEastAsia" w:eastAsiaTheme="majorEastAsia" w:cstheme="majorEastAsia"/>
                <w:color w:val="auto"/>
                <w:szCs w:val="21"/>
                <w:lang w:val="en-US" w:eastAsia="zh-CN"/>
              </w:rPr>
            </w:pPr>
            <w:r>
              <w:rPr>
                <w:rFonts w:hint="eastAsia" w:ascii="宋体" w:hAnsi="宋体" w:cs="宋体"/>
                <w:color w:val="auto"/>
              </w:rPr>
              <w:t>达到国家现行质量验收评定的标准，一次性验收合格。</w:t>
            </w:r>
          </w:p>
        </w:tc>
        <w:tc>
          <w:tcPr>
            <w:tcW w:w="3711" w:type="dxa"/>
            <w:noWrap w:val="0"/>
            <w:vAlign w:val="center"/>
          </w:tcPr>
          <w:p>
            <w:pPr>
              <w:adjustRightInd w:val="0"/>
              <w:snapToGrid w:val="0"/>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val="en-US" w:eastAsia="zh-CN"/>
              </w:rPr>
              <w:t>1、</w:t>
            </w:r>
            <w:r>
              <w:rPr>
                <w:rFonts w:hint="eastAsia" w:asciiTheme="majorEastAsia" w:hAnsiTheme="majorEastAsia" w:eastAsiaTheme="majorEastAsia" w:cstheme="majorEastAsia"/>
                <w:color w:val="auto"/>
                <w:szCs w:val="21"/>
                <w:lang w:eastAsia="zh-CN"/>
              </w:rPr>
              <w:t>本工程工期要求</w:t>
            </w:r>
            <w:r>
              <w:rPr>
                <w:rFonts w:hint="eastAsia" w:asciiTheme="majorEastAsia" w:hAnsiTheme="majorEastAsia" w:eastAsiaTheme="majorEastAsia" w:cstheme="majorEastAsia"/>
                <w:color w:val="auto"/>
                <w:szCs w:val="21"/>
                <w:lang w:val="en-US" w:eastAsia="zh-CN"/>
              </w:rPr>
              <w:t>3个月。</w:t>
            </w:r>
          </w:p>
          <w:p>
            <w:pPr>
              <w:adjustRightInd w:val="0"/>
              <w:snapToGrid w:val="0"/>
              <w:rPr>
                <w:rFonts w:hint="eastAsia" w:asciiTheme="majorEastAsia" w:hAnsiTheme="majorEastAsia" w:eastAsiaTheme="majorEastAsia" w:cstheme="majorEastAsia"/>
                <w:color w:val="auto"/>
                <w:szCs w:val="21"/>
                <w:lang w:eastAsia="zh-CN"/>
              </w:rPr>
            </w:pPr>
            <w:r>
              <w:rPr>
                <w:rFonts w:hint="eastAsia" w:asciiTheme="majorEastAsia" w:hAnsiTheme="majorEastAsia" w:eastAsiaTheme="majorEastAsia" w:cstheme="majorEastAsia"/>
                <w:color w:val="auto"/>
                <w:szCs w:val="21"/>
                <w:lang w:val="en-US" w:eastAsia="zh-CN"/>
              </w:rPr>
              <w:t>2、</w:t>
            </w:r>
            <w:r>
              <w:rPr>
                <w:rFonts w:hint="eastAsia" w:asciiTheme="majorEastAsia" w:hAnsiTheme="majorEastAsia" w:eastAsiaTheme="majorEastAsia" w:cstheme="majorEastAsia"/>
                <w:color w:val="auto"/>
                <w:szCs w:val="21"/>
                <w:lang w:eastAsia="zh-CN"/>
              </w:rPr>
              <w:t>付款方式：</w:t>
            </w:r>
          </w:p>
          <w:p>
            <w:pPr>
              <w:adjustRightInd w:val="0"/>
              <w:snapToGrid w:val="0"/>
              <w:rPr>
                <w:rFonts w:hint="eastAsia" w:asciiTheme="majorEastAsia" w:hAnsiTheme="majorEastAsia" w:eastAsiaTheme="majorEastAsia" w:cstheme="majorEastAsia"/>
                <w:color w:val="auto"/>
                <w:sz w:val="18"/>
                <w:szCs w:val="18"/>
              </w:rPr>
            </w:pPr>
            <w:r>
              <w:rPr>
                <w:rFonts w:hint="eastAsia" w:ascii="宋体" w:hAnsi="宋体" w:cs="宋体"/>
                <w:color w:val="auto"/>
              </w:rPr>
              <w:t>本项目</w:t>
            </w:r>
            <w:r>
              <w:rPr>
                <w:rFonts w:hint="eastAsia" w:ascii="宋体" w:hAnsi="宋体" w:cs="宋体"/>
                <w:color w:val="auto"/>
                <w:lang w:val="en-US" w:eastAsia="zh-CN"/>
              </w:rPr>
              <w:t>货到经</w:t>
            </w:r>
            <w:r>
              <w:rPr>
                <w:rFonts w:hint="eastAsia" w:ascii="宋体" w:hAnsi="宋体" w:cs="宋体"/>
                <w:color w:val="auto"/>
                <w:lang w:eastAsia="zh-CN"/>
              </w:rPr>
              <w:t>验收</w:t>
            </w:r>
            <w:r>
              <w:rPr>
                <w:rFonts w:hint="eastAsia" w:ascii="宋体" w:hAnsi="宋体" w:cs="宋体"/>
                <w:color w:val="auto"/>
                <w:lang w:val="en-US" w:eastAsia="zh-CN"/>
              </w:rPr>
              <w:t>合格</w:t>
            </w:r>
            <w:r>
              <w:rPr>
                <w:rFonts w:hint="eastAsia" w:ascii="宋体" w:hAnsi="宋体" w:cs="宋体"/>
                <w:color w:val="auto"/>
                <w:lang w:eastAsia="zh-CN"/>
              </w:rPr>
              <w:t>后支付</w:t>
            </w:r>
            <w:r>
              <w:rPr>
                <w:rFonts w:hint="eastAsia" w:ascii="宋体" w:hAnsi="宋体" w:cs="宋体"/>
                <w:color w:val="auto"/>
                <w:lang w:val="en-US" w:eastAsia="zh-CN"/>
              </w:rPr>
              <w:t>总成交金额的30%，安装调试完毕经验收合格后支付总成交金额的95%，剩余5%作为质量保证金。如无质量问题，质保期满后，质量保证金一次性无息支付。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52" w:type="dxa"/>
            <w:gridSpan w:val="2"/>
            <w:vMerge w:val="restart"/>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eastAsia="zh-CN"/>
              </w:rPr>
              <w:t>竞争性磋商</w:t>
            </w:r>
            <w:r>
              <w:rPr>
                <w:rFonts w:hint="eastAsia" w:asciiTheme="majorEastAsia" w:hAnsiTheme="majorEastAsia" w:eastAsiaTheme="majorEastAsia" w:cstheme="majorEastAsia"/>
                <w:color w:val="auto"/>
                <w:szCs w:val="21"/>
              </w:rPr>
              <w:t>项目可能实质性变动内容</w:t>
            </w:r>
          </w:p>
        </w:tc>
        <w:tc>
          <w:tcPr>
            <w:tcW w:w="2299"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是（</w:t>
            </w:r>
            <w:r>
              <w:rPr>
                <w:rFonts w:hint="eastAsia" w:asciiTheme="majorEastAsia" w:hAnsiTheme="majorEastAsia" w:eastAsiaTheme="majorEastAsia" w:cstheme="majorEastAsia"/>
                <w:color w:val="auto"/>
                <w:szCs w:val="21"/>
                <w:lang w:val="en-US" w:eastAsia="zh-CN"/>
              </w:rPr>
              <w:t xml:space="preserve">  </w:t>
            </w:r>
            <w:r>
              <w:rPr>
                <w:rFonts w:hint="eastAsia" w:asciiTheme="majorEastAsia" w:hAnsiTheme="majorEastAsia" w:eastAsiaTheme="majorEastAsia" w:cstheme="majorEastAsia"/>
                <w:color w:val="auto"/>
                <w:szCs w:val="21"/>
              </w:rPr>
              <w:t>）</w:t>
            </w:r>
          </w:p>
        </w:tc>
        <w:tc>
          <w:tcPr>
            <w:tcW w:w="1654"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是（</w:t>
            </w:r>
            <w:r>
              <w:rPr>
                <w:rFonts w:hint="eastAsia" w:asciiTheme="majorEastAsia" w:hAnsiTheme="majorEastAsia" w:eastAsiaTheme="majorEastAsia" w:cstheme="majorEastAsia"/>
                <w:color w:val="auto"/>
                <w:szCs w:val="21"/>
                <w:lang w:val="en-US" w:eastAsia="zh-CN"/>
              </w:rPr>
              <w:t xml:space="preserve">  </w:t>
            </w:r>
            <w:r>
              <w:rPr>
                <w:rFonts w:hint="eastAsia" w:asciiTheme="majorEastAsia" w:hAnsiTheme="majorEastAsia" w:eastAsiaTheme="majorEastAsia" w:cstheme="majorEastAsia"/>
                <w:color w:val="auto"/>
                <w:szCs w:val="21"/>
              </w:rPr>
              <w:t>）</w:t>
            </w:r>
          </w:p>
        </w:tc>
        <w:tc>
          <w:tcPr>
            <w:tcW w:w="3711"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是（</w:t>
            </w:r>
            <w:r>
              <w:rPr>
                <w:rFonts w:hint="eastAsia" w:asciiTheme="majorEastAsia" w:hAnsiTheme="majorEastAsia" w:eastAsiaTheme="majorEastAsia" w:cstheme="majorEastAsia"/>
                <w:color w:val="auto"/>
                <w:szCs w:val="21"/>
                <w:lang w:val="en-US" w:eastAsia="zh-CN"/>
              </w:rPr>
              <w:t xml:space="preserve">  </w:t>
            </w:r>
            <w:r>
              <w:rPr>
                <w:rFonts w:hint="eastAsia" w:asciiTheme="majorEastAsia" w:hAnsiTheme="majorEastAsia" w:eastAsiaTheme="majorEastAsia" w:cstheme="majorEastAsi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852" w:type="dxa"/>
            <w:gridSpan w:val="2"/>
            <w:vMerge w:val="continue"/>
            <w:noWrap w:val="0"/>
            <w:vAlign w:val="center"/>
          </w:tcPr>
          <w:p>
            <w:pPr>
              <w:adjustRightInd w:val="0"/>
              <w:snapToGrid w:val="0"/>
              <w:jc w:val="center"/>
              <w:rPr>
                <w:rFonts w:hint="eastAsia" w:asciiTheme="majorEastAsia" w:hAnsiTheme="majorEastAsia" w:eastAsiaTheme="majorEastAsia" w:cstheme="majorEastAsia"/>
                <w:color w:val="auto"/>
                <w:szCs w:val="21"/>
              </w:rPr>
            </w:pPr>
          </w:p>
        </w:tc>
        <w:tc>
          <w:tcPr>
            <w:tcW w:w="2299"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否（√）</w:t>
            </w:r>
          </w:p>
        </w:tc>
        <w:tc>
          <w:tcPr>
            <w:tcW w:w="1654"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否（√）</w:t>
            </w:r>
          </w:p>
        </w:tc>
        <w:tc>
          <w:tcPr>
            <w:tcW w:w="3711" w:type="dxa"/>
            <w:noWrap w:val="0"/>
            <w:vAlign w:val="center"/>
          </w:tcPr>
          <w:p>
            <w:pPr>
              <w:adjustRightInd w:val="0"/>
              <w:snapToGrid w:val="0"/>
              <w:jc w:val="center"/>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否（√）</w:t>
            </w:r>
          </w:p>
        </w:tc>
      </w:tr>
    </w:tbl>
    <w:p>
      <w:pPr>
        <w:keepNext w:val="0"/>
        <w:keepLines w:val="0"/>
        <w:pageBreakBefore w:val="0"/>
        <w:widowControl w:val="0"/>
        <w:kinsoku/>
        <w:wordWrap/>
        <w:overflowPunct/>
        <w:topLinePunct w:val="0"/>
        <w:bidi w:val="0"/>
        <w:spacing w:line="360" w:lineRule="exact"/>
        <w:textAlignment w:val="auto"/>
        <w:outlineLvl w:val="1"/>
        <w:rPr>
          <w:rFonts w:hint="eastAsia" w:ascii="宋体" w:hAnsi="宋体" w:eastAsia="宋体" w:cs="宋体"/>
          <w:b/>
          <w:bCs/>
          <w:color w:val="auto"/>
          <w:szCs w:val="21"/>
          <w:highlight w:val="none"/>
          <w:u w:val="none"/>
          <w:lang w:eastAsia="zh-CN"/>
        </w:rPr>
      </w:pPr>
      <w:bookmarkStart w:id="62" w:name="_Toc18068"/>
      <w:bookmarkStart w:id="63" w:name="_Toc27525"/>
      <w:bookmarkStart w:id="64" w:name="_Toc43609884"/>
      <w:bookmarkStart w:id="65" w:name="_Toc43609779"/>
      <w:bookmarkStart w:id="66" w:name="_Toc43608973"/>
      <w:bookmarkStart w:id="67" w:name="_Toc43611498"/>
      <w:bookmarkStart w:id="68" w:name="_Toc100825986"/>
      <w:r>
        <w:rPr>
          <w:rFonts w:hint="eastAsia" w:ascii="宋体" w:hAnsi="宋体" w:eastAsia="宋体" w:cs="宋体"/>
          <w:b/>
          <w:bCs/>
          <w:color w:val="auto"/>
          <w:szCs w:val="21"/>
          <w:highlight w:val="none"/>
          <w:lang w:eastAsia="zh-CN"/>
        </w:rPr>
        <w:t>二、</w:t>
      </w:r>
      <w:r>
        <w:rPr>
          <w:rFonts w:hint="eastAsia" w:ascii="宋体" w:hAnsi="宋体" w:eastAsia="宋体" w:cs="宋体"/>
          <w:b/>
          <w:bCs/>
          <w:color w:val="auto"/>
          <w:szCs w:val="21"/>
          <w:highlight w:val="none"/>
          <w:u w:val="none"/>
          <w:lang w:eastAsia="zh-CN"/>
        </w:rPr>
        <w:t>实施要求</w:t>
      </w:r>
      <w:bookmarkEnd w:id="62"/>
      <w:bookmarkEnd w:id="6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420" w:firstLineChars="2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严格按采购清单供货，质量要求：达到国家现行质量验收评定的标准，一次性验收合格。</w:t>
      </w:r>
    </w:p>
    <w:p>
      <w:pPr>
        <w:adjustRightInd w:val="0"/>
        <w:snapToGrid w:val="0"/>
        <w:spacing w:line="360" w:lineRule="auto"/>
        <w:outlineLvl w:val="1"/>
        <w:rPr>
          <w:rFonts w:hint="eastAsia" w:asciiTheme="majorEastAsia" w:hAnsiTheme="majorEastAsia" w:eastAsiaTheme="majorEastAsia" w:cstheme="majorEastAsia"/>
          <w:b/>
          <w:bCs/>
          <w:color w:val="auto"/>
          <w:szCs w:val="21"/>
          <w:lang w:eastAsia="zh-CN"/>
        </w:rPr>
      </w:pPr>
      <w:bookmarkStart w:id="69" w:name="_Toc18902"/>
    </w:p>
    <w:p>
      <w:pPr>
        <w:adjustRightInd w:val="0"/>
        <w:snapToGrid w:val="0"/>
        <w:spacing w:line="360" w:lineRule="auto"/>
        <w:outlineLvl w:val="1"/>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bCs/>
          <w:color w:val="auto"/>
          <w:szCs w:val="21"/>
          <w:lang w:eastAsia="zh-CN"/>
        </w:rPr>
        <w:t>三</w:t>
      </w:r>
      <w:r>
        <w:rPr>
          <w:rFonts w:hint="eastAsia" w:asciiTheme="majorEastAsia" w:hAnsiTheme="majorEastAsia" w:eastAsiaTheme="majorEastAsia" w:cstheme="majorEastAsia"/>
          <w:b/>
          <w:bCs/>
          <w:color w:val="auto"/>
          <w:szCs w:val="21"/>
        </w:rPr>
        <w:t>、</w:t>
      </w:r>
      <w:bookmarkEnd w:id="69"/>
      <w:r>
        <w:rPr>
          <w:rFonts w:hint="eastAsia" w:ascii="宋体" w:hAnsi="宋体" w:cs="宋体"/>
          <w:b/>
          <w:bCs/>
          <w:szCs w:val="21"/>
        </w:rPr>
        <w:t>采购标的的技术规格与参数要求及数量</w:t>
      </w:r>
    </w:p>
    <w:p>
      <w:pPr>
        <w:adjustRightInd w:val="0"/>
        <w:snapToGrid w:val="0"/>
        <w:spacing w:line="360" w:lineRule="auto"/>
        <w:outlineLvl w:val="1"/>
        <w:rPr>
          <w:rFonts w:hint="eastAsia" w:ascii="宋体" w:hAnsi="宋体" w:cs="宋体"/>
          <w:b/>
          <w:bCs/>
          <w:szCs w:val="21"/>
        </w:rPr>
      </w:pPr>
      <w:bookmarkStart w:id="70" w:name="_Toc100825985"/>
      <w:r>
        <w:rPr>
          <w:rFonts w:hint="eastAsia" w:asciiTheme="majorEastAsia" w:hAnsiTheme="majorEastAsia" w:eastAsiaTheme="majorEastAsia" w:cstheme="majorEastAsia"/>
          <w:b/>
          <w:bCs/>
          <w:color w:val="auto"/>
          <w:szCs w:val="21"/>
        </w:rPr>
        <w:t>1、</w:t>
      </w:r>
      <w:bookmarkEnd w:id="70"/>
      <w:r>
        <w:rPr>
          <w:rFonts w:hint="eastAsia" w:ascii="宋体" w:hAnsi="宋体" w:cs="宋体"/>
          <w:b/>
          <w:bCs/>
          <w:szCs w:val="21"/>
        </w:rPr>
        <w:t>采购标的的技术规格与参数要求及数量</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1.1本项目的采购范围即是投标报价范围。本项目不设标底，但设有最高投标限价。若供应商的报价高于采购人公布的上限值时，该投标将被拒绝，视为不合格供应商。</w:t>
      </w:r>
    </w:p>
    <w:p>
      <w:pPr>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p>
      <w:pPr>
        <w:rPr>
          <w:rFonts w:hint="eastAsia" w:asciiTheme="majorEastAsia" w:hAnsiTheme="majorEastAsia" w:eastAsiaTheme="majorEastAsia" w:cstheme="majorEastAsia"/>
          <w:color w:val="auto"/>
          <w:sz w:val="30"/>
          <w:szCs w:val="30"/>
          <w:u w:val="none"/>
          <w:lang w:val="en-US" w:eastAsia="zh-CN"/>
        </w:rPr>
      </w:pPr>
      <w:r>
        <w:rPr>
          <w:rFonts w:hint="eastAsia" w:asciiTheme="majorEastAsia" w:hAnsiTheme="majorEastAsia" w:eastAsiaTheme="majorEastAsia" w:cstheme="majorEastAsia"/>
          <w:color w:val="auto"/>
          <w:sz w:val="30"/>
          <w:szCs w:val="30"/>
          <w:u w:val="none"/>
          <w:lang w:val="en-US" w:eastAsia="zh-CN"/>
        </w:rPr>
        <w:t>P6全彩显示屏技术参数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8"/>
        <w:gridCol w:w="6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vAlign w:val="center"/>
          </w:tcPr>
          <w:p>
            <w:pPr>
              <w:jc w:val="center"/>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名称</w:t>
            </w:r>
          </w:p>
        </w:tc>
        <w:tc>
          <w:tcPr>
            <w:tcW w:w="6194" w:type="dxa"/>
          </w:tcPr>
          <w:p>
            <w:pPr>
              <w:ind w:firstLine="2940" w:firstLineChars="1400"/>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vAlign w:val="center"/>
          </w:tcPr>
          <w:p>
            <w:pPr>
              <w:jc w:val="center"/>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灯管</w:t>
            </w:r>
          </w:p>
        </w:tc>
        <w:tc>
          <w:tcPr>
            <w:tcW w:w="6194" w:type="dxa"/>
          </w:tcPr>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像素点间距：6MM</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基色：红色+绿色+蓝色</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发光点颜色组合：1R1G1B</w:t>
            </w:r>
          </w:p>
          <w:p>
            <w:pPr>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物理密度：25000点/㎡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vAlign w:val="center"/>
          </w:tcPr>
          <w:p>
            <w:pPr>
              <w:jc w:val="center"/>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显示模块</w:t>
            </w:r>
          </w:p>
        </w:tc>
        <w:tc>
          <w:tcPr>
            <w:tcW w:w="6194" w:type="dxa"/>
          </w:tcPr>
          <w:p>
            <w:pPr>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显示模块分辨率：长32点、高32点</w:t>
            </w:r>
          </w:p>
          <w:p>
            <w:pPr>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显示模块尺寸：360㎜*160㎜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vAlign w:val="center"/>
          </w:tcPr>
          <w:p>
            <w:pPr>
              <w:jc w:val="center"/>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显示屏整屏</w:t>
            </w:r>
          </w:p>
        </w:tc>
        <w:tc>
          <w:tcPr>
            <w:tcW w:w="6194" w:type="dxa"/>
          </w:tcPr>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视角：水平140度，垂直90度</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存贮温度：-40℃至+85℃</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工作温度：-10℃至+50℃</w:t>
            </w:r>
          </w:p>
          <w:p>
            <w:pPr>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相对湿度：10%-95%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vAlign w:val="center"/>
          </w:tcPr>
          <w:p>
            <w:pPr>
              <w:jc w:val="center"/>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供电</w:t>
            </w:r>
          </w:p>
        </w:tc>
        <w:tc>
          <w:tcPr>
            <w:tcW w:w="6194" w:type="dxa"/>
          </w:tcPr>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工作电压：AC 220V</w:t>
            </w:r>
            <w:r>
              <w:rPr>
                <w:rFonts w:hint="eastAsia" w:ascii="微软雅黑" w:hAnsi="微软雅黑" w:eastAsia="微软雅黑" w:cs="微软雅黑"/>
                <w:color w:val="auto"/>
                <w:sz w:val="21"/>
                <w:szCs w:val="21"/>
                <w:u w:val="none"/>
                <w:vertAlign w:val="baseline"/>
                <w:lang w:val="en-US" w:eastAsia="zh-CN"/>
              </w:rPr>
              <w:t>±</w:t>
            </w:r>
            <w:r>
              <w:rPr>
                <w:rFonts w:hint="eastAsia" w:asciiTheme="majorEastAsia" w:hAnsiTheme="majorEastAsia" w:eastAsiaTheme="majorEastAsia" w:cstheme="majorEastAsia"/>
                <w:color w:val="auto"/>
                <w:sz w:val="21"/>
                <w:szCs w:val="21"/>
                <w:u w:val="none"/>
                <w:vertAlign w:val="baseline"/>
                <w:lang w:val="en-US" w:eastAsia="zh-CN"/>
              </w:rPr>
              <w:t>10;50HZ</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平均功耗：290W/㎡</w:t>
            </w:r>
          </w:p>
          <w:p>
            <w:pPr>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最大功耗：780W/㎡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vAlign w:val="center"/>
          </w:tcPr>
          <w:p>
            <w:pPr>
              <w:jc w:val="center"/>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控制系统</w:t>
            </w:r>
          </w:p>
        </w:tc>
        <w:tc>
          <w:tcPr>
            <w:tcW w:w="6194" w:type="dxa"/>
          </w:tcPr>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控制主机：国内品牌 计算机</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操作系统：WIN2000/XP</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显卡：DVI显卡</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灰度等级：16bit</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显示颜色：＞显示1024*1024*1024</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对比度：大于100：1</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换帧频率：≥60HZ</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图像刷新：≥240HZ</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亮度调节：自动/手动≥256级</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可根据不同的环境亮度自动调节显示亮度</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检测功能：湿度、温度、亮度</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图像调节：白平衡/对比度/色调节/亮度调节</w:t>
            </w:r>
          </w:p>
          <w:p>
            <w:pPr>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控制系统采用：电脑+DVI显卡+主控卡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vAlign w:val="center"/>
          </w:tcPr>
          <w:p>
            <w:pPr>
              <w:jc w:val="center"/>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主要技术参数</w:t>
            </w:r>
          </w:p>
        </w:tc>
        <w:tc>
          <w:tcPr>
            <w:tcW w:w="6194" w:type="dxa"/>
          </w:tcPr>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驱动方式：同步</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帧频：≥60HZ</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亮度：≥6000 cd/m2</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扫描方式：1/8扫描</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结构：灯驱合一</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平均无故障时间：≥10000小时</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寿命：10万小时</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平整度：任意相邻像素间≤0.5mm 单元板拼接间隙＜1mm</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均匀性：像素光强、单元板亮度均匀</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盲点率：＜0.0001</w:t>
            </w:r>
          </w:p>
          <w:p>
            <w:pPr>
              <w:rPr>
                <w:rFonts w:hint="eastAsia"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计算机显示模式：1024*768</w:t>
            </w:r>
          </w:p>
          <w:p>
            <w:pPr>
              <w:rPr>
                <w:rFonts w:hint="default" w:asciiTheme="majorEastAsia" w:hAnsiTheme="majorEastAsia" w:eastAsiaTheme="majorEastAsia" w:cstheme="majorEastAsia"/>
                <w:color w:val="auto"/>
                <w:sz w:val="21"/>
                <w:szCs w:val="21"/>
                <w:u w:val="none"/>
                <w:vertAlign w:val="baseline"/>
                <w:lang w:val="en-US" w:eastAsia="zh-CN"/>
              </w:rPr>
            </w:pPr>
            <w:r>
              <w:rPr>
                <w:rFonts w:hint="eastAsia" w:asciiTheme="majorEastAsia" w:hAnsiTheme="majorEastAsia" w:eastAsiaTheme="majorEastAsia" w:cstheme="majorEastAsia"/>
                <w:color w:val="auto"/>
                <w:sz w:val="21"/>
                <w:szCs w:val="21"/>
                <w:u w:val="none"/>
                <w:vertAlign w:val="baseline"/>
                <w:lang w:val="en-US" w:eastAsia="zh-CN"/>
              </w:rPr>
              <w:t>有效通讯距离：网线100m,多模光纤500m,单模光纤20km</w:t>
            </w:r>
          </w:p>
        </w:tc>
      </w:tr>
    </w:tbl>
    <w:p>
      <w:pPr>
        <w:rPr>
          <w:rFonts w:hint="default" w:asciiTheme="majorEastAsia" w:hAnsiTheme="majorEastAsia" w:eastAsiaTheme="majorEastAsia" w:cstheme="majorEastAsia"/>
          <w:color w:val="auto"/>
          <w:sz w:val="30"/>
          <w:szCs w:val="30"/>
          <w:u w:val="none"/>
          <w:lang w:val="en-US" w:eastAsia="zh-CN"/>
        </w:rPr>
      </w:pPr>
      <w:r>
        <w:rPr>
          <w:rFonts w:hint="eastAsia" w:asciiTheme="majorEastAsia" w:hAnsiTheme="majorEastAsia" w:eastAsiaTheme="majorEastAsia" w:cstheme="majorEastAsia"/>
          <w:color w:val="auto"/>
          <w:sz w:val="21"/>
          <w:szCs w:val="21"/>
          <w:u w:val="none"/>
          <w:lang w:val="en-US" w:eastAsia="zh-CN"/>
        </w:rPr>
        <w:t>以上所有参数均可以正偏离</w:t>
      </w:r>
    </w:p>
    <w:p>
      <w:pPr>
        <w:pStyle w:val="2"/>
        <w:ind w:left="0" w:leftChars="0" w:firstLine="0" w:firstLineChars="0"/>
        <w:rPr>
          <w:rFonts w:hint="eastAsia" w:ascii="宋体" w:hAnsi="宋体"/>
          <w:color w:val="auto"/>
          <w:szCs w:val="21"/>
          <w:highlight w:val="none"/>
          <w:lang w:val="en-US" w:eastAsia="zh-CN"/>
        </w:rPr>
      </w:pPr>
    </w:p>
    <w:p>
      <w:pPr>
        <w:rPr>
          <w:rFonts w:hint="eastAsia"/>
          <w:lang w:val="en-US" w:eastAsia="zh-CN"/>
        </w:rPr>
      </w:pPr>
    </w:p>
    <w:tbl>
      <w:tblPr>
        <w:tblStyle w:val="20"/>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5"/>
        <w:gridCol w:w="1100"/>
        <w:gridCol w:w="1908"/>
        <w:gridCol w:w="900"/>
        <w:gridCol w:w="1090"/>
        <w:gridCol w:w="1705"/>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888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秩堂镇马吉村红色美丽村庄建设项目户外高清P6全彩显示屏采购项目预算表1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型号及规格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2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户外P6显示屏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离地面2米高，外镀锌板包边。背面镀锌板封面，立柱防锈漆涂层。                </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电脑配置要求：I5CPU+120G固态硬盘+2G独立显卡+22寸显示器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模组规格</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360*160mm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包含（无需报价）</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简易箱体</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w:t>
            </w:r>
          </w:p>
        </w:tc>
        <w:tc>
          <w:tcPr>
            <w:tcW w:w="170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含箱体线材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w:t>
            </w:r>
          </w:p>
        </w:tc>
        <w:tc>
          <w:tcPr>
            <w:tcW w:w="17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系统接收卡</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HUB-75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播放控制器</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发送卡+处理器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5V40A</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7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户外钢结构</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26.12</w:t>
            </w:r>
          </w:p>
        </w:tc>
        <w:tc>
          <w:tcPr>
            <w:tcW w:w="17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包边装饰</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705"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30KW(PLC)智能</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5"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音响系统</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防水音柱1对，功放一台、话筒一套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控制电脑</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国内品牌</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客户自备</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散热系统</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外导风机</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附件</w:t>
            </w: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屏体用线材</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包含(无需报价）</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工程屏外布线</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网线、音频线、电源线、光纤线等</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8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LED整屏制作尺寸明细表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显示面积</w:t>
            </w:r>
          </w:p>
        </w:tc>
        <w:tc>
          <w:tcPr>
            <w:tcW w:w="71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长5.76米*高3.84=22.12平米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整屏面积</w:t>
            </w:r>
          </w:p>
        </w:tc>
        <w:tc>
          <w:tcPr>
            <w:tcW w:w="71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长6.16米*高4.24=26.12平米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模组排列</w:t>
            </w:r>
          </w:p>
        </w:tc>
        <w:tc>
          <w:tcPr>
            <w:tcW w:w="71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长18张*高24张=432张  模组规格 320*160mm</w:t>
            </w:r>
          </w:p>
        </w:tc>
      </w:tr>
    </w:tbl>
    <w:p>
      <w:pPr>
        <w:adjustRightInd w:val="0"/>
        <w:snapToGrid w:val="0"/>
        <w:spacing w:line="360" w:lineRule="auto"/>
        <w:ind w:firstLine="210" w:firstLineChars="100"/>
        <w:outlineLvl w:val="1"/>
        <w:rPr>
          <w:rFonts w:hint="eastAsia" w:ascii="宋体" w:hAnsi="宋体"/>
          <w:color w:val="auto"/>
          <w:szCs w:val="21"/>
          <w:highlight w:val="none"/>
          <w:lang w:val="en-US" w:eastAsia="zh-CN"/>
        </w:rPr>
      </w:pPr>
    </w:p>
    <w:p>
      <w:pPr>
        <w:pStyle w:val="11"/>
        <w:rPr>
          <w:rFonts w:hint="eastAsia" w:ascii="宋体" w:hAnsi="宋体"/>
          <w:color w:val="auto"/>
          <w:szCs w:val="21"/>
          <w:highlight w:val="none"/>
          <w:lang w:val="en-US" w:eastAsia="zh-CN"/>
        </w:rPr>
      </w:pPr>
    </w:p>
    <w:p>
      <w:pPr>
        <w:rPr>
          <w:rFonts w:hint="eastAsia" w:ascii="宋体" w:hAnsi="宋体"/>
          <w:color w:val="auto"/>
          <w:szCs w:val="21"/>
          <w:highlight w:val="none"/>
          <w:lang w:val="en-US" w:eastAsia="zh-CN"/>
        </w:rPr>
      </w:pPr>
    </w:p>
    <w:tbl>
      <w:tblPr>
        <w:tblStyle w:val="20"/>
        <w:tblW w:w="8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5"/>
        <w:gridCol w:w="1100"/>
        <w:gridCol w:w="1826"/>
        <w:gridCol w:w="845"/>
        <w:gridCol w:w="927"/>
        <w:gridCol w:w="1650"/>
        <w:gridCol w:w="1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8880"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秩堂镇马吉村红色美丽村庄建设项目户外高清P6全彩显示屏采购项目预算表</w:t>
            </w:r>
            <w:r>
              <w:rPr>
                <w:rFonts w:hint="eastAsia" w:ascii="宋体" w:hAnsi="宋体" w:cs="宋体"/>
                <w:b/>
                <w:bCs/>
                <w:i w:val="0"/>
                <w:iCs w:val="0"/>
                <w:color w:val="000000"/>
                <w:kern w:val="0"/>
                <w:sz w:val="28"/>
                <w:szCs w:val="2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品名</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型号及规格</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5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户外P6显示屏</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离地面2米高，外镀锌板包边。背面镀锌板封面，立柱防锈漆涂层。                </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电脑配置要求：I5CPU+120G固态硬盘+2G独立显卡+22寸显示器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模组规格</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360*160mm</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包含（无需报价）</w:t>
            </w: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简易箱体</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w:t>
            </w:r>
          </w:p>
        </w:tc>
        <w:tc>
          <w:tcPr>
            <w:tcW w:w="165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含箱体线材</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22.12</w:t>
            </w:r>
          </w:p>
        </w:tc>
        <w:tc>
          <w:tcPr>
            <w:tcW w:w="165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系统接收卡</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HUB-75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5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播放控制器</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发送卡+处理器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5V40A</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65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钢结构</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户外钢结构</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w:t>
            </w:r>
          </w:p>
        </w:tc>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26.12</w:t>
            </w:r>
          </w:p>
        </w:tc>
        <w:tc>
          <w:tcPr>
            <w:tcW w:w="165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包边装饰</w:t>
            </w: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650"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配电柜</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30KW(PLC)智能</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音响系统</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防水音柱1对，功放一台、话筒一套</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控制电脑</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国内品牌</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客户自备</w:t>
            </w: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3"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散热系统</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外导风机</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9"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附件</w:t>
            </w:r>
          </w:p>
        </w:tc>
        <w:tc>
          <w:tcPr>
            <w:tcW w:w="1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屏体用线材</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包含(无需报价）</w:t>
            </w: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工程屏外布线</w:t>
            </w:r>
          </w:p>
        </w:tc>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网线、音频线、电源线、光纤线等</w:t>
            </w:r>
          </w:p>
        </w:tc>
        <w:tc>
          <w:tcPr>
            <w:tcW w:w="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9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88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LED整屏制作尺寸明细表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显示面积</w:t>
            </w:r>
          </w:p>
        </w:tc>
        <w:tc>
          <w:tcPr>
            <w:tcW w:w="71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长5.76米*高3.84=22.12平米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整屏面积</w:t>
            </w:r>
          </w:p>
        </w:tc>
        <w:tc>
          <w:tcPr>
            <w:tcW w:w="71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长6.16米*高4.24=26.12平米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模组排列</w:t>
            </w:r>
          </w:p>
        </w:tc>
        <w:tc>
          <w:tcPr>
            <w:tcW w:w="71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长18张*高24张=432张  模组规格 320*160mm</w:t>
            </w:r>
          </w:p>
        </w:tc>
      </w:tr>
    </w:tbl>
    <w:p>
      <w:pPr>
        <w:pStyle w:val="11"/>
        <w:rPr>
          <w:rFonts w:hint="eastAsia"/>
          <w:lang w:val="en-US" w:eastAsia="zh-CN"/>
        </w:rPr>
      </w:pPr>
    </w:p>
    <w:p>
      <w:pPr>
        <w:rPr>
          <w:rFonts w:hint="eastAsia"/>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2、材料部分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210" w:firstLineChars="1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2.1项目所用材料必须符合设计要求、国家现行材料技术规范和标准以及采购人对有关材料的品牌要求，且应有产品合格证、出厂证明书、合法质监部门检验合格证，并经采购人现场代表确认合格后，方可用于本项目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210" w:firstLineChars="10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2.2成交单位在施工过程中，必须按响应文件中描述的材料品牌、品质采购相关材料，并查验进场。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3、投标人在投标前应充分了解施工现场，施工过程中材料安排、施工安排、施工给周边带来的影响及沟通与协调等事项全部由施工单位自行负责解决，并不得影响施工质量及进度。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注：在磋商过程中，磋商小组根据与供应商磋商情况可能实质性变动的内容（包括采购需求中的技术、服务要求以及合同条款）由磋商小组采用书面形式，并由磋商小组全体成员签字确认，成为磋商文件的组成部分。</w:t>
      </w:r>
    </w:p>
    <w:bookmarkEnd w:id="64"/>
    <w:bookmarkEnd w:id="65"/>
    <w:bookmarkEnd w:id="66"/>
    <w:bookmarkEnd w:id="67"/>
    <w:bookmarkEnd w:id="68"/>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outlineLvl w:val="1"/>
        <w:rPr>
          <w:rFonts w:hint="eastAsia" w:ascii="宋体" w:hAnsi="宋体"/>
          <w:b/>
          <w:bCs/>
          <w:color w:val="auto"/>
          <w:szCs w:val="21"/>
          <w:highlight w:val="none"/>
          <w:lang w:val="en-US" w:eastAsia="zh-CN"/>
        </w:rPr>
      </w:pPr>
      <w:bookmarkStart w:id="71" w:name="_Toc10540"/>
      <w:r>
        <w:rPr>
          <w:rFonts w:hint="eastAsia" w:ascii="宋体" w:hAnsi="宋体"/>
          <w:b/>
          <w:bCs/>
          <w:color w:val="auto"/>
          <w:szCs w:val="21"/>
          <w:highlight w:val="none"/>
          <w:lang w:val="en-US" w:eastAsia="zh-CN"/>
        </w:rPr>
        <w:t>四、其他规定</w:t>
      </w:r>
      <w:bookmarkEnd w:id="7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 施工要求：中标人须加强施工的组织管理，所有施工人员须遵守文明安全施工的有关规章制度。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2、验收要求：由采购人组织验收活动，按相关程序办理。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 投标人在投标前应充分了解施工现场，供货过程中材料安排、施工安排、施工给周边带来的影响及沟通与协调等事项全部由中标单位自行负责解决，并不得影响项目施工质量及进度。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 成交供应商必须根据现场情况，制定供货服务计划。在项目实施过程中不能影响采购方的正常工作。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（1）严格按照国家标准和甲方要求组织施工。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jc w:val="left"/>
        <w:textAlignment w:val="auto"/>
        <w:outlineLvl w:val="1"/>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color w:val="auto"/>
          <w:szCs w:val="21"/>
          <w:highlight w:val="none"/>
          <w:lang w:val="en-US" w:eastAsia="zh-CN"/>
        </w:rPr>
        <w:t>（2）质保期从验收合格后开始计算，质保期为一年。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spacing w:before="75" w:beforeAutospacing="0" w:after="0" w:afterAutospacing="0" w:line="360" w:lineRule="auto"/>
        <w:ind w:right="0" w:firstLine="2891" w:firstLineChars="900"/>
        <w:jc w:val="both"/>
        <w:textAlignment w:val="auto"/>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第</w:t>
      </w:r>
      <w:r>
        <w:rPr>
          <w:rFonts w:hint="eastAsia" w:asciiTheme="majorEastAsia" w:hAnsiTheme="majorEastAsia" w:eastAsiaTheme="majorEastAsia" w:cstheme="majorEastAsia"/>
          <w:b/>
          <w:color w:val="auto"/>
          <w:sz w:val="32"/>
          <w:szCs w:val="32"/>
          <w:lang w:eastAsia="zh-CN"/>
        </w:rPr>
        <w:t>七</w:t>
      </w:r>
      <w:r>
        <w:rPr>
          <w:rFonts w:hint="eastAsia" w:asciiTheme="majorEastAsia" w:hAnsiTheme="majorEastAsia" w:eastAsiaTheme="majorEastAsia" w:cstheme="majorEastAsia"/>
          <w:b/>
          <w:color w:val="auto"/>
          <w:sz w:val="32"/>
          <w:szCs w:val="32"/>
        </w:rPr>
        <w:t>章 响应文件组成</w:t>
      </w:r>
    </w:p>
    <w:p>
      <w:pPr>
        <w:spacing w:line="360" w:lineRule="exact"/>
        <w:rPr>
          <w:rFonts w:hint="eastAsia" w:asciiTheme="majorEastAsia" w:hAnsiTheme="majorEastAsia" w:eastAsiaTheme="majorEastAsia" w:cstheme="majorEastAsia"/>
          <w:color w:val="auto"/>
        </w:rPr>
      </w:pPr>
    </w:p>
    <w:p>
      <w:pPr>
        <w:spacing w:line="360" w:lineRule="exact"/>
        <w:rPr>
          <w:rFonts w:hint="eastAsia" w:asciiTheme="majorEastAsia" w:hAnsiTheme="majorEastAsia" w:eastAsiaTheme="majorEastAsia" w:cstheme="majorEastAsia"/>
          <w:color w:val="auto"/>
          <w:sz w:val="20"/>
          <w:szCs w:val="20"/>
        </w:rPr>
      </w:pPr>
    </w:p>
    <w:p>
      <w:pPr>
        <w:spacing w:line="360" w:lineRule="exact"/>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供应商的响应文件应包含以下</w:t>
      </w:r>
      <w:r>
        <w:rPr>
          <w:rFonts w:hint="eastAsia" w:asciiTheme="majorEastAsia" w:hAnsiTheme="majorEastAsia" w:eastAsiaTheme="majorEastAsia" w:cstheme="majorEastAsia"/>
          <w:color w:val="auto"/>
          <w:szCs w:val="21"/>
          <w:lang w:eastAsia="zh-CN"/>
        </w:rPr>
        <w:t>两</w:t>
      </w:r>
      <w:r>
        <w:rPr>
          <w:rFonts w:hint="eastAsia" w:asciiTheme="majorEastAsia" w:hAnsiTheme="majorEastAsia" w:eastAsiaTheme="majorEastAsia" w:cstheme="majorEastAsia"/>
          <w:color w:val="auto"/>
          <w:szCs w:val="21"/>
        </w:rPr>
        <w:t>个部分：</w:t>
      </w:r>
    </w:p>
    <w:p>
      <w:pPr>
        <w:tabs>
          <w:tab w:val="left" w:pos="2124"/>
        </w:tabs>
        <w:outlineLvl w:val="9"/>
        <w:rPr>
          <w:rFonts w:hint="eastAsia" w:asciiTheme="majorEastAsia" w:hAnsiTheme="majorEastAsia" w:eastAsiaTheme="majorEastAsia" w:cstheme="majorEastAsia"/>
          <w:color w:val="auto"/>
          <w:sz w:val="28"/>
          <w:szCs w:val="28"/>
        </w:rPr>
      </w:pPr>
      <w:r>
        <w:rPr>
          <w:rFonts w:hint="eastAsia"/>
          <w:color w:val="auto"/>
          <w:sz w:val="28"/>
          <w:szCs w:val="28"/>
          <w:lang w:eastAsia="zh-CN"/>
        </w:rPr>
        <w:t>第一部分</w:t>
      </w:r>
      <w:r>
        <w:rPr>
          <w:rFonts w:hint="eastAsia"/>
          <w:color w:val="auto"/>
          <w:sz w:val="28"/>
          <w:szCs w:val="28"/>
          <w:lang w:val="en-US" w:eastAsia="zh-CN"/>
        </w:rPr>
        <w:t xml:space="preserve"> </w:t>
      </w:r>
      <w:r>
        <w:rPr>
          <w:color w:val="auto"/>
          <w:sz w:val="28"/>
          <w:szCs w:val="28"/>
        </w:rPr>
        <w:t>资格证明文件</w:t>
      </w:r>
    </w:p>
    <w:p>
      <w:pPr>
        <w:adjustRightInd w:val="0"/>
        <w:snapToGrid w:val="0"/>
        <w:spacing w:line="360" w:lineRule="auto"/>
        <w:jc w:val="left"/>
        <w:outlineLvl w:val="9"/>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一、磋商响应声明</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附件1：法定代表人身份证明(法定代表人参加磋商)</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附件2：法定代表人授权书(委托代理人参加磋商)</w:t>
      </w:r>
    </w:p>
    <w:p>
      <w:pPr>
        <w:adjustRightInd w:val="0"/>
        <w:snapToGrid w:val="0"/>
        <w:spacing w:line="360" w:lineRule="auto"/>
        <w:jc w:val="left"/>
        <w:outlineLvl w:val="9"/>
        <w:rPr>
          <w:rFonts w:hint="eastAsia" w:asciiTheme="majorEastAsia" w:hAnsiTheme="majorEastAsia" w:eastAsiaTheme="majorEastAsia" w:cstheme="majorEastAsia"/>
          <w:b/>
          <w:bCs/>
          <w:color w:val="auto"/>
          <w:szCs w:val="21"/>
        </w:rPr>
      </w:pPr>
      <w:r>
        <w:rPr>
          <w:rFonts w:hint="eastAsia" w:asciiTheme="majorEastAsia" w:hAnsiTheme="majorEastAsia" w:eastAsiaTheme="majorEastAsia" w:cstheme="majorEastAsia"/>
          <w:b/>
          <w:color w:val="auto"/>
          <w:szCs w:val="21"/>
        </w:rPr>
        <w:t>二、保证金</w:t>
      </w:r>
    </w:p>
    <w:p>
      <w:pPr>
        <w:adjustRightInd w:val="0"/>
        <w:snapToGrid w:val="0"/>
        <w:spacing w:line="360" w:lineRule="auto"/>
        <w:jc w:val="left"/>
        <w:outlineLvl w:val="9"/>
        <w:rPr>
          <w:rFonts w:hint="eastAsia" w:asciiTheme="majorEastAsia" w:hAnsiTheme="majorEastAsia" w:eastAsiaTheme="majorEastAsia" w:cstheme="majorEastAsia"/>
          <w:b/>
          <w:color w:val="auto"/>
          <w:szCs w:val="21"/>
        </w:rPr>
      </w:pPr>
      <w:r>
        <w:rPr>
          <w:rFonts w:hint="eastAsia" w:asciiTheme="majorEastAsia" w:hAnsiTheme="majorEastAsia" w:eastAsiaTheme="majorEastAsia" w:cstheme="majorEastAsia"/>
          <w:b/>
          <w:color w:val="auto"/>
          <w:szCs w:val="21"/>
        </w:rPr>
        <w:t>三、供应商的资格证明材料</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附件 </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1 法人或者其他组织的营业执照等主体资格证明文件，自然人的身份证明</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附件 </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-2 供应商资格声明(格式)</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附件 </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-3 符合特定资格条件证明材料复印件或者情况说明</w:t>
      </w: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 xml:space="preserve">附件 </w:t>
      </w:r>
      <w:r>
        <w:rPr>
          <w:rFonts w:hint="eastAsia" w:asciiTheme="majorEastAsia" w:hAnsiTheme="majorEastAsia" w:eastAsiaTheme="majorEastAsia" w:cstheme="majorEastAsia"/>
          <w:color w:val="auto"/>
          <w:szCs w:val="21"/>
          <w:lang w:val="en-US" w:eastAsia="zh-CN"/>
        </w:rPr>
        <w:t>3</w:t>
      </w:r>
      <w:r>
        <w:rPr>
          <w:rFonts w:hint="eastAsia" w:asciiTheme="majorEastAsia" w:hAnsiTheme="majorEastAsia" w:eastAsiaTheme="majorEastAsia" w:cstheme="majorEastAsia"/>
          <w:color w:val="auto"/>
          <w:szCs w:val="21"/>
        </w:rPr>
        <w:t>-4 联合体协议书（格式）（联合体形式的提供）</w:t>
      </w:r>
    </w:p>
    <w:p>
      <w:pPr>
        <w:tabs>
          <w:tab w:val="left" w:pos="2124"/>
        </w:tabs>
        <w:outlineLvl w:val="9"/>
        <w:rPr>
          <w:rFonts w:hint="eastAsia" w:eastAsia="宋体" w:asciiTheme="majorEastAsia" w:hAnsiTheme="majorEastAsia" w:cstheme="majorEastAsia"/>
          <w:color w:val="auto"/>
          <w:sz w:val="28"/>
          <w:szCs w:val="28"/>
          <w:lang w:eastAsia="zh-CN"/>
        </w:rPr>
      </w:pPr>
      <w:r>
        <w:rPr>
          <w:rFonts w:hint="eastAsia"/>
          <w:color w:val="auto"/>
          <w:sz w:val="28"/>
          <w:szCs w:val="28"/>
          <w:lang w:eastAsia="zh-CN"/>
        </w:rPr>
        <w:t>第二部分</w:t>
      </w:r>
      <w:r>
        <w:rPr>
          <w:rFonts w:hint="eastAsia"/>
          <w:color w:val="auto"/>
          <w:sz w:val="28"/>
          <w:szCs w:val="28"/>
          <w:lang w:val="en-US" w:eastAsia="zh-CN"/>
        </w:rPr>
        <w:t xml:space="preserve"> </w:t>
      </w:r>
      <w:r>
        <w:rPr>
          <w:rFonts w:hint="eastAsia"/>
          <w:color w:val="auto"/>
          <w:sz w:val="28"/>
          <w:szCs w:val="28"/>
          <w:lang w:eastAsia="zh-CN"/>
        </w:rPr>
        <w:t>商务技术文件</w:t>
      </w:r>
    </w:p>
    <w:p>
      <w:pPr>
        <w:adjustRightInd w:val="0"/>
        <w:snapToGrid w:val="0"/>
        <w:spacing w:line="360" w:lineRule="auto"/>
        <w:outlineLvl w:val="9"/>
        <w:rPr>
          <w:rFonts w:hint="eastAsia" w:asciiTheme="majorEastAsia" w:hAnsiTheme="majorEastAsia" w:eastAsiaTheme="majorEastAsia" w:cstheme="majorEastAsia"/>
          <w:b/>
          <w:color w:val="auto"/>
        </w:rPr>
      </w:pPr>
      <w:r>
        <w:rPr>
          <w:rFonts w:hint="eastAsia" w:asciiTheme="majorEastAsia" w:hAnsiTheme="majorEastAsia" w:eastAsiaTheme="majorEastAsia" w:cstheme="majorEastAsia"/>
          <w:b/>
          <w:color w:val="auto"/>
          <w:lang w:eastAsia="zh-CN"/>
        </w:rPr>
        <w:t>四</w:t>
      </w:r>
      <w:r>
        <w:rPr>
          <w:rFonts w:hint="eastAsia" w:asciiTheme="majorEastAsia" w:hAnsiTheme="majorEastAsia" w:eastAsiaTheme="majorEastAsia" w:cstheme="majorEastAsia"/>
          <w:b/>
          <w:color w:val="auto"/>
        </w:rPr>
        <w:t>、</w:t>
      </w:r>
      <w:r>
        <w:rPr>
          <w:rFonts w:hint="eastAsia" w:asciiTheme="majorEastAsia" w:hAnsiTheme="majorEastAsia" w:eastAsiaTheme="majorEastAsia" w:cstheme="majorEastAsia"/>
          <w:b/>
          <w:color w:val="auto"/>
          <w:lang w:eastAsia="zh-CN"/>
        </w:rPr>
        <w:t>采购需求</w:t>
      </w:r>
      <w:r>
        <w:rPr>
          <w:rFonts w:hint="eastAsia" w:asciiTheme="majorEastAsia" w:hAnsiTheme="majorEastAsia" w:eastAsiaTheme="majorEastAsia" w:cstheme="majorEastAsia"/>
          <w:b/>
          <w:color w:val="auto"/>
          <w:lang w:val="en-US" w:eastAsia="zh-CN"/>
        </w:rPr>
        <w:t>/</w:t>
      </w:r>
      <w:r>
        <w:rPr>
          <w:rFonts w:hint="eastAsia" w:asciiTheme="majorEastAsia" w:hAnsiTheme="majorEastAsia" w:eastAsiaTheme="majorEastAsia" w:cstheme="majorEastAsia"/>
          <w:b/>
          <w:color w:val="auto"/>
        </w:rPr>
        <w:t>技术</w:t>
      </w:r>
      <w:r>
        <w:rPr>
          <w:rFonts w:hint="eastAsia" w:asciiTheme="majorEastAsia" w:hAnsiTheme="majorEastAsia" w:eastAsiaTheme="majorEastAsia" w:cstheme="majorEastAsia"/>
          <w:b/>
          <w:color w:val="auto"/>
          <w:lang w:eastAsia="zh-CN"/>
        </w:rPr>
        <w:t>和</w:t>
      </w:r>
      <w:r>
        <w:rPr>
          <w:rFonts w:hint="eastAsia" w:asciiTheme="majorEastAsia" w:hAnsiTheme="majorEastAsia" w:eastAsiaTheme="majorEastAsia" w:cstheme="majorEastAsia"/>
          <w:b/>
          <w:color w:val="auto"/>
        </w:rPr>
        <w:t>商务响应与偏离表</w:t>
      </w:r>
    </w:p>
    <w:p>
      <w:pPr>
        <w:pStyle w:val="12"/>
        <w:adjustRightInd w:val="0"/>
        <w:snapToGrid w:val="0"/>
        <w:spacing w:line="360" w:lineRule="auto"/>
        <w:outlineLvl w:val="9"/>
        <w:rPr>
          <w:rFonts w:hint="eastAsia" w:asciiTheme="majorEastAsia" w:hAnsiTheme="majorEastAsia" w:eastAsiaTheme="majorEastAsia" w:cstheme="majorEastAsia"/>
          <w:b/>
          <w:color w:val="auto"/>
          <w:sz w:val="21"/>
        </w:rPr>
      </w:pPr>
      <w:r>
        <w:rPr>
          <w:rFonts w:hint="eastAsia" w:asciiTheme="majorEastAsia" w:hAnsiTheme="majorEastAsia" w:eastAsiaTheme="majorEastAsia" w:cstheme="majorEastAsia"/>
          <w:b/>
          <w:color w:val="auto"/>
          <w:sz w:val="21"/>
          <w:lang w:eastAsia="zh-CN"/>
        </w:rPr>
        <w:t>五</w:t>
      </w:r>
      <w:r>
        <w:rPr>
          <w:rFonts w:hint="eastAsia" w:asciiTheme="majorEastAsia" w:hAnsiTheme="majorEastAsia" w:eastAsiaTheme="majorEastAsia" w:cstheme="majorEastAsia"/>
          <w:b/>
          <w:color w:val="auto"/>
          <w:sz w:val="21"/>
        </w:rPr>
        <w:t>、报价一览表及报价文件</w:t>
      </w:r>
    </w:p>
    <w:p>
      <w:pPr>
        <w:adjustRightInd w:val="0"/>
        <w:snapToGrid w:val="0"/>
        <w:spacing w:line="360" w:lineRule="auto"/>
        <w:ind w:firstLine="420" w:firstLineChars="200"/>
        <w:jc w:val="left"/>
        <w:outlineLvl w:val="9"/>
        <w:rPr>
          <w:rFonts w:hint="eastAsia" w:asciiTheme="majorEastAsia" w:hAnsiTheme="majorEastAsia" w:eastAsiaTheme="majorEastAsia" w:cstheme="majorEastAsia"/>
          <w:color w:val="auto"/>
          <w:szCs w:val="21"/>
          <w:lang w:eastAsia="zh-CN"/>
        </w:rPr>
      </w:pPr>
      <w:r>
        <w:rPr>
          <w:color w:val="auto"/>
        </w:rPr>
        <w:t>（一）</w:t>
      </w:r>
      <w:r>
        <w:rPr>
          <w:rFonts w:hint="eastAsia" w:asciiTheme="majorEastAsia" w:hAnsiTheme="majorEastAsia" w:eastAsiaTheme="majorEastAsia" w:cstheme="majorEastAsia"/>
          <w:color w:val="auto"/>
          <w:szCs w:val="21"/>
          <w:lang w:eastAsia="zh-CN"/>
        </w:rPr>
        <w:t>报价一览表</w:t>
      </w:r>
    </w:p>
    <w:p>
      <w:pPr>
        <w:pStyle w:val="2"/>
        <w:ind w:left="0" w:leftChars="0" w:firstLine="0" w:firstLineChars="0"/>
        <w:outlineLvl w:val="9"/>
        <w:rPr>
          <w:rFonts w:hint="default" w:eastAsia="宋体" w:asciiTheme="majorEastAsia" w:hAnsiTheme="majorEastAsia" w:cstheme="majorEastAsia"/>
          <w:color w:val="auto"/>
          <w:lang w:val="en-US" w:eastAsia="zh-CN"/>
        </w:rPr>
      </w:pPr>
      <w:r>
        <w:rPr>
          <w:rFonts w:hint="eastAsia" w:asciiTheme="majorEastAsia" w:hAnsiTheme="majorEastAsia" w:eastAsiaTheme="majorEastAsia" w:cstheme="majorEastAsia"/>
          <w:color w:val="auto"/>
          <w:szCs w:val="21"/>
          <w:lang w:val="en-US" w:eastAsia="zh-CN"/>
        </w:rPr>
        <w:t xml:space="preserve">    </w:t>
      </w:r>
      <w:r>
        <w:rPr>
          <w:color w:val="auto"/>
          <w:sz w:val="21"/>
        </w:rPr>
        <w:t>（二）</w:t>
      </w:r>
      <w:r>
        <w:rPr>
          <w:rFonts w:hint="eastAsia"/>
          <w:color w:val="auto"/>
          <w:sz w:val="21"/>
          <w:lang w:val="en-US" w:eastAsia="zh-CN"/>
        </w:rPr>
        <w:t>分项报价明细表</w:t>
      </w:r>
    </w:p>
    <w:p>
      <w:pPr>
        <w:adjustRightInd w:val="0"/>
        <w:snapToGrid w:val="0"/>
        <w:spacing w:line="360" w:lineRule="auto"/>
        <w:outlineLvl w:val="9"/>
        <w:rPr>
          <w:rFonts w:hint="eastAsia" w:asciiTheme="majorEastAsia" w:hAnsiTheme="majorEastAsia" w:eastAsiaTheme="majorEastAsia" w:cstheme="majorEastAsia"/>
          <w:b/>
          <w:color w:val="auto"/>
          <w:kern w:val="2"/>
          <w:sz w:val="24"/>
          <w:szCs w:val="24"/>
          <w:lang w:val="en-US" w:eastAsia="zh-CN" w:bidi="ar-SA"/>
        </w:rPr>
      </w:pPr>
      <w:r>
        <w:rPr>
          <w:rFonts w:hint="eastAsia" w:asciiTheme="majorEastAsia" w:hAnsiTheme="majorEastAsia" w:eastAsiaTheme="majorEastAsia" w:cstheme="majorEastAsia"/>
          <w:b/>
          <w:color w:val="auto"/>
          <w:lang w:eastAsia="zh-CN"/>
        </w:rPr>
        <w:t>六</w:t>
      </w:r>
      <w:r>
        <w:rPr>
          <w:rFonts w:hint="eastAsia" w:asciiTheme="majorEastAsia" w:hAnsiTheme="majorEastAsia" w:eastAsiaTheme="majorEastAsia" w:cstheme="majorEastAsia"/>
          <w:b/>
          <w:color w:val="auto"/>
        </w:rPr>
        <w:t>、</w:t>
      </w:r>
      <w:r>
        <w:rPr>
          <w:rFonts w:hint="eastAsia" w:asciiTheme="majorEastAsia" w:hAnsiTheme="majorEastAsia" w:eastAsiaTheme="majorEastAsia" w:cstheme="majorEastAsia"/>
          <w:b/>
          <w:color w:val="auto"/>
          <w:kern w:val="2"/>
          <w:sz w:val="24"/>
          <w:szCs w:val="24"/>
          <w:lang w:val="en-US" w:eastAsia="zh-CN" w:bidi="ar-SA"/>
        </w:rPr>
        <w:t>采购需求的响应</w:t>
      </w:r>
    </w:p>
    <w:p>
      <w:pPr>
        <w:adjustRightInd w:val="0"/>
        <w:snapToGrid w:val="0"/>
        <w:spacing w:line="360" w:lineRule="auto"/>
        <w:ind w:firstLine="420" w:firstLineChars="200"/>
        <w:jc w:val="left"/>
        <w:outlineLvl w:val="9"/>
        <w:rPr>
          <w:rFonts w:hint="default" w:eastAsia="宋体"/>
          <w:color w:val="auto"/>
          <w:lang w:val="en-US" w:eastAsia="zh-CN"/>
        </w:rPr>
      </w:pPr>
      <w:r>
        <w:rPr>
          <w:color w:val="auto"/>
        </w:rPr>
        <w:t>（一</w:t>
      </w:r>
      <w:r>
        <w:rPr>
          <w:rFonts w:hint="eastAsia"/>
          <w:color w:val="auto"/>
          <w:lang w:eastAsia="zh-CN"/>
        </w:rPr>
        <w:t>）</w:t>
      </w:r>
      <w:r>
        <w:rPr>
          <w:rFonts w:hint="eastAsia"/>
          <w:color w:val="auto"/>
          <w:lang w:val="en-US" w:eastAsia="zh-CN"/>
        </w:rPr>
        <w:t>采购需求的响应</w:t>
      </w:r>
    </w:p>
    <w:p>
      <w:pPr>
        <w:pStyle w:val="12"/>
        <w:adjustRightInd w:val="0"/>
        <w:snapToGrid w:val="0"/>
        <w:spacing w:line="360" w:lineRule="auto"/>
        <w:outlineLvl w:val="9"/>
        <w:rPr>
          <w:rFonts w:hint="eastAsia" w:asciiTheme="majorEastAsia" w:hAnsiTheme="majorEastAsia" w:eastAsiaTheme="majorEastAsia" w:cstheme="majorEastAsia"/>
          <w:b/>
          <w:color w:val="auto"/>
          <w:sz w:val="21"/>
        </w:rPr>
      </w:pPr>
      <w:r>
        <w:rPr>
          <w:rFonts w:hint="eastAsia" w:asciiTheme="majorEastAsia" w:hAnsiTheme="majorEastAsia" w:eastAsiaTheme="majorEastAsia" w:cstheme="majorEastAsia"/>
          <w:b/>
          <w:color w:val="auto"/>
          <w:sz w:val="21"/>
          <w:lang w:eastAsia="zh-CN"/>
        </w:rPr>
        <w:t>七</w:t>
      </w:r>
      <w:r>
        <w:rPr>
          <w:rFonts w:hint="eastAsia" w:asciiTheme="majorEastAsia" w:hAnsiTheme="majorEastAsia" w:eastAsiaTheme="majorEastAsia" w:cstheme="majorEastAsia"/>
          <w:b/>
          <w:color w:val="auto"/>
          <w:sz w:val="21"/>
        </w:rPr>
        <w:t>、</w:t>
      </w:r>
      <w:r>
        <w:rPr>
          <w:rFonts w:hint="eastAsia" w:asciiTheme="majorEastAsia" w:hAnsiTheme="majorEastAsia" w:eastAsiaTheme="majorEastAsia" w:cstheme="majorEastAsia"/>
          <w:b/>
          <w:color w:val="auto"/>
          <w:kern w:val="2"/>
          <w:sz w:val="24"/>
          <w:szCs w:val="24"/>
          <w:lang w:val="en-US" w:eastAsia="zh-CN" w:bidi="ar-SA"/>
        </w:rPr>
        <w:t>享受政府采购政策优惠的证明材料</w:t>
      </w:r>
    </w:p>
    <w:p>
      <w:pPr>
        <w:adjustRightInd w:val="0"/>
        <w:snapToGrid w:val="0"/>
        <w:spacing w:line="360" w:lineRule="auto"/>
        <w:ind w:firstLine="420" w:firstLineChars="200"/>
        <w:jc w:val="left"/>
        <w:outlineLvl w:val="9"/>
        <w:rPr>
          <w:color w:val="auto"/>
        </w:rPr>
      </w:pPr>
      <w:r>
        <w:rPr>
          <w:color w:val="auto"/>
        </w:rPr>
        <w:t>（一）中小企业声明函</w:t>
      </w:r>
    </w:p>
    <w:p>
      <w:pPr>
        <w:adjustRightInd w:val="0"/>
        <w:snapToGrid w:val="0"/>
        <w:spacing w:line="360" w:lineRule="auto"/>
        <w:ind w:firstLine="420" w:firstLineChars="200"/>
        <w:jc w:val="left"/>
        <w:outlineLvl w:val="9"/>
        <w:rPr>
          <w:rFonts w:hint="eastAsia"/>
          <w:color w:val="auto"/>
        </w:rPr>
      </w:pPr>
      <w:r>
        <w:rPr>
          <w:color w:val="auto"/>
        </w:rPr>
        <w:t>（二）</w:t>
      </w:r>
      <w:r>
        <w:rPr>
          <w:rFonts w:hint="eastAsia"/>
          <w:color w:val="auto"/>
        </w:rPr>
        <w:t>“节能产品”、“环境标志产品”</w:t>
      </w:r>
      <w:r>
        <w:rPr>
          <w:rFonts w:hint="eastAsia"/>
          <w:color w:val="auto"/>
          <w:lang w:eastAsia="zh-CN"/>
        </w:rPr>
        <w:t>、“两型产品”</w:t>
      </w:r>
      <w:r>
        <w:rPr>
          <w:rFonts w:hint="eastAsia"/>
          <w:color w:val="auto"/>
        </w:rPr>
        <w:t>等证明材料</w:t>
      </w:r>
    </w:p>
    <w:p>
      <w:pPr>
        <w:pStyle w:val="12"/>
        <w:adjustRightInd w:val="0"/>
        <w:snapToGrid w:val="0"/>
        <w:spacing w:line="360" w:lineRule="auto"/>
        <w:outlineLvl w:val="9"/>
        <w:rPr>
          <w:rFonts w:hint="eastAsia" w:asciiTheme="majorEastAsia" w:hAnsiTheme="majorEastAsia" w:eastAsiaTheme="majorEastAsia" w:cstheme="majorEastAsia"/>
          <w:b/>
          <w:color w:val="auto"/>
          <w:sz w:val="21"/>
          <w:lang w:eastAsia="zh-CN"/>
        </w:rPr>
      </w:pPr>
      <w:r>
        <w:rPr>
          <w:rFonts w:hint="eastAsia" w:asciiTheme="majorEastAsia" w:hAnsiTheme="majorEastAsia" w:eastAsiaTheme="majorEastAsia" w:cstheme="majorEastAsia"/>
          <w:b/>
          <w:color w:val="auto"/>
          <w:sz w:val="21"/>
          <w:lang w:eastAsia="zh-CN"/>
        </w:rPr>
        <w:t>八、供应商认为需提供的其它资料</w:t>
      </w:r>
    </w:p>
    <w:p>
      <w:pPr>
        <w:pStyle w:val="12"/>
        <w:adjustRightInd w:val="0"/>
        <w:snapToGrid w:val="0"/>
        <w:spacing w:line="360" w:lineRule="auto"/>
        <w:outlineLvl w:val="9"/>
        <w:rPr>
          <w:rFonts w:hint="eastAsia" w:asciiTheme="majorEastAsia" w:hAnsiTheme="majorEastAsia" w:eastAsiaTheme="majorEastAsia" w:cstheme="majorEastAsia"/>
          <w:b/>
          <w:color w:val="auto"/>
          <w:sz w:val="21"/>
          <w:lang w:eastAsia="zh-CN"/>
        </w:rPr>
      </w:pPr>
      <w:r>
        <w:rPr>
          <w:rFonts w:hint="eastAsia" w:asciiTheme="majorEastAsia" w:hAnsiTheme="majorEastAsia" w:eastAsiaTheme="majorEastAsia" w:cstheme="majorEastAsia"/>
          <w:b/>
          <w:color w:val="auto"/>
          <w:sz w:val="21"/>
          <w:lang w:eastAsia="zh-CN"/>
        </w:rPr>
        <w:t>九、代理服务费承诺书</w:t>
      </w:r>
    </w:p>
    <w:p>
      <w:pPr>
        <w:pStyle w:val="12"/>
        <w:adjustRightInd w:val="0"/>
        <w:snapToGrid w:val="0"/>
        <w:spacing w:line="360" w:lineRule="auto"/>
        <w:outlineLvl w:val="9"/>
        <w:rPr>
          <w:rFonts w:hint="eastAsia" w:asciiTheme="majorEastAsia" w:hAnsiTheme="majorEastAsia" w:eastAsiaTheme="majorEastAsia" w:cstheme="majorEastAsia"/>
          <w:b/>
          <w:color w:val="auto"/>
          <w:sz w:val="21"/>
          <w:lang w:eastAsia="zh-CN"/>
        </w:rPr>
      </w:pPr>
      <w:r>
        <w:rPr>
          <w:rFonts w:hint="eastAsia" w:asciiTheme="majorEastAsia" w:hAnsiTheme="majorEastAsia" w:eastAsiaTheme="majorEastAsia" w:cstheme="majorEastAsia"/>
          <w:b/>
          <w:color w:val="auto"/>
          <w:sz w:val="21"/>
          <w:lang w:eastAsia="zh-CN"/>
        </w:rPr>
        <w:t>十、最后报价</w:t>
      </w:r>
    </w:p>
    <w:p>
      <w:pPr>
        <w:spacing w:line="360" w:lineRule="exact"/>
        <w:rPr>
          <w:rFonts w:hint="eastAsia" w:asciiTheme="majorEastAsia" w:hAnsiTheme="majorEastAsia" w:eastAsiaTheme="majorEastAsia" w:cstheme="majorEastAsia"/>
          <w:b/>
          <w:color w:val="auto"/>
        </w:rPr>
      </w:pPr>
      <w:r>
        <w:rPr>
          <w:rFonts w:hint="eastAsia" w:asciiTheme="majorEastAsia" w:hAnsiTheme="majorEastAsia" w:eastAsiaTheme="majorEastAsia" w:cstheme="majorEastAsia"/>
          <w:b/>
          <w:color w:val="auto"/>
          <w:sz w:val="20"/>
          <w:szCs w:val="20"/>
        </w:rPr>
        <w:br w:type="page"/>
      </w:r>
    </w:p>
    <w:p>
      <w:pPr>
        <w:spacing w:before="0" w:line="922" w:lineRule="exact"/>
        <w:ind w:left="0" w:right="17" w:firstLine="0"/>
        <w:jc w:val="center"/>
        <w:rPr>
          <w:b/>
          <w:color w:val="auto"/>
          <w:sz w:val="72"/>
        </w:rPr>
      </w:pPr>
      <w:r>
        <w:rPr>
          <w:b/>
          <w:color w:val="auto"/>
          <w:sz w:val="72"/>
        </w:rPr>
        <w:t>竞争性磋商</w:t>
      </w:r>
    </w:p>
    <w:p>
      <w:pPr>
        <w:pStyle w:val="11"/>
        <w:spacing w:before="11"/>
        <w:rPr>
          <w:b/>
          <w:color w:val="auto"/>
          <w:sz w:val="85"/>
        </w:rPr>
      </w:pPr>
    </w:p>
    <w:p>
      <w:pPr>
        <w:spacing w:before="0"/>
        <w:ind w:left="0" w:right="21" w:firstLine="0"/>
        <w:jc w:val="center"/>
        <w:rPr>
          <w:b/>
          <w:color w:val="auto"/>
          <w:sz w:val="84"/>
        </w:rPr>
      </w:pPr>
      <w:r>
        <w:rPr>
          <w:b/>
          <w:color w:val="auto"/>
          <w:spacing w:val="-3"/>
          <w:sz w:val="84"/>
        </w:rPr>
        <w:t>响 应 文 件</w:t>
      </w:r>
    </w:p>
    <w:p>
      <w:pPr>
        <w:pStyle w:val="11"/>
        <w:spacing w:before="9"/>
        <w:rPr>
          <w:b/>
          <w:color w:val="auto"/>
          <w:sz w:val="87"/>
        </w:rPr>
      </w:pPr>
    </w:p>
    <w:p>
      <w:pPr>
        <w:spacing w:before="0"/>
        <w:ind w:left="0" w:right="13" w:firstLine="0"/>
        <w:jc w:val="center"/>
        <w:outlineLvl w:val="1"/>
        <w:rPr>
          <w:rFonts w:hint="eastAsia" w:ascii="黑体" w:eastAsia="黑体"/>
          <w:b/>
          <w:color w:val="auto"/>
          <w:sz w:val="44"/>
        </w:rPr>
      </w:pPr>
      <w:bookmarkStart w:id="72" w:name="第一部分 资格证明文件"/>
      <w:bookmarkEnd w:id="72"/>
      <w:bookmarkStart w:id="73" w:name="_bookmark49"/>
      <w:bookmarkEnd w:id="73"/>
      <w:bookmarkStart w:id="74" w:name="_Toc25671"/>
      <w:r>
        <w:rPr>
          <w:rFonts w:hint="eastAsia" w:ascii="黑体" w:eastAsia="黑体"/>
          <w:b/>
          <w:color w:val="auto"/>
          <w:spacing w:val="-3"/>
          <w:sz w:val="44"/>
        </w:rPr>
        <w:t>第一部分 资格证明文件</w:t>
      </w:r>
      <w:bookmarkEnd w:id="74"/>
    </w:p>
    <w:p>
      <w:pPr>
        <w:pStyle w:val="12"/>
        <w:adjustRightInd w:val="0"/>
        <w:snapToGrid w:val="0"/>
        <w:spacing w:line="360" w:lineRule="auto"/>
        <w:ind w:firstLine="1988" w:firstLineChars="660"/>
        <w:rPr>
          <w:rFonts w:hint="eastAsia" w:hAnsi="宋体"/>
          <w:b/>
          <w:bCs/>
          <w:color w:val="auto"/>
          <w:sz w:val="30"/>
          <w:szCs w:val="30"/>
        </w:rPr>
      </w:pP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采购项目名称:</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rPr>
      </w:pPr>
      <w:r>
        <w:rPr>
          <w:rFonts w:hint="eastAsia" w:hAnsi="宋体"/>
          <w:b/>
          <w:bCs/>
          <w:color w:val="auto"/>
          <w:sz w:val="30"/>
          <w:szCs w:val="30"/>
        </w:rPr>
        <w:t>采   购   人：</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政府采购编号:</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采购代理编号:</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采购代理机构：</w:t>
      </w:r>
      <w:r>
        <w:rPr>
          <w:rFonts w:hint="eastAsia" w:hAnsi="宋体"/>
          <w:b/>
          <w:bCs/>
          <w:color w:val="auto"/>
          <w:sz w:val="30"/>
          <w:szCs w:val="30"/>
          <w:u w:val="single"/>
        </w:rPr>
        <w:t xml:space="preserve">                   </w:t>
      </w:r>
      <w:r>
        <w:rPr>
          <w:rFonts w:hint="eastAsia" w:hAnsi="宋体"/>
          <w:b/>
          <w:bCs/>
          <w:color w:val="auto"/>
          <w:sz w:val="30"/>
          <w:szCs w:val="30"/>
          <w:u w:val="single"/>
          <w:lang w:val="en-US" w:eastAsia="zh-CN"/>
        </w:rPr>
        <w:t xml:space="preserve"> </w:t>
      </w:r>
      <w:r>
        <w:rPr>
          <w:rFonts w:hint="eastAsia" w:hAnsi="宋体"/>
          <w:b/>
          <w:bCs/>
          <w:color w:val="auto"/>
          <w:sz w:val="30"/>
          <w:szCs w:val="30"/>
          <w:u w:val="single"/>
        </w:rPr>
        <w:t xml:space="preserve">  </w:t>
      </w:r>
    </w:p>
    <w:p>
      <w:pPr>
        <w:adjustRightInd w:val="0"/>
        <w:snapToGrid w:val="0"/>
        <w:spacing w:line="360" w:lineRule="auto"/>
        <w:rPr>
          <w:rFonts w:ascii="宋体" w:hAnsi="宋体"/>
          <w:color w:val="auto"/>
          <w:sz w:val="30"/>
          <w:szCs w:val="30"/>
        </w:rPr>
      </w:pPr>
    </w:p>
    <w:p>
      <w:pPr>
        <w:adjustRightInd w:val="0"/>
        <w:snapToGrid w:val="0"/>
        <w:spacing w:line="360" w:lineRule="auto"/>
        <w:rPr>
          <w:rFonts w:ascii="宋体" w:hAnsi="宋体"/>
          <w:color w:val="auto"/>
          <w:sz w:val="30"/>
          <w:szCs w:val="30"/>
        </w:rPr>
      </w:pPr>
    </w:p>
    <w:p>
      <w:pPr>
        <w:adjustRightInd w:val="0"/>
        <w:snapToGrid w:val="0"/>
        <w:spacing w:line="360" w:lineRule="auto"/>
        <w:ind w:left="1273" w:leftChars="606" w:firstLine="643" w:firstLineChars="200"/>
        <w:rPr>
          <w:rFonts w:hint="eastAsia" w:ascii="宋体" w:hAnsi="宋体"/>
          <w:b/>
          <w:bCs/>
          <w:color w:val="auto"/>
          <w:sz w:val="32"/>
          <w:szCs w:val="32"/>
        </w:rPr>
      </w:pPr>
    </w:p>
    <w:p>
      <w:pPr>
        <w:adjustRightInd w:val="0"/>
        <w:snapToGrid w:val="0"/>
        <w:spacing w:line="360" w:lineRule="auto"/>
        <w:ind w:left="1273" w:leftChars="606" w:firstLine="643" w:firstLineChars="200"/>
        <w:rPr>
          <w:rFonts w:hint="eastAsia" w:ascii="宋体" w:hAnsi="宋体"/>
          <w:b/>
          <w:bCs/>
          <w:color w:val="auto"/>
          <w:sz w:val="32"/>
          <w:szCs w:val="32"/>
        </w:rPr>
      </w:pPr>
    </w:p>
    <w:p>
      <w:pPr>
        <w:adjustRightInd w:val="0"/>
        <w:snapToGrid w:val="0"/>
        <w:spacing w:line="360" w:lineRule="auto"/>
        <w:ind w:left="1273" w:leftChars="606" w:firstLine="643" w:firstLineChars="200"/>
        <w:rPr>
          <w:rFonts w:ascii="宋体" w:hAnsi="宋体"/>
          <w:b/>
          <w:bCs/>
          <w:color w:val="auto"/>
          <w:sz w:val="32"/>
          <w:szCs w:val="32"/>
          <w:u w:val="single"/>
        </w:rPr>
      </w:pPr>
      <w:r>
        <w:rPr>
          <w:rFonts w:hint="eastAsia" w:ascii="宋体" w:hAnsi="宋体"/>
          <w:b/>
          <w:bCs/>
          <w:color w:val="auto"/>
          <w:sz w:val="32"/>
          <w:szCs w:val="32"/>
        </w:rPr>
        <w:t>供应商</w:t>
      </w:r>
      <w:r>
        <w:rPr>
          <w:rFonts w:hint="eastAsia" w:ascii="宋体" w:hAnsi="宋体"/>
          <w:b/>
          <w:bCs/>
          <w:color w:val="auto"/>
          <w:sz w:val="32"/>
          <w:szCs w:val="32"/>
          <w:u w:val="single"/>
        </w:rPr>
        <w:t xml:space="preserve">                         </w:t>
      </w:r>
    </w:p>
    <w:p>
      <w:pPr>
        <w:adjustRightInd w:val="0"/>
        <w:snapToGrid w:val="0"/>
        <w:spacing w:line="360" w:lineRule="auto"/>
        <w:jc w:val="center"/>
        <w:rPr>
          <w:rFonts w:ascii="宋体" w:hAnsi="宋体"/>
          <w:color w:val="auto"/>
          <w:sz w:val="32"/>
          <w:szCs w:val="32"/>
        </w:rPr>
      </w:pPr>
      <w:r>
        <w:rPr>
          <w:rFonts w:hint="eastAsia" w:ascii="宋体" w:hAnsi="宋体"/>
          <w:color w:val="auto"/>
          <w:sz w:val="32"/>
          <w:szCs w:val="32"/>
        </w:rPr>
        <w:t>年  月  日</w:t>
      </w: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pStyle w:val="11"/>
        <w:spacing w:before="70"/>
        <w:rPr>
          <w:rFonts w:hint="eastAsia" w:ascii="黑体" w:eastAsia="黑体"/>
          <w:color w:val="auto"/>
        </w:rPr>
      </w:pPr>
      <w:r>
        <w:rPr>
          <w:rFonts w:hint="eastAsia" w:ascii="黑体" w:eastAsia="黑体"/>
          <w:color w:val="auto"/>
        </w:rPr>
        <w:t>索引表 1 资格审查索引表</w:t>
      </w:r>
    </w:p>
    <w:p>
      <w:pPr>
        <w:pStyle w:val="11"/>
        <w:spacing w:before="5"/>
        <w:rPr>
          <w:rFonts w:ascii="黑体"/>
          <w:color w:val="auto"/>
          <w:sz w:val="18"/>
        </w:rPr>
      </w:pPr>
    </w:p>
    <w:p>
      <w:pPr>
        <w:spacing w:before="61"/>
        <w:ind w:left="0" w:right="17" w:firstLine="0"/>
        <w:jc w:val="center"/>
        <w:rPr>
          <w:rFonts w:hint="eastAsia" w:ascii="黑体" w:eastAsia="黑体"/>
          <w:color w:val="auto"/>
          <w:sz w:val="28"/>
        </w:rPr>
      </w:pPr>
      <w:r>
        <w:rPr>
          <w:rFonts w:hint="eastAsia" w:ascii="黑体" w:eastAsia="黑体"/>
          <w:color w:val="auto"/>
          <w:sz w:val="28"/>
        </w:rPr>
        <w:t>资格审查索引表</w:t>
      </w:r>
    </w:p>
    <w:tbl>
      <w:tblPr>
        <w:tblStyle w:val="20"/>
        <w:tblpPr w:leftFromText="180" w:rightFromText="180" w:vertAnchor="text" w:horzAnchor="page" w:tblpXSpec="center" w:tblpY="409"/>
        <w:tblOverlap w:val="never"/>
        <w:tblW w:w="0" w:type="auto"/>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fixed"/>
        <w:tblCellMar>
          <w:top w:w="0" w:type="dxa"/>
          <w:left w:w="0" w:type="dxa"/>
          <w:bottom w:w="0" w:type="dxa"/>
          <w:right w:w="0" w:type="dxa"/>
        </w:tblCellMar>
      </w:tblPr>
      <w:tblGrid>
        <w:gridCol w:w="789"/>
        <w:gridCol w:w="1871"/>
        <w:gridCol w:w="2257"/>
        <w:gridCol w:w="2070"/>
        <w:gridCol w:w="2445"/>
      </w:tblGrid>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973" w:hRule="atLeast"/>
          <w:jc w:val="center"/>
        </w:trPr>
        <w:tc>
          <w:tcPr>
            <w:tcW w:w="789" w:type="dxa"/>
            <w:tcBorders>
              <w:bottom w:val="single" w:color="000000" w:sz="6" w:space="0"/>
              <w:right w:val="single" w:color="000000" w:sz="6" w:space="0"/>
            </w:tcBorders>
          </w:tcPr>
          <w:p>
            <w:pPr>
              <w:pStyle w:val="47"/>
              <w:spacing w:before="2"/>
              <w:rPr>
                <w:rFonts w:ascii="黑体"/>
                <w:color w:val="auto"/>
                <w:sz w:val="28"/>
              </w:rPr>
            </w:pPr>
          </w:p>
          <w:p>
            <w:pPr>
              <w:pStyle w:val="47"/>
              <w:ind w:left="173"/>
              <w:rPr>
                <w:b/>
                <w:color w:val="auto"/>
                <w:sz w:val="21"/>
              </w:rPr>
            </w:pPr>
            <w:r>
              <w:rPr>
                <w:b/>
                <w:color w:val="auto"/>
                <w:sz w:val="21"/>
              </w:rPr>
              <w:t>序号</w:t>
            </w:r>
          </w:p>
        </w:tc>
        <w:tc>
          <w:tcPr>
            <w:tcW w:w="1871" w:type="dxa"/>
            <w:tcBorders>
              <w:left w:val="single" w:color="000000" w:sz="6" w:space="0"/>
              <w:bottom w:val="single" w:color="000000" w:sz="6" w:space="0"/>
              <w:right w:val="single" w:color="000000" w:sz="4" w:space="0"/>
            </w:tcBorders>
          </w:tcPr>
          <w:p>
            <w:pPr>
              <w:pStyle w:val="47"/>
              <w:spacing w:before="2"/>
              <w:rPr>
                <w:rFonts w:ascii="黑体"/>
                <w:color w:val="auto"/>
                <w:sz w:val="28"/>
              </w:rPr>
            </w:pPr>
          </w:p>
          <w:p>
            <w:pPr>
              <w:pStyle w:val="47"/>
              <w:ind w:left="196"/>
              <w:rPr>
                <w:b/>
                <w:color w:val="auto"/>
                <w:sz w:val="21"/>
              </w:rPr>
            </w:pPr>
            <w:r>
              <w:rPr>
                <w:b/>
                <w:color w:val="auto"/>
                <w:sz w:val="21"/>
              </w:rPr>
              <w:t>磋商文件条款号</w:t>
            </w:r>
          </w:p>
        </w:tc>
        <w:tc>
          <w:tcPr>
            <w:tcW w:w="2257" w:type="dxa"/>
            <w:tcBorders>
              <w:left w:val="single" w:color="000000" w:sz="4" w:space="0"/>
              <w:bottom w:val="single" w:color="000000" w:sz="6" w:space="0"/>
              <w:right w:val="single" w:color="000000" w:sz="6" w:space="0"/>
            </w:tcBorders>
          </w:tcPr>
          <w:p>
            <w:pPr>
              <w:pStyle w:val="47"/>
              <w:spacing w:before="2"/>
              <w:rPr>
                <w:rFonts w:ascii="黑体"/>
                <w:color w:val="auto"/>
                <w:sz w:val="28"/>
              </w:rPr>
            </w:pPr>
          </w:p>
          <w:p>
            <w:pPr>
              <w:pStyle w:val="47"/>
              <w:ind w:left="497"/>
              <w:rPr>
                <w:b/>
                <w:color w:val="auto"/>
                <w:sz w:val="21"/>
              </w:rPr>
            </w:pPr>
            <w:r>
              <w:rPr>
                <w:b/>
                <w:color w:val="auto"/>
                <w:sz w:val="21"/>
              </w:rPr>
              <w:t>资格审查标准</w:t>
            </w:r>
          </w:p>
        </w:tc>
        <w:tc>
          <w:tcPr>
            <w:tcW w:w="2070" w:type="dxa"/>
            <w:tcBorders>
              <w:left w:val="single" w:color="000000" w:sz="6" w:space="0"/>
              <w:bottom w:val="single" w:color="000000" w:sz="6" w:space="0"/>
              <w:right w:val="single" w:color="000000" w:sz="6" w:space="0"/>
            </w:tcBorders>
          </w:tcPr>
          <w:p>
            <w:pPr>
              <w:pStyle w:val="47"/>
              <w:spacing w:before="2"/>
              <w:rPr>
                <w:rFonts w:ascii="黑体"/>
                <w:color w:val="auto"/>
                <w:sz w:val="28"/>
              </w:rPr>
            </w:pPr>
          </w:p>
          <w:p>
            <w:pPr>
              <w:pStyle w:val="47"/>
              <w:ind w:left="611"/>
              <w:rPr>
                <w:b/>
                <w:color w:val="auto"/>
                <w:sz w:val="21"/>
              </w:rPr>
            </w:pPr>
            <w:r>
              <w:rPr>
                <w:b/>
                <w:color w:val="auto"/>
                <w:sz w:val="21"/>
              </w:rPr>
              <w:t>证明材料</w:t>
            </w:r>
          </w:p>
        </w:tc>
        <w:tc>
          <w:tcPr>
            <w:tcW w:w="2445" w:type="dxa"/>
            <w:tcBorders>
              <w:left w:val="single" w:color="000000" w:sz="6" w:space="0"/>
              <w:bottom w:val="single" w:color="000000" w:sz="6" w:space="0"/>
            </w:tcBorders>
          </w:tcPr>
          <w:p>
            <w:pPr>
              <w:pStyle w:val="47"/>
              <w:spacing w:before="16" w:line="410" w:lineRule="atLeast"/>
              <w:ind w:left="905" w:right="144" w:hanging="737"/>
              <w:rPr>
                <w:b/>
                <w:color w:val="auto"/>
                <w:sz w:val="21"/>
              </w:rPr>
            </w:pPr>
            <w:r>
              <w:rPr>
                <w:b/>
                <w:color w:val="auto"/>
                <w:sz w:val="21"/>
              </w:rPr>
              <w:t>响应文件对应内容的册及页码</w:t>
            </w: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6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5" w:hRule="atLeast"/>
          <w:jc w:val="center"/>
        </w:trPr>
        <w:tc>
          <w:tcPr>
            <w:tcW w:w="789" w:type="dxa"/>
            <w:tcBorders>
              <w:top w:val="single" w:color="000000" w:sz="6" w:space="0"/>
              <w:bottom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bottom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bottom w:val="single" w:color="000000" w:sz="6"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bottom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bottom w:val="single" w:color="000000" w:sz="6" w:space="0"/>
            </w:tcBorders>
          </w:tcPr>
          <w:p>
            <w:pPr>
              <w:pStyle w:val="47"/>
              <w:rPr>
                <w:rFonts w:ascii="Times New Roman"/>
                <w:color w:val="auto"/>
                <w:sz w:val="20"/>
              </w:rPr>
            </w:pPr>
          </w:p>
        </w:tc>
      </w:tr>
      <w:tr>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0" w:type="dxa"/>
            <w:bottom w:w="0" w:type="dxa"/>
            <w:right w:w="0" w:type="dxa"/>
          </w:tblCellMar>
        </w:tblPrEx>
        <w:trPr>
          <w:trHeight w:val="544" w:hRule="atLeast"/>
          <w:jc w:val="center"/>
        </w:trPr>
        <w:tc>
          <w:tcPr>
            <w:tcW w:w="789" w:type="dxa"/>
            <w:tcBorders>
              <w:top w:val="single" w:color="000000" w:sz="6" w:space="0"/>
              <w:right w:val="single" w:color="000000" w:sz="6" w:space="0"/>
            </w:tcBorders>
          </w:tcPr>
          <w:p>
            <w:pPr>
              <w:pStyle w:val="47"/>
              <w:rPr>
                <w:rFonts w:ascii="Times New Roman"/>
                <w:color w:val="auto"/>
                <w:sz w:val="20"/>
              </w:rPr>
            </w:pPr>
          </w:p>
        </w:tc>
        <w:tc>
          <w:tcPr>
            <w:tcW w:w="1871" w:type="dxa"/>
            <w:tcBorders>
              <w:top w:val="single" w:color="000000" w:sz="6" w:space="0"/>
              <w:left w:val="single" w:color="000000" w:sz="6" w:space="0"/>
              <w:right w:val="single" w:color="000000" w:sz="4" w:space="0"/>
            </w:tcBorders>
          </w:tcPr>
          <w:p>
            <w:pPr>
              <w:pStyle w:val="47"/>
              <w:rPr>
                <w:rFonts w:ascii="Times New Roman"/>
                <w:color w:val="auto"/>
                <w:sz w:val="20"/>
              </w:rPr>
            </w:pPr>
          </w:p>
        </w:tc>
        <w:tc>
          <w:tcPr>
            <w:tcW w:w="2257" w:type="dxa"/>
            <w:tcBorders>
              <w:top w:val="single" w:color="000000" w:sz="6" w:space="0"/>
              <w:left w:val="single" w:color="000000" w:sz="4" w:space="0"/>
              <w:right w:val="single" w:color="000000" w:sz="6" w:space="0"/>
            </w:tcBorders>
          </w:tcPr>
          <w:p>
            <w:pPr>
              <w:pStyle w:val="47"/>
              <w:rPr>
                <w:rFonts w:ascii="Times New Roman"/>
                <w:color w:val="auto"/>
                <w:sz w:val="20"/>
              </w:rPr>
            </w:pPr>
          </w:p>
        </w:tc>
        <w:tc>
          <w:tcPr>
            <w:tcW w:w="2070" w:type="dxa"/>
            <w:tcBorders>
              <w:top w:val="single" w:color="000000" w:sz="6" w:space="0"/>
              <w:left w:val="single" w:color="000000" w:sz="6" w:space="0"/>
              <w:right w:val="single" w:color="000000" w:sz="6" w:space="0"/>
            </w:tcBorders>
          </w:tcPr>
          <w:p>
            <w:pPr>
              <w:pStyle w:val="47"/>
              <w:rPr>
                <w:rFonts w:ascii="Times New Roman"/>
                <w:color w:val="auto"/>
                <w:sz w:val="20"/>
              </w:rPr>
            </w:pPr>
          </w:p>
        </w:tc>
        <w:tc>
          <w:tcPr>
            <w:tcW w:w="2445" w:type="dxa"/>
            <w:tcBorders>
              <w:top w:val="single" w:color="000000" w:sz="6" w:space="0"/>
              <w:left w:val="single" w:color="000000" w:sz="6" w:space="0"/>
            </w:tcBorders>
          </w:tcPr>
          <w:p>
            <w:pPr>
              <w:pStyle w:val="47"/>
              <w:rPr>
                <w:rFonts w:ascii="Times New Roman"/>
                <w:color w:val="auto"/>
                <w:sz w:val="20"/>
              </w:rPr>
            </w:pPr>
          </w:p>
        </w:tc>
      </w:tr>
    </w:tbl>
    <w:p>
      <w:pPr>
        <w:pStyle w:val="11"/>
        <w:spacing w:before="2"/>
        <w:rPr>
          <w:rFonts w:ascii="黑体"/>
          <w:color w:val="auto"/>
          <w:sz w:val="15"/>
        </w:rPr>
      </w:pP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napToGrid w:val="0"/>
        <w:spacing w:line="360" w:lineRule="auto"/>
        <w:jc w:val="center"/>
        <w:outlineLvl w:val="2"/>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一、磋商响应声明</w:t>
      </w: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致</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rPr>
        <w:t>(采购人</w:t>
      </w:r>
      <w:r>
        <w:rPr>
          <w:rFonts w:hint="eastAsia" w:asciiTheme="majorEastAsia" w:hAnsiTheme="majorEastAsia" w:eastAsiaTheme="majorEastAsia" w:cstheme="majorEastAsia"/>
          <w:bCs/>
          <w:color w:val="auto"/>
          <w:szCs w:val="21"/>
          <w:lang w:eastAsia="zh-CN"/>
        </w:rPr>
        <w:t>、</w:t>
      </w:r>
      <w:r>
        <w:rPr>
          <w:rFonts w:hint="eastAsia" w:asciiTheme="majorEastAsia" w:hAnsiTheme="majorEastAsia" w:eastAsiaTheme="majorEastAsia" w:cstheme="majorEastAsia"/>
          <w:bCs/>
          <w:color w:val="auto"/>
          <w:szCs w:val="21"/>
        </w:rPr>
        <w:t>采购代理机构)：</w:t>
      </w:r>
    </w:p>
    <w:p>
      <w:pPr>
        <w:keepNext w:val="0"/>
        <w:keepLines w:val="0"/>
        <w:pageBreakBefore w:val="0"/>
        <w:widowControl w:val="0"/>
        <w:kinsoku/>
        <w:wordWrap/>
        <w:overflowPunct/>
        <w:topLinePunct w:val="0"/>
        <w:autoSpaceDE/>
        <w:autoSpaceDN/>
        <w:bidi w:val="0"/>
        <w:adjustRightInd w:val="0"/>
        <w:snapToGrid w:val="0"/>
        <w:spacing w:line="360" w:lineRule="auto"/>
        <w:ind w:right="23" w:firstLine="420" w:firstLineChars="200"/>
        <w:textAlignment w:val="auto"/>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我方已仔细研究了</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(项目名称)的竞争性磋商文件（政府采购编号：</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；采购代理编号：</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）的全部内容，签字代表</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（姓名、职务）经正式授权并代表供应商</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（供应商名称）提交资格证明文件正本一份,副本</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rPr>
        <w:t>份；商务技术文件正本一份,副本</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rPr>
        <w:t>份；响应文件电子文档：一份，参加该采购项目磋商，并在此声明，所递交的响应文件内容完整、真实。</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一、我方已详细审查磋商文件。我们完全理解并同意放弃对这方面有不明及误解的权力。</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二、我方愿意向贵方提供任何与本项采购有关的数据、情况和技术资料。若贵方需要，我方愿意提供我方作出的一切承诺的证明材料。</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三、我方愿意按磋商文件规定和磋商小组要求重新提交响应文件和最后报价。</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四、我方同意在磋商文件中规定的提交首次响应文件截止时间起</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日内(响应文件有效期)遵守本响应文件中的承诺且在此期限期满之前均具有法律约束力。</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五、我方承诺遵守《政府采购法》及实施条例、《政府采购竞争性磋商采购方式管理暂行办法》（财库﹝2014﹞214 号）的有关规定，保证在获得成交资格后，按照磋商文件确定的事项签订政府采购合同，履行双方所签订的合同，并承担合同规定的责任和义务。</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六、我方承诺在参与竞争性磋商过程中，若出现《政府采购法》第七十七条和《政府采购法实施条例》第七十二条规定之情形，我方同意接受条款规定作出的处罚。</w:t>
      </w: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七、我方的联系方式：</w:t>
      </w: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rPr>
          <w:rFonts w:hint="eastAsia" w:asciiTheme="majorEastAsia" w:hAnsiTheme="majorEastAsia" w:eastAsiaTheme="majorEastAsia" w:cstheme="majorEastAsia"/>
          <w:bCs/>
          <w:color w:val="auto"/>
          <w:szCs w:val="21"/>
        </w:rPr>
      </w:pPr>
      <w:r>
        <w:rPr>
          <w:rFonts w:hint="eastAsia" w:asciiTheme="majorEastAsia" w:hAnsiTheme="majorEastAsia" w:eastAsiaTheme="majorEastAsia" w:cstheme="majorEastAsia"/>
          <w:bCs/>
          <w:color w:val="auto"/>
          <w:szCs w:val="21"/>
        </w:rPr>
        <w:t>地址：</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；邮编：</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；电话：</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lang w:val="en-US" w:eastAsia="zh-CN"/>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；电子邮箱：</w:t>
      </w:r>
      <w:r>
        <w:rPr>
          <w:rFonts w:hint="eastAsia" w:asciiTheme="majorEastAsia" w:hAnsiTheme="majorEastAsia" w:eastAsiaTheme="majorEastAsia" w:cstheme="majorEastAsia"/>
          <w:bCs/>
          <w:color w:val="auto"/>
          <w:szCs w:val="21"/>
          <w:u w:val="single"/>
        </w:rPr>
        <w:t xml:space="preserve"> </w:t>
      </w:r>
      <w:r>
        <w:rPr>
          <w:rFonts w:hint="eastAsia" w:asciiTheme="majorEastAsia" w:hAnsiTheme="majorEastAsia" w:eastAsiaTheme="majorEastAsia" w:cstheme="majorEastAsia"/>
          <w:bCs/>
          <w:color w:val="auto"/>
          <w:szCs w:val="21"/>
          <w:u w:val="single"/>
        </w:rPr>
        <w:tab/>
      </w:r>
      <w:r>
        <w:rPr>
          <w:rFonts w:hint="eastAsia" w:asciiTheme="majorEastAsia" w:hAnsiTheme="majorEastAsia" w:eastAsiaTheme="majorEastAsia" w:cstheme="majorEastAsia"/>
          <w:bCs/>
          <w:color w:val="auto"/>
          <w:szCs w:val="21"/>
        </w:rPr>
        <w:t>。</w:t>
      </w:r>
    </w:p>
    <w:p>
      <w:pPr>
        <w:pStyle w:val="12"/>
        <w:adjustRightInd w:val="0"/>
        <w:snapToGrid w:val="0"/>
        <w:spacing w:line="360" w:lineRule="auto"/>
        <w:ind w:firstLine="420" w:firstLineChars="200"/>
        <w:rPr>
          <w:rFonts w:hint="eastAsia" w:asciiTheme="majorEastAsia" w:hAnsiTheme="majorEastAsia" w:eastAsiaTheme="majorEastAsia" w:cstheme="majorEastAsia"/>
          <w:color w:val="auto"/>
          <w:sz w:val="21"/>
        </w:rPr>
      </w:pP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附件1：</w:t>
      </w:r>
      <w:r>
        <w:rPr>
          <w:rFonts w:hint="eastAsia" w:asciiTheme="majorEastAsia" w:hAnsiTheme="majorEastAsia" w:eastAsiaTheme="majorEastAsia" w:cstheme="majorEastAsia"/>
          <w:color w:val="auto"/>
          <w:szCs w:val="21"/>
        </w:rPr>
        <w:t>法定代表人身份证明(法定代表人参加磋商)</w:t>
      </w:r>
    </w:p>
    <w:p>
      <w:pPr>
        <w:adjustRightInd w:val="0"/>
        <w:snapToGrid w:val="0"/>
        <w:spacing w:line="360" w:lineRule="auto"/>
        <w:ind w:right="2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bCs/>
          <w:color w:val="auto"/>
          <w:szCs w:val="21"/>
        </w:rPr>
        <w:t>附件2</w:t>
      </w:r>
      <w:r>
        <w:rPr>
          <w:rFonts w:hint="eastAsia" w:asciiTheme="majorEastAsia" w:hAnsiTheme="majorEastAsia" w:eastAsiaTheme="majorEastAsia" w:cstheme="majorEastAsia"/>
          <w:color w:val="auto"/>
          <w:szCs w:val="21"/>
        </w:rPr>
        <w:t>：法定代表人授权书(委托代理人参加磋商)</w:t>
      </w:r>
    </w:p>
    <w:p>
      <w:pPr>
        <w:pStyle w:val="12"/>
        <w:adjustRightInd w:val="0"/>
        <w:snapToGrid w:val="0"/>
        <w:spacing w:line="360" w:lineRule="auto"/>
        <w:rPr>
          <w:rFonts w:hint="eastAsia" w:asciiTheme="majorEastAsia" w:hAnsiTheme="majorEastAsia" w:eastAsiaTheme="majorEastAsia" w:cstheme="majorEastAsia"/>
          <w:color w:val="auto"/>
          <w:sz w:val="21"/>
        </w:rPr>
      </w:pPr>
    </w:p>
    <w:p>
      <w:pPr>
        <w:pStyle w:val="12"/>
        <w:adjustRightInd w:val="0"/>
        <w:snapToGrid w:val="0"/>
        <w:spacing w:line="360" w:lineRule="auto"/>
        <w:rPr>
          <w:rFonts w:hint="eastAsia" w:asciiTheme="majorEastAsia" w:hAnsiTheme="majorEastAsia" w:eastAsiaTheme="majorEastAsia" w:cstheme="majorEastAsia"/>
          <w:color w:val="auto"/>
          <w:sz w:val="21"/>
        </w:rPr>
      </w:pPr>
    </w:p>
    <w:p>
      <w:pPr>
        <w:pStyle w:val="12"/>
        <w:adjustRightInd w:val="0"/>
        <w:snapToGrid w:val="0"/>
        <w:spacing w:line="360" w:lineRule="auto"/>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rPr>
        <w:t>供应商名称(盖单位章)：</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法定代表人或其委托代理人 (签字)：</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w:t>
      </w:r>
    </w:p>
    <w:p>
      <w:pPr>
        <w:adjustRightInd w:val="0"/>
        <w:snapToGrid w:val="0"/>
        <w:spacing w:line="360" w:lineRule="auto"/>
        <w:ind w:right="24"/>
        <w:rPr>
          <w:rFonts w:hint="eastAsia" w:asciiTheme="majorEastAsia" w:hAnsiTheme="majorEastAsia" w:eastAsiaTheme="majorEastAsia" w:cstheme="majorEastAsia"/>
          <w:bCs/>
          <w:color w:val="auto"/>
          <w:szCs w:val="21"/>
        </w:rPr>
      </w:pPr>
    </w:p>
    <w:p>
      <w:pPr>
        <w:adjustRightInd w:val="0"/>
        <w:snapToGrid w:val="0"/>
        <w:spacing w:line="360" w:lineRule="auto"/>
        <w:ind w:right="24"/>
        <w:outlineLvl w:val="9"/>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附件1：</w:t>
      </w:r>
    </w:p>
    <w:p>
      <w:pPr>
        <w:adjustRightInd w:val="0"/>
        <w:snapToGrid w:val="0"/>
        <w:spacing w:line="360" w:lineRule="auto"/>
        <w:ind w:right="24"/>
        <w:jc w:val="center"/>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法定代表人身份证明(法定代表人参加磋商)</w:t>
      </w:r>
    </w:p>
    <w:p>
      <w:pPr>
        <w:snapToGrid w:val="0"/>
        <w:spacing w:line="480" w:lineRule="auto"/>
        <w:rPr>
          <w:rFonts w:hint="eastAsia" w:asciiTheme="majorEastAsia" w:hAnsiTheme="majorEastAsia" w:eastAsiaTheme="majorEastAsia" w:cstheme="majorEastAsia"/>
          <w:color w:val="auto"/>
          <w:szCs w:val="21"/>
        </w:rPr>
      </w:pP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rPr>
        <w:t>供应商</w:t>
      </w:r>
      <w:r>
        <w:rPr>
          <w:rFonts w:hint="eastAsia" w:asciiTheme="majorEastAsia" w:hAnsiTheme="majorEastAsia" w:eastAsiaTheme="majorEastAsia" w:cstheme="majorEastAsia"/>
          <w:color w:val="auto"/>
          <w:kern w:val="0"/>
          <w:szCs w:val="21"/>
        </w:rPr>
        <w:t>名称：</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注册号：</w:t>
      </w:r>
      <w:r>
        <w:rPr>
          <w:rFonts w:hint="eastAsia" w:asciiTheme="majorEastAsia" w:hAnsiTheme="majorEastAsia" w:eastAsiaTheme="majorEastAsia" w:cstheme="majorEastAsia"/>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注册地址：</w:t>
      </w:r>
      <w:r>
        <w:rPr>
          <w:rFonts w:hint="eastAsia" w:asciiTheme="majorEastAsia" w:hAnsiTheme="majorEastAsia" w:eastAsiaTheme="majorEastAsia" w:cstheme="majorEastAsia"/>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成立时间： </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年 </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月</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日</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u w:val="single"/>
        </w:rPr>
      </w:pPr>
      <w:r>
        <w:rPr>
          <w:rFonts w:hint="eastAsia" w:asciiTheme="majorEastAsia" w:hAnsiTheme="majorEastAsia" w:eastAsiaTheme="majorEastAsia" w:cstheme="majorEastAsia"/>
          <w:color w:val="auto"/>
          <w:kern w:val="0"/>
          <w:szCs w:val="21"/>
        </w:rPr>
        <w:t>经营期限：</w:t>
      </w:r>
      <w:r>
        <w:rPr>
          <w:rFonts w:hint="eastAsia" w:asciiTheme="majorEastAsia" w:hAnsiTheme="majorEastAsia" w:eastAsiaTheme="majorEastAsia" w:cstheme="majorEastAsia"/>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u w:val="single"/>
        </w:rPr>
      </w:pPr>
      <w:r>
        <w:rPr>
          <w:rFonts w:hint="eastAsia" w:asciiTheme="majorEastAsia" w:hAnsiTheme="majorEastAsia" w:eastAsiaTheme="majorEastAsia" w:cstheme="majorEastAsia"/>
          <w:color w:val="auto"/>
          <w:kern w:val="0"/>
          <w:szCs w:val="21"/>
        </w:rPr>
        <w:t>经营范围：主营：</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；兼营：</w:t>
      </w:r>
      <w:r>
        <w:rPr>
          <w:rFonts w:hint="eastAsia" w:asciiTheme="majorEastAsia" w:hAnsiTheme="majorEastAsia" w:eastAsiaTheme="majorEastAsia" w:cstheme="majorEastAsia"/>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姓名：</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性别：</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年龄：</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系</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w:t>
      </w:r>
      <w:r>
        <w:rPr>
          <w:rFonts w:hint="eastAsia" w:asciiTheme="majorEastAsia" w:hAnsiTheme="majorEastAsia" w:eastAsiaTheme="majorEastAsia" w:cstheme="majorEastAsia"/>
          <w:color w:val="auto"/>
          <w:szCs w:val="21"/>
        </w:rPr>
        <w:t>供应商</w:t>
      </w:r>
      <w:r>
        <w:rPr>
          <w:rFonts w:hint="eastAsia" w:asciiTheme="majorEastAsia" w:hAnsiTheme="majorEastAsia" w:eastAsiaTheme="majorEastAsia" w:cstheme="majorEastAsia"/>
          <w:color w:val="auto"/>
          <w:kern w:val="0"/>
          <w:szCs w:val="21"/>
        </w:rPr>
        <w:t>名称）的法定代表人。</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特此证明。</w:t>
      </w:r>
    </w:p>
    <w:p>
      <w:pPr>
        <w:autoSpaceDE w:val="0"/>
        <w:autoSpaceDN w:val="0"/>
        <w:adjustRightInd w:val="0"/>
        <w:snapToGrid w:val="0"/>
        <w:spacing w:before="156" w:beforeLines="50" w:line="360" w:lineRule="auto"/>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szCs w:val="21"/>
        </w:rPr>
        <w:t>附：法定代表人身份证复印件</w:t>
      </w:r>
    </w:p>
    <w:p>
      <w:pPr>
        <w:snapToGrid w:val="0"/>
        <w:spacing w:line="480" w:lineRule="auto"/>
        <w:rPr>
          <w:rFonts w:hint="eastAsia" w:asciiTheme="majorEastAsia" w:hAnsiTheme="majorEastAsia" w:eastAsiaTheme="majorEastAsia" w:cstheme="majorEastAsia"/>
          <w:color w:val="auto"/>
          <w:szCs w:val="21"/>
        </w:rPr>
      </w:pPr>
    </w:p>
    <w:p>
      <w:pPr>
        <w:snapToGrid w:val="0"/>
        <w:rPr>
          <w:rFonts w:hint="eastAsia" w:asciiTheme="majorEastAsia" w:hAnsiTheme="majorEastAsia" w:eastAsiaTheme="majorEastAsia" w:cstheme="majorEastAsia"/>
          <w:color w:val="auto"/>
          <w:szCs w:val="21"/>
        </w:rPr>
      </w:pPr>
    </w:p>
    <w:p>
      <w:pPr>
        <w:snapToGrid w:val="0"/>
        <w:rPr>
          <w:rFonts w:hint="eastAsia" w:asciiTheme="majorEastAsia" w:hAnsiTheme="majorEastAsia" w:eastAsiaTheme="majorEastAsia" w:cstheme="majorEastAsia"/>
          <w:color w:val="auto"/>
          <w:szCs w:val="21"/>
        </w:rPr>
      </w:pPr>
    </w:p>
    <w:p>
      <w:pPr>
        <w:snapToGrid w:val="0"/>
        <w:rPr>
          <w:rFonts w:hint="eastAsia" w:asciiTheme="majorEastAsia" w:hAnsiTheme="majorEastAsia" w:eastAsiaTheme="majorEastAsia" w:cstheme="majorEastAsia"/>
          <w:color w:val="auto"/>
          <w:szCs w:val="21"/>
        </w:rPr>
      </w:pPr>
    </w:p>
    <w:p>
      <w:pPr>
        <w:snapToGrid w:val="0"/>
        <w:rPr>
          <w:rFonts w:hint="eastAsia" w:asciiTheme="majorEastAsia" w:hAnsiTheme="majorEastAsia" w:eastAsiaTheme="majorEastAsia" w:cstheme="majorEastAsia"/>
          <w:color w:val="auto"/>
          <w:szCs w:val="21"/>
        </w:rPr>
      </w:pPr>
    </w:p>
    <w:p>
      <w:pPr>
        <w:adjustRightInd w:val="0"/>
        <w:snapToGrid w:val="0"/>
        <w:spacing w:line="360" w:lineRule="auto"/>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供应商名称（盖单位章）：</w:t>
      </w:r>
    </w:p>
    <w:p>
      <w:pPr>
        <w:adjustRightInd w:val="0"/>
        <w:snapToGrid w:val="0"/>
        <w:spacing w:line="360" w:lineRule="auto"/>
        <w:ind w:right="42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 xml:space="preserve">日      </w:t>
      </w:r>
    </w:p>
    <w:p>
      <w:pPr>
        <w:adjustRightInd w:val="0"/>
        <w:snapToGrid w:val="0"/>
        <w:spacing w:before="156" w:beforeLines="50" w:line="360" w:lineRule="auto"/>
        <w:rPr>
          <w:rFonts w:hint="eastAsia" w:asciiTheme="majorEastAsia" w:hAnsiTheme="majorEastAsia" w:eastAsiaTheme="majorEastAsia" w:cstheme="majorEastAsia"/>
          <w:color w:val="auto"/>
          <w:szCs w:val="21"/>
        </w:rPr>
      </w:pPr>
    </w:p>
    <w:p>
      <w:pPr>
        <w:adjustRightInd w:val="0"/>
        <w:snapToGrid w:val="0"/>
        <w:spacing w:before="156" w:beforeLines="50" w:line="360" w:lineRule="auto"/>
        <w:rPr>
          <w:rFonts w:hint="eastAsia" w:asciiTheme="majorEastAsia" w:hAnsiTheme="majorEastAsia" w:eastAsiaTheme="majorEastAsia" w:cstheme="majorEastAsia"/>
          <w:color w:val="auto"/>
          <w:szCs w:val="21"/>
        </w:rPr>
      </w:pPr>
    </w:p>
    <w:p>
      <w:pPr>
        <w:adjustRightInd w:val="0"/>
        <w:snapToGrid w:val="0"/>
        <w:spacing w:before="156" w:beforeLines="50" w:line="360" w:lineRule="auto"/>
        <w:rPr>
          <w:rFonts w:hint="eastAsia" w:asciiTheme="majorEastAsia" w:hAnsiTheme="majorEastAsia" w:eastAsiaTheme="majorEastAsia" w:cstheme="majorEastAsia"/>
          <w:color w:val="auto"/>
          <w:szCs w:val="21"/>
        </w:rPr>
      </w:pPr>
    </w:p>
    <w:p>
      <w:pPr>
        <w:pStyle w:val="2"/>
        <w:rPr>
          <w:rFonts w:hint="eastAsia" w:asciiTheme="majorEastAsia" w:hAnsiTheme="majorEastAsia" w:eastAsiaTheme="majorEastAsia" w:cstheme="majorEastAsia"/>
          <w:color w:val="auto"/>
          <w:szCs w:val="21"/>
        </w:rPr>
      </w:pPr>
    </w:p>
    <w:p>
      <w:pPr>
        <w:pStyle w:val="2"/>
        <w:rPr>
          <w:rFonts w:hint="eastAsia" w:asciiTheme="majorEastAsia" w:hAnsiTheme="majorEastAsia" w:eastAsiaTheme="majorEastAsia" w:cstheme="majorEastAsia"/>
          <w:color w:val="auto"/>
          <w:szCs w:val="21"/>
        </w:rPr>
      </w:pPr>
    </w:p>
    <w:p>
      <w:pPr>
        <w:pStyle w:val="2"/>
        <w:rPr>
          <w:rFonts w:hint="eastAsia" w:asciiTheme="majorEastAsia" w:hAnsiTheme="majorEastAsia" w:eastAsiaTheme="majorEastAsia" w:cstheme="majorEastAsia"/>
          <w:color w:val="auto"/>
          <w:szCs w:val="21"/>
        </w:rPr>
      </w:pPr>
    </w:p>
    <w:p>
      <w:pPr>
        <w:pStyle w:val="2"/>
        <w:rPr>
          <w:rFonts w:hint="eastAsia" w:asciiTheme="majorEastAsia" w:hAnsiTheme="majorEastAsia" w:eastAsiaTheme="majorEastAsia" w:cstheme="majorEastAsia"/>
          <w:color w:val="auto"/>
          <w:szCs w:val="21"/>
        </w:rPr>
      </w:pPr>
    </w:p>
    <w:p>
      <w:pPr>
        <w:adjustRightInd w:val="0"/>
        <w:snapToGrid w:val="0"/>
        <w:spacing w:line="360" w:lineRule="auto"/>
        <w:ind w:right="24"/>
        <w:rPr>
          <w:rFonts w:hint="eastAsia" w:asciiTheme="majorEastAsia" w:hAnsiTheme="majorEastAsia" w:eastAsiaTheme="majorEastAsia" w:cstheme="majorEastAsia"/>
          <w:bCs/>
          <w:color w:val="auto"/>
          <w:sz w:val="24"/>
        </w:rPr>
      </w:pPr>
    </w:p>
    <w:p>
      <w:pPr>
        <w:adjustRightInd w:val="0"/>
        <w:snapToGrid w:val="0"/>
        <w:spacing w:line="360" w:lineRule="auto"/>
        <w:ind w:right="24"/>
        <w:rPr>
          <w:rFonts w:hint="eastAsia" w:asciiTheme="majorEastAsia" w:hAnsiTheme="majorEastAsia" w:eastAsiaTheme="majorEastAsia" w:cstheme="majorEastAsia"/>
          <w:bCs/>
          <w:color w:val="auto"/>
          <w:sz w:val="24"/>
        </w:rPr>
      </w:pPr>
    </w:p>
    <w:p>
      <w:pPr>
        <w:adjustRightInd w:val="0"/>
        <w:snapToGrid w:val="0"/>
        <w:spacing w:line="360" w:lineRule="auto"/>
        <w:ind w:right="24"/>
        <w:outlineLvl w:val="9"/>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bCs/>
          <w:color w:val="auto"/>
          <w:sz w:val="24"/>
        </w:rPr>
        <w:t>附件2</w:t>
      </w:r>
      <w:r>
        <w:rPr>
          <w:rFonts w:hint="eastAsia" w:asciiTheme="majorEastAsia" w:hAnsiTheme="majorEastAsia" w:eastAsiaTheme="majorEastAsia" w:cstheme="majorEastAsia"/>
          <w:color w:val="auto"/>
          <w:sz w:val="24"/>
        </w:rPr>
        <w:t>：</w:t>
      </w:r>
    </w:p>
    <w:p>
      <w:pPr>
        <w:adjustRightInd w:val="0"/>
        <w:snapToGrid w:val="0"/>
        <w:spacing w:line="360" w:lineRule="auto"/>
        <w:ind w:right="24"/>
        <w:jc w:val="center"/>
        <w:rPr>
          <w:rFonts w:hint="eastAsia" w:asciiTheme="majorEastAsia" w:hAnsiTheme="majorEastAsia" w:eastAsiaTheme="majorEastAsia" w:cstheme="majorEastAsia"/>
          <w:b/>
          <w:color w:val="auto"/>
          <w:sz w:val="28"/>
          <w:szCs w:val="28"/>
        </w:rPr>
      </w:pPr>
      <w:r>
        <w:rPr>
          <w:rFonts w:hint="eastAsia" w:asciiTheme="majorEastAsia" w:hAnsiTheme="majorEastAsia" w:eastAsiaTheme="majorEastAsia" w:cstheme="majorEastAsia"/>
          <w:b/>
          <w:color w:val="auto"/>
          <w:sz w:val="28"/>
          <w:szCs w:val="28"/>
        </w:rPr>
        <w:t>法定代表人授权书(委托代理人参加磋商)</w:t>
      </w:r>
    </w:p>
    <w:p>
      <w:pPr>
        <w:adjustRightInd w:val="0"/>
        <w:snapToGrid w:val="0"/>
        <w:spacing w:line="360" w:lineRule="auto"/>
        <w:jc w:val="center"/>
        <w:rPr>
          <w:rFonts w:hint="eastAsia" w:asciiTheme="majorEastAsia" w:hAnsiTheme="majorEastAsia" w:eastAsiaTheme="majorEastAsia" w:cstheme="majorEastAsia"/>
          <w:b/>
          <w:color w:val="auto"/>
          <w:sz w:val="28"/>
          <w:szCs w:val="28"/>
        </w:rPr>
      </w:pP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本人</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（姓名、职务）系</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w:t>
      </w:r>
      <w:r>
        <w:rPr>
          <w:rFonts w:hint="eastAsia" w:asciiTheme="majorEastAsia" w:hAnsiTheme="majorEastAsia" w:eastAsiaTheme="majorEastAsia" w:cstheme="majorEastAsia"/>
          <w:color w:val="auto"/>
          <w:szCs w:val="21"/>
        </w:rPr>
        <w:t>供应商</w:t>
      </w:r>
      <w:r>
        <w:rPr>
          <w:rFonts w:hint="eastAsia" w:asciiTheme="majorEastAsia" w:hAnsiTheme="majorEastAsia" w:eastAsiaTheme="majorEastAsia" w:cstheme="majorEastAsia"/>
          <w:color w:val="auto"/>
          <w:kern w:val="0"/>
          <w:szCs w:val="21"/>
        </w:rPr>
        <w:t>名称）的法定代表人，现授权</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（姓名、职务）为我方代理人。代理人根据授权，以我方名义：(1)签署、澄清、补正、修改、撤回、提交</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（项目名称、</w:t>
      </w:r>
      <w:r>
        <w:rPr>
          <w:rFonts w:hint="eastAsia" w:asciiTheme="majorEastAsia" w:hAnsiTheme="majorEastAsia" w:eastAsiaTheme="majorEastAsia" w:cstheme="majorEastAsia"/>
          <w:color w:val="auto"/>
          <w:szCs w:val="21"/>
        </w:rPr>
        <w:t>政府</w:t>
      </w:r>
      <w:r>
        <w:rPr>
          <w:rFonts w:hint="eastAsia" w:asciiTheme="majorEastAsia" w:hAnsiTheme="majorEastAsia" w:eastAsiaTheme="majorEastAsia" w:cstheme="majorEastAsia"/>
          <w:color w:val="auto"/>
          <w:kern w:val="0"/>
          <w:szCs w:val="21"/>
        </w:rPr>
        <w:t>采购编号、采购代理机构编号）响应文件；(2)签署并重新提交响应文件及最后报价；(3)退出磋商；(4)签订合同和处理有关事宜，其法律后果由我方承担。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委托期限：</w:t>
      </w:r>
      <w:r>
        <w:rPr>
          <w:rFonts w:hint="eastAsia" w:asciiTheme="majorEastAsia" w:hAnsiTheme="majorEastAsia" w:eastAsiaTheme="majorEastAsia" w:cstheme="majorEastAsia"/>
          <w:color w:val="auto"/>
          <w:kern w:val="0"/>
          <w:szCs w:val="21"/>
          <w:u w:val="single"/>
        </w:rPr>
        <w:t xml:space="preserve">                                     </w:t>
      </w:r>
      <w:r>
        <w:rPr>
          <w:rFonts w:hint="eastAsia" w:asciiTheme="majorEastAsia" w:hAnsiTheme="majorEastAsia" w:eastAsiaTheme="majorEastAsia" w:cstheme="majorEastAsia"/>
          <w:color w:val="auto"/>
          <w:kern w:val="0"/>
          <w:szCs w:val="21"/>
        </w:rPr>
        <w:t xml:space="preserve"> 。</w:t>
      </w:r>
    </w:p>
    <w:p>
      <w:pPr>
        <w:spacing w:line="360" w:lineRule="auto"/>
        <w:ind w:firstLine="435"/>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代理人无转委托权。</w:t>
      </w:r>
    </w:p>
    <w:p>
      <w:pPr>
        <w:spacing w:line="360" w:lineRule="auto"/>
        <w:ind w:firstLine="435"/>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本授权书于</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日签字生效，特此声明。</w:t>
      </w:r>
    </w:p>
    <w:p>
      <w:pPr>
        <w:adjustRightInd w:val="0"/>
        <w:snapToGrid w:val="0"/>
        <w:spacing w:before="156" w:beforeLines="50" w:line="360" w:lineRule="auto"/>
        <w:ind w:firstLine="420" w:firstLineChars="20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附：</w:t>
      </w:r>
      <w:r>
        <w:rPr>
          <w:rFonts w:hint="eastAsia" w:asciiTheme="majorEastAsia" w:hAnsiTheme="majorEastAsia" w:eastAsiaTheme="majorEastAsia" w:cstheme="majorEastAsia"/>
          <w:color w:val="auto"/>
          <w:szCs w:val="21"/>
          <w:lang w:eastAsia="zh-CN"/>
        </w:rPr>
        <w:t>受托</w:t>
      </w:r>
      <w:r>
        <w:rPr>
          <w:rFonts w:hint="eastAsia" w:asciiTheme="majorEastAsia" w:hAnsiTheme="majorEastAsia" w:eastAsiaTheme="majorEastAsia" w:cstheme="majorEastAsia"/>
          <w:color w:val="auto"/>
          <w:szCs w:val="21"/>
        </w:rPr>
        <w:t>人身份证复印件及法定代表人身份证明(附件1，原件)</w:t>
      </w: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p>
    <w:p>
      <w:pPr>
        <w:adjustRightInd w:val="0"/>
        <w:snapToGrid w:val="0"/>
        <w:spacing w:line="360" w:lineRule="auto"/>
        <w:ind w:right="42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法定代表人（签字）：</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right="420"/>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eastAsia="zh-CN"/>
        </w:rPr>
        <w:t>受托</w:t>
      </w:r>
      <w:r>
        <w:rPr>
          <w:rFonts w:hint="eastAsia" w:asciiTheme="majorEastAsia" w:hAnsiTheme="majorEastAsia" w:eastAsiaTheme="majorEastAsia" w:cstheme="majorEastAsia"/>
          <w:color w:val="auto"/>
          <w:szCs w:val="21"/>
        </w:rPr>
        <w:t>人（签字）：</w:t>
      </w:r>
      <w:r>
        <w:rPr>
          <w:rFonts w:hint="eastAsia" w:asciiTheme="majorEastAsia" w:hAnsiTheme="majorEastAsia" w:eastAsiaTheme="majorEastAsia" w:cstheme="majorEastAsia"/>
          <w:color w:val="auto"/>
          <w:szCs w:val="21"/>
          <w:u w:val="single"/>
        </w:rPr>
        <w:t xml:space="preserve">                     </w:t>
      </w:r>
    </w:p>
    <w:p>
      <w:pPr>
        <w:adjustRightInd w:val="0"/>
        <w:snapToGrid w:val="0"/>
        <w:spacing w:line="360" w:lineRule="auto"/>
        <w:ind w:right="24"/>
        <w:rPr>
          <w:rFonts w:hint="eastAsia"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rPr>
        <w:t>日期：</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年</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月</w:t>
      </w:r>
      <w:r>
        <w:rPr>
          <w:rFonts w:hint="eastAsia" w:asciiTheme="majorEastAsia" w:hAnsiTheme="majorEastAsia" w:eastAsiaTheme="majorEastAsia" w:cstheme="majorEastAsia"/>
          <w:color w:val="auto"/>
          <w:szCs w:val="21"/>
          <w:u w:val="single"/>
        </w:rPr>
        <w:t xml:space="preserve">       </w:t>
      </w:r>
      <w:r>
        <w:rPr>
          <w:rFonts w:hint="eastAsia" w:asciiTheme="majorEastAsia" w:hAnsiTheme="majorEastAsia" w:eastAsiaTheme="majorEastAsia" w:cstheme="majorEastAsia"/>
          <w:color w:val="auto"/>
          <w:szCs w:val="21"/>
        </w:rPr>
        <w:t>日</w:t>
      </w:r>
    </w:p>
    <w:p>
      <w:pPr>
        <w:spacing w:line="360" w:lineRule="exact"/>
        <w:rPr>
          <w:rFonts w:hint="eastAsia" w:asciiTheme="majorEastAsia" w:hAnsiTheme="majorEastAsia" w:eastAsiaTheme="majorEastAsia" w:cstheme="majorEastAsia"/>
          <w:b/>
          <w:color w:val="auto"/>
          <w:szCs w:val="21"/>
        </w:rPr>
      </w:pPr>
    </w:p>
    <w:p>
      <w:pPr>
        <w:spacing w:line="360" w:lineRule="exact"/>
        <w:rPr>
          <w:rFonts w:hint="eastAsia" w:asciiTheme="majorEastAsia" w:hAnsiTheme="majorEastAsia" w:eastAsiaTheme="majorEastAsia" w:cstheme="majorEastAsia"/>
          <w:b/>
          <w:color w:val="auto"/>
          <w:sz w:val="20"/>
          <w:szCs w:val="20"/>
        </w:rPr>
      </w:pPr>
    </w:p>
    <w:p>
      <w:pPr>
        <w:spacing w:line="360" w:lineRule="exact"/>
        <w:rPr>
          <w:rFonts w:hint="eastAsia" w:asciiTheme="majorEastAsia" w:hAnsiTheme="majorEastAsia" w:eastAsiaTheme="majorEastAsia" w:cstheme="majorEastAsia"/>
          <w:b/>
          <w:color w:val="auto"/>
        </w:rPr>
      </w:pPr>
    </w:p>
    <w:p>
      <w:pPr>
        <w:spacing w:line="360" w:lineRule="exact"/>
        <w:rPr>
          <w:rFonts w:hint="eastAsia" w:asciiTheme="majorEastAsia" w:hAnsiTheme="majorEastAsia" w:eastAsiaTheme="majorEastAsia" w:cstheme="majorEastAsia"/>
          <w:color w:val="auto"/>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2"/>
        <w:adjustRightInd w:val="0"/>
        <w:snapToGrid w:val="0"/>
        <w:spacing w:line="360" w:lineRule="auto"/>
        <w:jc w:val="center"/>
        <w:outlineLvl w:val="2"/>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b/>
          <w:bCs/>
          <w:color w:val="auto"/>
          <w:kern w:val="2"/>
          <w:sz w:val="32"/>
          <w:szCs w:val="32"/>
        </w:rPr>
        <w:t>二、</w:t>
      </w:r>
      <w:r>
        <w:rPr>
          <w:rFonts w:hint="eastAsia" w:asciiTheme="majorEastAsia" w:hAnsiTheme="majorEastAsia" w:eastAsiaTheme="majorEastAsia" w:cstheme="majorEastAsia"/>
          <w:b/>
          <w:bCs/>
          <w:color w:val="auto"/>
          <w:kern w:val="2"/>
          <w:sz w:val="32"/>
          <w:szCs w:val="32"/>
          <w:lang w:eastAsia="zh-CN"/>
        </w:rPr>
        <w:t>投标</w:t>
      </w:r>
      <w:r>
        <w:rPr>
          <w:rFonts w:hint="eastAsia" w:asciiTheme="majorEastAsia" w:hAnsiTheme="majorEastAsia" w:eastAsiaTheme="majorEastAsia" w:cstheme="majorEastAsia"/>
          <w:b/>
          <w:bCs/>
          <w:color w:val="auto"/>
          <w:kern w:val="2"/>
          <w:sz w:val="32"/>
          <w:szCs w:val="32"/>
        </w:rPr>
        <w:t>保证金</w:t>
      </w:r>
    </w:p>
    <w:p>
      <w:pPr>
        <w:pStyle w:val="2"/>
        <w:ind w:left="0" w:leftChars="0" w:firstLine="0" w:firstLineChars="0"/>
        <w:rPr>
          <w:rFonts w:hint="eastAsia" w:asciiTheme="majorEastAsia" w:hAnsiTheme="majorEastAsia" w:eastAsiaTheme="majorEastAsia" w:cstheme="majorEastAsia"/>
          <w:color w:val="auto"/>
        </w:rPr>
      </w:pPr>
    </w:p>
    <w:p>
      <w:pPr>
        <w:pStyle w:val="2"/>
        <w:ind w:left="0" w:leftChars="0" w:firstLine="0" w:firstLineChars="0"/>
        <w:rPr>
          <w:rFonts w:hint="eastAsia" w:asciiTheme="majorEastAsia" w:hAnsiTheme="majorEastAsia" w:eastAsiaTheme="majorEastAsia" w:cstheme="majorEastAsia"/>
          <w:color w:val="auto"/>
        </w:rPr>
      </w:pPr>
    </w:p>
    <w:p>
      <w:pPr>
        <w:shd w:val="clear" w:color="auto" w:fill="auto"/>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w:t>
      </w:r>
      <w:r>
        <w:rPr>
          <w:rFonts w:hint="eastAsia" w:ascii="宋体" w:hAnsi="宋体" w:eastAsia="宋体" w:cs="宋体"/>
          <w:b/>
          <w:bCs/>
          <w:color w:val="auto"/>
          <w:highlight w:val="none"/>
        </w:rPr>
        <w:t>提供付款凭证</w:t>
      </w:r>
      <w:r>
        <w:rPr>
          <w:rFonts w:hint="eastAsia" w:ascii="宋体" w:hAnsi="宋体" w:eastAsia="宋体" w:cs="宋体"/>
          <w:b/>
          <w:bCs/>
          <w:color w:val="auto"/>
          <w:highlight w:val="none"/>
          <w:lang w:eastAsia="zh-CN"/>
        </w:rPr>
        <w:t>扫描件或</w:t>
      </w:r>
      <w:r>
        <w:rPr>
          <w:rFonts w:hint="eastAsia" w:ascii="宋体" w:hAnsi="宋体" w:eastAsia="宋体" w:cs="宋体"/>
          <w:b/>
          <w:bCs/>
          <w:color w:val="auto"/>
          <w:highlight w:val="none"/>
        </w:rPr>
        <w:t>复印件</w:t>
      </w:r>
    </w:p>
    <w:p>
      <w:pPr>
        <w:adjustRightInd w:val="0"/>
        <w:snapToGrid w:val="0"/>
        <w:spacing w:line="360" w:lineRule="auto"/>
        <w:ind w:firstLine="2570" w:firstLineChars="800"/>
        <w:jc w:val="both"/>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rPr>
          <w:rFonts w:hint="eastAsia" w:asciiTheme="majorEastAsia" w:hAnsiTheme="majorEastAsia" w:eastAsiaTheme="majorEastAsia" w:cstheme="majorEastAsia"/>
          <w:b/>
          <w:color w:val="auto"/>
          <w:sz w:val="32"/>
          <w:szCs w:val="32"/>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pStyle w:val="35"/>
        <w:rPr>
          <w:rFonts w:hint="eastAsia"/>
          <w:color w:val="auto"/>
        </w:rPr>
      </w:pPr>
    </w:p>
    <w:p>
      <w:pPr>
        <w:adjustRightInd w:val="0"/>
        <w:snapToGrid w:val="0"/>
        <w:spacing w:line="360" w:lineRule="auto"/>
        <w:jc w:val="both"/>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outlineLvl w:val="9"/>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outlineLvl w:val="9"/>
        <w:rPr>
          <w:rFonts w:hint="eastAsia" w:asciiTheme="majorEastAsia" w:hAnsiTheme="majorEastAsia" w:eastAsiaTheme="majorEastAsia" w:cstheme="majorEastAsia"/>
          <w:b/>
          <w:color w:val="auto"/>
          <w:sz w:val="32"/>
          <w:szCs w:val="32"/>
        </w:rPr>
      </w:pPr>
    </w:p>
    <w:p>
      <w:pPr>
        <w:adjustRightInd w:val="0"/>
        <w:snapToGrid w:val="0"/>
        <w:spacing w:line="360" w:lineRule="auto"/>
        <w:ind w:firstLine="2570" w:firstLineChars="800"/>
        <w:jc w:val="both"/>
        <w:outlineLvl w:val="2"/>
        <w:rPr>
          <w:rFonts w:hint="eastAsia" w:asciiTheme="majorEastAsia" w:hAnsiTheme="majorEastAsia" w:eastAsiaTheme="majorEastAsia" w:cstheme="majorEastAsia"/>
          <w:b/>
          <w:bCs/>
          <w:color w:val="auto"/>
          <w:sz w:val="32"/>
          <w:szCs w:val="32"/>
        </w:rPr>
      </w:pPr>
      <w:r>
        <w:rPr>
          <w:rFonts w:hint="eastAsia" w:asciiTheme="majorEastAsia" w:hAnsiTheme="majorEastAsia" w:eastAsiaTheme="majorEastAsia" w:cstheme="majorEastAsia"/>
          <w:b/>
          <w:color w:val="auto"/>
          <w:sz w:val="32"/>
          <w:szCs w:val="32"/>
        </w:rPr>
        <w:t>三、供应商</w:t>
      </w:r>
      <w:r>
        <w:rPr>
          <w:rFonts w:hint="eastAsia" w:asciiTheme="majorEastAsia" w:hAnsiTheme="majorEastAsia" w:eastAsiaTheme="majorEastAsia" w:cstheme="majorEastAsia"/>
          <w:b/>
          <w:bCs/>
          <w:color w:val="auto"/>
          <w:sz w:val="32"/>
          <w:szCs w:val="32"/>
        </w:rPr>
        <w:t>的资格证明材料</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1、供应商应按第二章要求提供下列证明材料</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-1 法人或者其他组织的营业执照等主体资格证明文件，自然人的身份证明</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-2 供应商资格声明(格式)</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-3 符合特定资格条件证明材料复印件或者情况说明</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-4 联合体协议书（格式）（联合体形式的提供）</w:t>
      </w:r>
    </w:p>
    <w:p>
      <w:pPr>
        <w:spacing w:line="480" w:lineRule="exact"/>
        <w:ind w:firstLine="420" w:firstLineChars="20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kern w:val="0"/>
          <w:szCs w:val="21"/>
        </w:rPr>
        <w:t>2、供应商以联合体形式参加磋商的，除应提交联合协议书外，参加联合体的各方均应提交上款资格证明材料。</w:t>
      </w:r>
    </w:p>
    <w:p>
      <w:pPr>
        <w:spacing w:line="480" w:lineRule="exact"/>
        <w:rPr>
          <w:rFonts w:hint="eastAsia" w:asciiTheme="majorEastAsia" w:hAnsiTheme="majorEastAsia" w:eastAsiaTheme="majorEastAsia" w:cstheme="majorEastAsia"/>
          <w:color w:val="auto"/>
          <w:sz w:val="24"/>
        </w:rPr>
      </w:pPr>
    </w:p>
    <w:p>
      <w:pPr>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br w:type="page"/>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rPr>
        <w:t xml:space="preserve">附件 </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rPr>
        <w:t>-1 法人或者其他组织的营业执照等主体资格证明文件，自然人的身份证明</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lang w:val="en-US" w:eastAsia="zh-CN"/>
        </w:rPr>
        <w:t>1</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供应商为法人的，应提交营业执照或法人登记证书的复印件；</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lang w:val="en-US" w:eastAsia="zh-CN"/>
        </w:rPr>
        <w:t>2</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供应商为非法人组织的，应提交依法登记证书复印件；</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lang w:val="en-US" w:eastAsia="zh-CN"/>
        </w:rPr>
        <w:t>3</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供应商人为个体工商户的，应提交个体工商户营业执照复印件；</w:t>
      </w:r>
    </w:p>
    <w:p>
      <w:pPr>
        <w:autoSpaceDE w:val="0"/>
        <w:autoSpaceDN w:val="0"/>
        <w:adjustRightInd w:val="0"/>
        <w:snapToGrid w:val="0"/>
        <w:spacing w:before="156" w:beforeLines="50" w:line="360" w:lineRule="auto"/>
        <w:ind w:firstLine="420" w:firstLineChars="200"/>
        <w:jc w:val="left"/>
        <w:rPr>
          <w:rFonts w:hint="eastAsia" w:asciiTheme="majorEastAsia" w:hAnsiTheme="majorEastAsia" w:eastAsiaTheme="majorEastAsia" w:cstheme="majorEastAsia"/>
          <w:color w:val="auto"/>
          <w:kern w:val="0"/>
          <w:szCs w:val="21"/>
        </w:rPr>
      </w:pP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lang w:val="en-US" w:eastAsia="zh-CN"/>
        </w:rPr>
        <w:t>4</w:t>
      </w:r>
      <w:r>
        <w:rPr>
          <w:rFonts w:hint="eastAsia" w:asciiTheme="majorEastAsia" w:hAnsiTheme="majorEastAsia" w:eastAsiaTheme="majorEastAsia" w:cstheme="majorEastAsia"/>
          <w:color w:val="auto"/>
          <w:kern w:val="0"/>
          <w:szCs w:val="21"/>
          <w:lang w:eastAsia="zh-CN"/>
        </w:rPr>
        <w:t>）</w:t>
      </w:r>
      <w:r>
        <w:rPr>
          <w:rFonts w:hint="eastAsia" w:asciiTheme="majorEastAsia" w:hAnsiTheme="majorEastAsia" w:eastAsiaTheme="majorEastAsia" w:cstheme="majorEastAsia"/>
          <w:color w:val="auto"/>
          <w:kern w:val="0"/>
          <w:szCs w:val="21"/>
        </w:rPr>
        <w:t>供应商为自然人的，应提交自然人的身份证明复印件。</w:t>
      </w:r>
    </w:p>
    <w:p>
      <w:pPr>
        <w:spacing w:after="0" w:line="240" w:lineRule="auto"/>
        <w:jc w:val="left"/>
        <w:rPr>
          <w:color w:val="auto"/>
          <w:sz w:val="21"/>
        </w:rPr>
        <w:sectPr>
          <w:pgSz w:w="11910" w:h="16840"/>
          <w:pgMar w:top="1160" w:right="860" w:bottom="1260" w:left="880" w:header="878" w:footer="1070" w:gutter="0"/>
          <w:pgNumType w:fmt="decimal"/>
          <w:cols w:space="720" w:num="1"/>
        </w:sectPr>
      </w:pPr>
    </w:p>
    <w:p>
      <w:pPr>
        <w:pStyle w:val="2"/>
        <w:rPr>
          <w:rFonts w:hint="eastAsia" w:asciiTheme="majorEastAsia" w:hAnsiTheme="majorEastAsia" w:eastAsiaTheme="majorEastAsia" w:cstheme="majorEastAsia"/>
          <w:color w:val="auto"/>
          <w:sz w:val="21"/>
          <w:szCs w:val="21"/>
        </w:rPr>
      </w:pPr>
    </w:p>
    <w:p>
      <w:pPr>
        <w:adjustRightInd w:val="0"/>
        <w:snapToGrid w:val="0"/>
        <w:spacing w:before="156" w:beforeLines="50" w:after="0" w:line="360" w:lineRule="auto"/>
        <w:outlineLvl w:val="9"/>
        <w:rPr>
          <w:rFonts w:ascii="黑体" w:hAnsi="仿宋" w:cs="宋体"/>
          <w:b w:val="0"/>
          <w:color w:val="auto"/>
          <w:sz w:val="21"/>
          <w:szCs w:val="21"/>
        </w:rPr>
      </w:pPr>
      <w:r>
        <w:rPr>
          <w:rFonts w:hint="eastAsia" w:ascii="黑体" w:hAnsi="仿宋" w:cs="宋体"/>
          <w:b w:val="0"/>
          <w:color w:val="auto"/>
          <w:sz w:val="21"/>
          <w:szCs w:val="21"/>
        </w:rPr>
        <w:t>附件</w:t>
      </w:r>
      <w:r>
        <w:rPr>
          <w:rFonts w:hint="eastAsia" w:ascii="黑体" w:hAnsi="仿宋" w:cs="宋体"/>
          <w:b w:val="0"/>
          <w:color w:val="auto"/>
          <w:sz w:val="21"/>
          <w:szCs w:val="21"/>
          <w:lang w:val="en-US" w:eastAsia="zh-CN"/>
        </w:rPr>
        <w:t>3</w:t>
      </w:r>
      <w:r>
        <w:rPr>
          <w:rFonts w:hint="eastAsia" w:ascii="黑体" w:hAnsi="仿宋" w:cs="宋体"/>
          <w:b w:val="0"/>
          <w:color w:val="auto"/>
          <w:sz w:val="21"/>
          <w:szCs w:val="21"/>
        </w:rPr>
        <w:t>-2 供应商资格声明(格式)</w:t>
      </w:r>
    </w:p>
    <w:p>
      <w:pPr>
        <w:widowControl/>
        <w:spacing w:before="100" w:beforeAutospacing="1" w:after="100" w:afterAutospacing="1" w:line="400" w:lineRule="atLeast"/>
        <w:ind w:firstLine="562"/>
        <w:jc w:val="center"/>
        <w:rPr>
          <w:rFonts w:ascii="微软雅黑" w:hAnsi="微软雅黑" w:eastAsia="微软雅黑" w:cs="微软雅黑"/>
          <w:color w:val="auto"/>
          <w:sz w:val="24"/>
        </w:rPr>
      </w:pPr>
      <w:r>
        <w:rPr>
          <w:rFonts w:ascii="黑体" w:hAnsi="宋体" w:eastAsia="黑体" w:cs="黑体"/>
          <w:b/>
          <w:bCs/>
          <w:color w:val="auto"/>
          <w:kern w:val="0"/>
          <w:sz w:val="28"/>
          <w:szCs w:val="28"/>
          <w:lang w:bidi="ar"/>
        </w:rPr>
        <w:t>供应商资格声明</w:t>
      </w:r>
      <w:r>
        <w:rPr>
          <w:rFonts w:hint="eastAsia" w:ascii="黑体" w:hAnsi="宋体" w:eastAsia="黑体" w:cs="黑体"/>
          <w:b/>
          <w:bCs/>
          <w:color w:val="auto"/>
          <w:kern w:val="0"/>
          <w:sz w:val="28"/>
          <w:szCs w:val="28"/>
          <w:lang w:bidi="ar"/>
        </w:rPr>
        <w:t>(格式)</w:t>
      </w:r>
    </w:p>
    <w:p>
      <w:pPr>
        <w:widowControl/>
        <w:spacing w:before="100" w:beforeAutospacing="1" w:after="100" w:afterAutospacing="1" w:line="380" w:lineRule="atLeast"/>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致</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(采购人、采购代理机构)：</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按照《中华人民共和国政府采购法》及实施条例和</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(项目名称)邀请公告的规定，我单位郑重声明如下：</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一、我单位是按照中华人民共和国法律规定登记注册的，注册地点为</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，全称为</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，统一社会信用代码为</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，法定代表人（</w:t>
      </w:r>
      <w:r>
        <w:rPr>
          <w:rFonts w:hint="eastAsia" w:ascii="宋体" w:hAnsi="宋体" w:cs="宋体"/>
          <w:color w:val="auto"/>
          <w:spacing w:val="-2"/>
          <w:kern w:val="0"/>
          <w:szCs w:val="21"/>
          <w:lang w:bidi="ar"/>
        </w:rPr>
        <w:t>单</w:t>
      </w:r>
      <w:r>
        <w:rPr>
          <w:rFonts w:hint="eastAsia" w:ascii="宋体" w:hAnsi="宋体" w:cs="宋体"/>
          <w:color w:val="auto"/>
          <w:kern w:val="0"/>
          <w:szCs w:val="21"/>
          <w:lang w:bidi="ar"/>
        </w:rPr>
        <w:t>位</w:t>
      </w:r>
      <w:r>
        <w:rPr>
          <w:rFonts w:hint="eastAsia" w:ascii="宋体" w:hAnsi="宋体" w:cs="宋体"/>
          <w:color w:val="auto"/>
          <w:spacing w:val="-2"/>
          <w:kern w:val="0"/>
          <w:szCs w:val="21"/>
          <w:lang w:bidi="ar"/>
        </w:rPr>
        <w:t>负</w:t>
      </w:r>
      <w:r>
        <w:rPr>
          <w:rFonts w:hint="eastAsia" w:ascii="宋体" w:hAnsi="宋体" w:cs="宋体"/>
          <w:color w:val="auto"/>
          <w:kern w:val="0"/>
          <w:szCs w:val="21"/>
          <w:lang w:bidi="ar"/>
        </w:rPr>
        <w:t>责人</w:t>
      </w:r>
      <w:r>
        <w:rPr>
          <w:rFonts w:hint="eastAsia" w:ascii="宋体" w:hAnsi="宋体" w:cs="宋体"/>
          <w:color w:val="auto"/>
          <w:spacing w:val="-2"/>
          <w:kern w:val="0"/>
          <w:szCs w:val="21"/>
          <w:lang w:bidi="ar"/>
        </w:rPr>
        <w:t>）</w:t>
      </w:r>
      <w:r>
        <w:rPr>
          <w:rFonts w:hint="eastAsia" w:ascii="宋体" w:hAnsi="宋体" w:cs="宋体"/>
          <w:color w:val="auto"/>
          <w:kern w:val="0"/>
          <w:szCs w:val="21"/>
          <w:lang w:bidi="ar"/>
        </w:rPr>
        <w:t>为</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，具有独立承担民事责任的能力。</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二、我单位具有良好的商业信誉和健全的财务会计制度。</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三、我单位依法进行纳税和社会保险申报并实际履行了义务。</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四、我单位具有履行本项目采购合同所必需的设备和专业技术能力，并具有履行合同的良好记录。</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供应商在参加政府采购活动前3年内因违法经营被禁止在一定期限内参加政府采购活动，期限届满的，可以参加政府采购活动。</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六、我单位具备法律、行政法规规定的其他条件。</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七、与我单位存在“单位负责人为同一人或者存在直接控股、管理关系”的其他单位信息如下（如无，填写“无”）：</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1、与我单位的法定代表人（单位负责人）为同一人的其他单位如下：</w:t>
      </w:r>
      <w:r>
        <w:rPr>
          <w:rFonts w:hint="eastAsia" w:ascii="宋体" w:hAnsi="宋体" w:cs="宋体"/>
          <w:color w:val="auto"/>
          <w:kern w:val="0"/>
          <w:szCs w:val="21"/>
          <w:u w:val="single"/>
          <w:lang w:bidi="ar"/>
        </w:rPr>
        <w:t>       </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2、我单位直接控股的其他单位如下：</w:t>
      </w:r>
      <w:r>
        <w:rPr>
          <w:rFonts w:hint="eastAsia" w:ascii="宋体" w:hAnsi="宋体" w:cs="宋体"/>
          <w:color w:val="auto"/>
          <w:kern w:val="0"/>
          <w:szCs w:val="21"/>
          <w:u w:val="single"/>
          <w:lang w:bidi="ar"/>
        </w:rPr>
        <w:t>             </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3、与我单位存在管理关系的其他单位如下：</w:t>
      </w:r>
      <w:r>
        <w:rPr>
          <w:rFonts w:hint="eastAsia" w:ascii="宋体" w:hAnsi="宋体" w:cs="宋体"/>
          <w:color w:val="auto"/>
          <w:kern w:val="0"/>
          <w:szCs w:val="21"/>
          <w:u w:val="single"/>
          <w:lang w:bidi="ar"/>
        </w:rPr>
        <w:t>          </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八、我单位不属于为本项目提供整体设计、规范编制或者项目管理、监理、检测等服务的供应商。</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九、我单位无以下不良信用记录情形：</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1、在“信用中国”网站被列入失信被执行人和重大税收违法案件当事人名单；</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2、在“中国政府采购网”网站被列入政府采购严重违法失信行为记录名单；</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3、不符合《政府采购法》第二十二条规定的条件。</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我单位保证上述声明的事项都是真实的，如有虚假，我单位愿意承担相应的法律责任，并承担因此所造成的一切损失。</w:t>
      </w:r>
    </w:p>
    <w:p>
      <w:pPr>
        <w:widowControl/>
        <w:spacing w:before="100" w:beforeAutospacing="1" w:after="100" w:afterAutospacing="1" w:line="380" w:lineRule="atLeast"/>
        <w:ind w:firstLine="420"/>
        <w:jc w:val="left"/>
        <w:rPr>
          <w:rFonts w:hint="eastAsia" w:ascii="微软雅黑" w:hAnsi="微软雅黑" w:eastAsia="微软雅黑" w:cs="微软雅黑"/>
          <w:b/>
          <w:bCs/>
          <w:color w:val="auto"/>
          <w:sz w:val="24"/>
        </w:rPr>
      </w:pPr>
      <w:r>
        <w:rPr>
          <w:rFonts w:hint="eastAsia" w:ascii="宋体" w:hAnsi="宋体" w:cs="宋体"/>
          <w:b/>
          <w:bCs/>
          <w:color w:val="auto"/>
          <w:kern w:val="0"/>
          <w:szCs w:val="21"/>
          <w:lang w:bidi="ar"/>
        </w:rPr>
        <w:t>注：第二条“良好的商业信誉”是指供应商经营状况良好，无本资格声明第九条情形。</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 </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供应商名称（盖单位公章）：</w:t>
      </w:r>
    </w:p>
    <w:p>
      <w:pPr>
        <w:widowControl/>
        <w:spacing w:before="100" w:beforeAutospacing="1" w:after="100" w:afterAutospacing="1" w:line="380" w:lineRule="atLeast"/>
        <w:ind w:firstLine="412"/>
        <w:jc w:val="left"/>
        <w:rPr>
          <w:rFonts w:hint="eastAsia" w:ascii="微软雅黑" w:hAnsi="微软雅黑" w:eastAsia="微软雅黑" w:cs="微软雅黑"/>
          <w:color w:val="auto"/>
          <w:sz w:val="24"/>
        </w:rPr>
      </w:pPr>
      <w:r>
        <w:rPr>
          <w:rFonts w:hint="eastAsia" w:ascii="宋体" w:hAnsi="宋体" w:cs="宋体"/>
          <w:color w:val="auto"/>
          <w:spacing w:val="-2"/>
          <w:kern w:val="0"/>
          <w:szCs w:val="21"/>
          <w:lang w:bidi="ar"/>
        </w:rPr>
        <w:t>法</w:t>
      </w:r>
      <w:r>
        <w:rPr>
          <w:rFonts w:hint="eastAsia" w:ascii="宋体" w:hAnsi="宋体" w:cs="宋体"/>
          <w:color w:val="auto"/>
          <w:kern w:val="0"/>
          <w:szCs w:val="21"/>
          <w:lang w:bidi="ar"/>
        </w:rPr>
        <w:t>定</w:t>
      </w:r>
      <w:r>
        <w:rPr>
          <w:rFonts w:hint="eastAsia" w:ascii="宋体" w:hAnsi="宋体" w:cs="宋体"/>
          <w:color w:val="auto"/>
          <w:spacing w:val="-2"/>
          <w:kern w:val="0"/>
          <w:szCs w:val="21"/>
          <w:lang w:bidi="ar"/>
        </w:rPr>
        <w:t>代</w:t>
      </w:r>
      <w:r>
        <w:rPr>
          <w:rFonts w:hint="eastAsia" w:ascii="宋体" w:hAnsi="宋体" w:cs="宋体"/>
          <w:color w:val="auto"/>
          <w:kern w:val="0"/>
          <w:szCs w:val="21"/>
          <w:lang w:bidi="ar"/>
        </w:rPr>
        <w:t>表</w:t>
      </w:r>
      <w:r>
        <w:rPr>
          <w:rFonts w:hint="eastAsia" w:ascii="宋体" w:hAnsi="宋体" w:cs="宋体"/>
          <w:color w:val="auto"/>
          <w:spacing w:val="-2"/>
          <w:kern w:val="0"/>
          <w:szCs w:val="21"/>
          <w:lang w:bidi="ar"/>
        </w:rPr>
        <w:t>人</w:t>
      </w:r>
      <w:r>
        <w:rPr>
          <w:rFonts w:hint="eastAsia" w:ascii="宋体" w:hAnsi="宋体" w:cs="宋体"/>
          <w:color w:val="auto"/>
          <w:kern w:val="0"/>
          <w:szCs w:val="21"/>
          <w:lang w:bidi="ar"/>
        </w:rPr>
        <w:t>（</w:t>
      </w:r>
      <w:r>
        <w:rPr>
          <w:rFonts w:hint="eastAsia" w:ascii="宋体" w:hAnsi="宋体" w:cs="宋体"/>
          <w:color w:val="auto"/>
          <w:spacing w:val="-2"/>
          <w:kern w:val="0"/>
          <w:szCs w:val="21"/>
          <w:lang w:bidi="ar"/>
        </w:rPr>
        <w:t>单</w:t>
      </w:r>
      <w:r>
        <w:rPr>
          <w:rFonts w:hint="eastAsia" w:ascii="宋体" w:hAnsi="宋体" w:cs="宋体"/>
          <w:color w:val="auto"/>
          <w:kern w:val="0"/>
          <w:szCs w:val="21"/>
          <w:lang w:bidi="ar"/>
        </w:rPr>
        <w:t>位</w:t>
      </w:r>
      <w:r>
        <w:rPr>
          <w:rFonts w:hint="eastAsia" w:ascii="宋体" w:hAnsi="宋体" w:cs="宋体"/>
          <w:color w:val="auto"/>
          <w:spacing w:val="-2"/>
          <w:kern w:val="0"/>
          <w:szCs w:val="21"/>
          <w:lang w:bidi="ar"/>
        </w:rPr>
        <w:t>负</w:t>
      </w:r>
      <w:r>
        <w:rPr>
          <w:rFonts w:hint="eastAsia" w:ascii="宋体" w:hAnsi="宋体" w:cs="宋体"/>
          <w:color w:val="auto"/>
          <w:kern w:val="0"/>
          <w:szCs w:val="21"/>
          <w:lang w:bidi="ar"/>
        </w:rPr>
        <w:t>责人</w:t>
      </w:r>
      <w:r>
        <w:rPr>
          <w:rFonts w:hint="eastAsia" w:ascii="宋体" w:hAnsi="宋体" w:cs="宋体"/>
          <w:color w:val="auto"/>
          <w:spacing w:val="-2"/>
          <w:kern w:val="0"/>
          <w:szCs w:val="21"/>
          <w:lang w:bidi="ar"/>
        </w:rPr>
        <w:t>）</w:t>
      </w:r>
      <w:r>
        <w:rPr>
          <w:rFonts w:hint="eastAsia" w:ascii="宋体" w:hAnsi="宋体" w:cs="宋体"/>
          <w:color w:val="auto"/>
          <w:kern w:val="0"/>
          <w:szCs w:val="21"/>
          <w:lang w:bidi="ar"/>
        </w:rPr>
        <w:t>或委托代理人：</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（签字或印章）</w:t>
      </w:r>
    </w:p>
    <w:p>
      <w:pPr>
        <w:widowControl/>
        <w:spacing w:before="100" w:beforeAutospacing="1" w:after="100" w:afterAutospacing="1" w:line="380" w:lineRule="atLeast"/>
        <w:ind w:firstLine="420"/>
        <w:jc w:val="left"/>
        <w:rPr>
          <w:rFonts w:hint="eastAsia" w:ascii="微软雅黑" w:hAnsi="微软雅黑" w:eastAsia="微软雅黑" w:cs="微软雅黑"/>
          <w:color w:val="auto"/>
          <w:sz w:val="24"/>
        </w:rPr>
      </w:pPr>
      <w:r>
        <w:rPr>
          <w:rFonts w:hint="eastAsia" w:ascii="宋体" w:hAnsi="宋体" w:cs="宋体"/>
          <w:color w:val="auto"/>
          <w:kern w:val="0"/>
          <w:szCs w:val="21"/>
          <w:lang w:bidi="ar"/>
        </w:rPr>
        <w:t>日期：</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年</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月</w:t>
      </w:r>
      <w:r>
        <w:rPr>
          <w:rFonts w:hint="eastAsia" w:ascii="宋体" w:hAnsi="宋体" w:cs="宋体"/>
          <w:color w:val="auto"/>
          <w:kern w:val="0"/>
          <w:szCs w:val="21"/>
          <w:u w:val="single"/>
          <w:lang w:bidi="ar"/>
        </w:rPr>
        <w:t>  </w:t>
      </w:r>
      <w:r>
        <w:rPr>
          <w:rFonts w:hint="eastAsia" w:ascii="宋体" w:hAnsi="宋体" w:cs="宋体"/>
          <w:color w:val="auto"/>
          <w:kern w:val="0"/>
          <w:szCs w:val="21"/>
          <w:lang w:bidi="ar"/>
        </w:rPr>
        <w:t>日</w:t>
      </w:r>
    </w:p>
    <w:p>
      <w:pPr>
        <w:keepNext/>
        <w:keepLines/>
        <w:spacing w:line="377" w:lineRule="auto"/>
        <w:ind w:firstLine="210" w:firstLineChars="100"/>
        <w:rPr>
          <w:rFonts w:hint="eastAsia" w:ascii="黑体" w:hAnsi="仿宋" w:cs="宋体"/>
          <w:color w:val="auto"/>
          <w:szCs w:val="21"/>
        </w:rPr>
      </w:pPr>
      <w:bookmarkStart w:id="75" w:name="_Toc27891"/>
      <w:r>
        <w:rPr>
          <w:rFonts w:hint="eastAsia" w:ascii="黑体" w:hAnsi="仿宋" w:cs="宋体"/>
          <w:b w:val="0"/>
          <w:color w:val="auto"/>
          <w:sz w:val="21"/>
          <w:szCs w:val="21"/>
        </w:rPr>
        <w:br w:type="page"/>
      </w:r>
      <w:bookmarkEnd w:id="75"/>
    </w:p>
    <w:p>
      <w:pPr>
        <w:pStyle w:val="39"/>
        <w:rPr>
          <w:rFonts w:hint="eastAsia" w:ascii="黑体" w:hAnsi="仿宋" w:cs="宋体"/>
          <w:color w:val="auto"/>
          <w:szCs w:val="21"/>
        </w:rPr>
      </w:pPr>
    </w:p>
    <w:p>
      <w:pPr>
        <w:pStyle w:val="39"/>
        <w:rPr>
          <w:rFonts w:hint="eastAsia" w:ascii="黑体" w:hAnsi="仿宋" w:cs="宋体"/>
          <w:color w:val="auto"/>
          <w:szCs w:val="21"/>
        </w:rPr>
      </w:pPr>
    </w:p>
    <w:p>
      <w:pPr>
        <w:outlineLvl w:val="9"/>
        <w:rPr>
          <w:rFonts w:hint="default" w:ascii="黑体" w:hAnsi="仿宋" w:eastAsia="宋体" w:cs="宋体"/>
          <w:b w:val="0"/>
          <w:color w:val="auto"/>
          <w:sz w:val="21"/>
          <w:szCs w:val="21"/>
          <w:lang w:val="en-US" w:eastAsia="zh-CN"/>
        </w:rPr>
      </w:pPr>
      <w:bookmarkStart w:id="76" w:name="_Toc21665"/>
      <w:r>
        <w:rPr>
          <w:rFonts w:hint="eastAsia" w:ascii="黑体" w:hAnsi="仿宋" w:cs="宋体"/>
          <w:b w:val="0"/>
          <w:color w:val="auto"/>
          <w:sz w:val="21"/>
          <w:szCs w:val="21"/>
        </w:rPr>
        <w:t>附件</w:t>
      </w:r>
      <w:r>
        <w:rPr>
          <w:rFonts w:hint="eastAsia" w:ascii="黑体" w:hAnsi="仿宋" w:cs="宋体"/>
          <w:b w:val="0"/>
          <w:color w:val="auto"/>
          <w:sz w:val="21"/>
          <w:szCs w:val="21"/>
          <w:lang w:val="en-US" w:eastAsia="zh-CN"/>
        </w:rPr>
        <w:t>3</w:t>
      </w:r>
      <w:r>
        <w:rPr>
          <w:rFonts w:hint="eastAsia" w:ascii="黑体" w:hAnsi="仿宋" w:cs="宋体"/>
          <w:b w:val="0"/>
          <w:color w:val="auto"/>
          <w:sz w:val="21"/>
          <w:szCs w:val="21"/>
        </w:rPr>
        <w:t>-2-</w:t>
      </w:r>
      <w:r>
        <w:rPr>
          <w:rFonts w:hint="eastAsia" w:ascii="黑体" w:hAnsi="仿宋" w:cs="宋体"/>
          <w:b w:val="0"/>
          <w:color w:val="auto"/>
          <w:sz w:val="21"/>
          <w:szCs w:val="21"/>
          <w:lang w:val="en-US" w:eastAsia="zh-CN"/>
        </w:rPr>
        <w:t>1</w:t>
      </w:r>
      <w:r>
        <w:rPr>
          <w:rFonts w:hint="eastAsia" w:ascii="黑体" w:hAnsi="仿宋" w:cs="宋体"/>
          <w:b w:val="0"/>
          <w:color w:val="auto"/>
          <w:sz w:val="21"/>
          <w:szCs w:val="21"/>
        </w:rPr>
        <w:t>供应商在提交响应文件截止时间前近</w:t>
      </w:r>
      <w:r>
        <w:rPr>
          <w:rFonts w:hint="eastAsia" w:ascii="黑体" w:hAnsi="仿宋" w:cs="宋体"/>
          <w:b w:val="0"/>
          <w:color w:val="auto"/>
          <w:sz w:val="21"/>
          <w:szCs w:val="21"/>
          <w:lang w:eastAsia="zh-CN"/>
        </w:rPr>
        <w:t>三</w:t>
      </w:r>
      <w:r>
        <w:rPr>
          <w:rFonts w:hint="eastAsia" w:ascii="黑体" w:hAnsi="仿宋" w:cs="宋体"/>
          <w:b w:val="0"/>
          <w:color w:val="auto"/>
          <w:sz w:val="21"/>
          <w:szCs w:val="21"/>
        </w:rPr>
        <w:t>个月依法连续缴纳税收和社会保险的证明</w:t>
      </w:r>
      <w:bookmarkEnd w:id="76"/>
      <w:r>
        <w:rPr>
          <w:rFonts w:hint="eastAsia" w:ascii="黑体" w:hAnsi="仿宋" w:cs="宋体"/>
          <w:b w:val="0"/>
          <w:color w:val="auto"/>
          <w:sz w:val="21"/>
          <w:szCs w:val="21"/>
          <w:lang w:val="en-US" w:eastAsia="zh-CN"/>
        </w:rPr>
        <w:t>或承诺</w:t>
      </w:r>
    </w:p>
    <w:p>
      <w:pPr>
        <w:ind w:firstLine="420" w:firstLineChars="200"/>
        <w:rPr>
          <w:rFonts w:hint="default" w:ascii="黑体" w:hAnsi="仿宋" w:eastAsia="宋体" w:cs="宋体"/>
          <w:color w:val="auto"/>
          <w:szCs w:val="21"/>
          <w:lang w:val="en-US" w:eastAsia="zh-CN"/>
        </w:rPr>
      </w:pPr>
      <w:r>
        <w:rPr>
          <w:rFonts w:hint="eastAsia" w:ascii="黑体" w:hAnsi="仿宋" w:cs="宋体"/>
          <w:color w:val="auto"/>
          <w:szCs w:val="21"/>
        </w:rPr>
        <w:t>说明：提供在提交响应文件截止时间前近</w:t>
      </w:r>
      <w:r>
        <w:rPr>
          <w:rFonts w:hint="eastAsia" w:ascii="黑体" w:hAnsi="仿宋" w:cs="宋体"/>
          <w:color w:val="auto"/>
          <w:szCs w:val="21"/>
          <w:lang w:val="en-US" w:eastAsia="zh-CN"/>
        </w:rPr>
        <w:t>·</w:t>
      </w:r>
      <w:r>
        <w:rPr>
          <w:rFonts w:hint="eastAsia" w:ascii="黑体" w:hAnsi="仿宋" w:cs="宋体"/>
          <w:color w:val="auto"/>
          <w:szCs w:val="21"/>
          <w:lang w:eastAsia="zh-CN"/>
        </w:rPr>
        <w:t>三</w:t>
      </w:r>
      <w:r>
        <w:rPr>
          <w:rFonts w:hint="eastAsia" w:ascii="黑体" w:hAnsi="仿宋" w:cs="宋体"/>
          <w:color w:val="auto"/>
          <w:szCs w:val="21"/>
        </w:rPr>
        <w:t>个月依法连续缴纳税收（税务部门出具的）和社会保险费（社保机构出具的）的证明(或者纳税及缴费凭证复印件），或者委托他人缴纳的委托代办协议和投标截止时间前近</w:t>
      </w:r>
      <w:r>
        <w:rPr>
          <w:rFonts w:hint="eastAsia" w:ascii="黑体" w:hAnsi="仿宋" w:cs="宋体"/>
          <w:color w:val="auto"/>
          <w:szCs w:val="21"/>
          <w:lang w:eastAsia="zh-CN"/>
        </w:rPr>
        <w:t>三</w:t>
      </w:r>
      <w:r>
        <w:rPr>
          <w:rFonts w:hint="eastAsia" w:ascii="黑体" w:hAnsi="仿宋" w:cs="宋体"/>
          <w:color w:val="auto"/>
          <w:szCs w:val="21"/>
        </w:rPr>
        <w:t>个月的缴纳证明（收据&lt;缴费凭证&gt;复印件），或者法定征收机关出具的依法免缴纳税费的证明</w:t>
      </w:r>
      <w:r>
        <w:rPr>
          <w:rFonts w:hint="eastAsia" w:ascii="黑体" w:hAnsi="仿宋" w:cs="宋体"/>
          <w:color w:val="auto"/>
          <w:szCs w:val="21"/>
          <w:lang w:eastAsia="zh-CN"/>
        </w:rPr>
        <w:t>，</w:t>
      </w:r>
      <w:r>
        <w:rPr>
          <w:rFonts w:hint="eastAsia" w:ascii="黑体" w:hAnsi="仿宋" w:cs="宋体"/>
          <w:color w:val="auto"/>
          <w:szCs w:val="21"/>
          <w:lang w:val="en-US" w:eastAsia="zh-CN"/>
        </w:rPr>
        <w:t>或者提供供应商依法</w:t>
      </w:r>
      <w:r>
        <w:rPr>
          <w:rFonts w:hint="eastAsia" w:ascii="黑体" w:hAnsi="仿宋" w:cs="宋体"/>
          <w:b w:val="0"/>
          <w:color w:val="auto"/>
          <w:sz w:val="21"/>
          <w:szCs w:val="21"/>
        </w:rPr>
        <w:t>连续缴纳税收和社会保险</w:t>
      </w:r>
      <w:r>
        <w:rPr>
          <w:rFonts w:hint="eastAsia" w:ascii="黑体" w:hAnsi="仿宋" w:cs="宋体"/>
          <w:b w:val="0"/>
          <w:color w:val="auto"/>
          <w:sz w:val="21"/>
          <w:szCs w:val="21"/>
          <w:lang w:val="en-US" w:eastAsia="zh-CN"/>
        </w:rPr>
        <w:t>书面承诺。</w:t>
      </w:r>
    </w:p>
    <w:p>
      <w:pPr>
        <w:pStyle w:val="39"/>
        <w:rPr>
          <w:rFonts w:hint="eastAsia" w:ascii="黑体" w:hAnsi="仿宋" w:cs="宋体"/>
          <w:color w:val="auto"/>
          <w:szCs w:val="21"/>
        </w:rPr>
      </w:pPr>
    </w:p>
    <w:p>
      <w:pPr>
        <w:pStyle w:val="39"/>
        <w:rPr>
          <w:rFonts w:hint="eastAsia" w:ascii="黑体" w:hAnsi="仿宋" w:cs="宋体"/>
          <w:color w:val="auto"/>
          <w:szCs w:val="21"/>
        </w:rPr>
      </w:pPr>
    </w:p>
    <w:p>
      <w:pPr>
        <w:pStyle w:val="39"/>
        <w:rPr>
          <w:rFonts w:hint="eastAsia" w:ascii="黑体" w:hAnsi="仿宋" w:cs="宋体"/>
          <w:color w:val="auto"/>
          <w:szCs w:val="21"/>
        </w:rPr>
      </w:pPr>
    </w:p>
    <w:p>
      <w:pPr>
        <w:pStyle w:val="39"/>
        <w:rPr>
          <w:rFonts w:hint="eastAsia" w:ascii="黑体" w:hAnsi="仿宋" w:cs="宋体"/>
          <w:color w:val="auto"/>
          <w:szCs w:val="21"/>
        </w:rPr>
      </w:pPr>
    </w:p>
    <w:p>
      <w:pPr>
        <w:pStyle w:val="39"/>
        <w:rPr>
          <w:rFonts w:hint="eastAsia" w:ascii="黑体" w:hAnsi="仿宋" w:cs="宋体"/>
          <w:color w:val="auto"/>
          <w:szCs w:val="21"/>
        </w:rPr>
      </w:pPr>
    </w:p>
    <w:p>
      <w:pPr>
        <w:outlineLvl w:val="9"/>
        <w:rPr>
          <w:rFonts w:ascii="黑体" w:hAnsi="仿宋" w:cs="宋体"/>
          <w:b w:val="0"/>
          <w:color w:val="auto"/>
          <w:sz w:val="21"/>
          <w:szCs w:val="21"/>
        </w:rPr>
      </w:pPr>
      <w:bookmarkStart w:id="77" w:name="_Toc29189"/>
      <w:r>
        <w:rPr>
          <w:rFonts w:hint="eastAsia" w:ascii="黑体" w:hAnsi="仿宋" w:cs="宋体"/>
          <w:b w:val="0"/>
          <w:color w:val="auto"/>
          <w:sz w:val="21"/>
          <w:szCs w:val="21"/>
        </w:rPr>
        <w:t>附件</w:t>
      </w:r>
      <w:r>
        <w:rPr>
          <w:rFonts w:hint="eastAsia" w:ascii="黑体" w:hAnsi="仿宋" w:cs="宋体"/>
          <w:b w:val="0"/>
          <w:color w:val="auto"/>
          <w:sz w:val="21"/>
          <w:szCs w:val="21"/>
          <w:lang w:val="en-US" w:eastAsia="zh-CN"/>
        </w:rPr>
        <w:t>3</w:t>
      </w:r>
      <w:r>
        <w:rPr>
          <w:rFonts w:hint="eastAsia" w:ascii="黑体" w:hAnsi="仿宋" w:cs="宋体"/>
          <w:b w:val="0"/>
          <w:color w:val="auto"/>
          <w:sz w:val="21"/>
          <w:szCs w:val="21"/>
        </w:rPr>
        <w:t>-2-</w:t>
      </w:r>
      <w:r>
        <w:rPr>
          <w:rFonts w:hint="eastAsia" w:ascii="黑体" w:hAnsi="仿宋" w:cs="宋体"/>
          <w:b w:val="0"/>
          <w:color w:val="auto"/>
          <w:sz w:val="21"/>
          <w:szCs w:val="21"/>
          <w:lang w:val="en-US" w:eastAsia="zh-CN"/>
        </w:rPr>
        <w:t>2</w:t>
      </w:r>
      <w:r>
        <w:rPr>
          <w:rFonts w:hint="eastAsia" w:ascii="黑体" w:hAnsi="仿宋" w:cs="宋体"/>
          <w:b w:val="0"/>
          <w:color w:val="auto"/>
          <w:sz w:val="21"/>
          <w:szCs w:val="21"/>
        </w:rPr>
        <w:t xml:space="preserve"> 具有履行合同所必需的设备和专业技术能力的证明材料</w:t>
      </w:r>
      <w:bookmarkEnd w:id="77"/>
    </w:p>
    <w:p>
      <w:pPr>
        <w:ind w:firstLine="420" w:firstLineChars="200"/>
        <w:rPr>
          <w:rFonts w:ascii="黑体" w:hAnsi="仿宋" w:cs="宋体"/>
          <w:color w:val="auto"/>
          <w:szCs w:val="21"/>
        </w:rPr>
      </w:pPr>
      <w:r>
        <w:rPr>
          <w:rFonts w:hint="eastAsia" w:ascii="黑体" w:hAnsi="仿宋" w:cs="宋体"/>
          <w:color w:val="auto"/>
          <w:szCs w:val="21"/>
        </w:rPr>
        <w:t>说明：提供具有履行合同所必需的设备和专业技术能力的承诺，或者设备发票复印件和专业技术能力的相关证明材料复印件等。</w:t>
      </w:r>
    </w:p>
    <w:p>
      <w:pPr>
        <w:outlineLvl w:val="9"/>
        <w:rPr>
          <w:rFonts w:ascii="黑体" w:hAnsi="仿宋" w:cs="宋体"/>
          <w:b w:val="0"/>
          <w:color w:val="auto"/>
          <w:sz w:val="21"/>
          <w:szCs w:val="21"/>
        </w:rPr>
      </w:pPr>
      <w:bookmarkStart w:id="78" w:name="_Toc26758"/>
      <w:r>
        <w:rPr>
          <w:rFonts w:hint="eastAsia" w:ascii="黑体" w:hAnsi="仿宋" w:cs="宋体"/>
          <w:b w:val="0"/>
          <w:color w:val="auto"/>
          <w:sz w:val="21"/>
          <w:szCs w:val="21"/>
        </w:rPr>
        <w:br w:type="page"/>
      </w:r>
      <w:bookmarkEnd w:id="78"/>
      <w:bookmarkStart w:id="79" w:name="_Toc1564"/>
      <w:r>
        <w:rPr>
          <w:rFonts w:hint="eastAsia" w:ascii="黑体" w:hAnsi="仿宋" w:cs="宋体"/>
          <w:b w:val="0"/>
          <w:color w:val="auto"/>
          <w:sz w:val="21"/>
          <w:szCs w:val="21"/>
        </w:rPr>
        <w:t>附件</w:t>
      </w:r>
      <w:r>
        <w:rPr>
          <w:rFonts w:hint="eastAsia" w:ascii="黑体" w:hAnsi="仿宋" w:cs="宋体"/>
          <w:b w:val="0"/>
          <w:color w:val="auto"/>
          <w:sz w:val="21"/>
          <w:szCs w:val="21"/>
          <w:lang w:val="en-US" w:eastAsia="zh-CN"/>
        </w:rPr>
        <w:t>3</w:t>
      </w:r>
      <w:r>
        <w:rPr>
          <w:rFonts w:hint="eastAsia" w:ascii="黑体" w:hAnsi="仿宋" w:cs="宋体"/>
          <w:b w:val="0"/>
          <w:color w:val="auto"/>
          <w:sz w:val="21"/>
          <w:szCs w:val="21"/>
        </w:rPr>
        <w:t>-2-</w:t>
      </w:r>
      <w:r>
        <w:rPr>
          <w:rFonts w:hint="eastAsia" w:ascii="黑体" w:hAnsi="仿宋" w:cs="宋体"/>
          <w:b w:val="0"/>
          <w:color w:val="auto"/>
          <w:sz w:val="21"/>
          <w:szCs w:val="21"/>
          <w:lang w:val="en-US" w:eastAsia="zh-CN"/>
        </w:rPr>
        <w:t>3</w:t>
      </w:r>
      <w:r>
        <w:rPr>
          <w:rFonts w:hint="eastAsia" w:ascii="黑体" w:hAnsi="仿宋" w:cs="宋体"/>
          <w:b w:val="0"/>
          <w:color w:val="auto"/>
          <w:sz w:val="21"/>
          <w:szCs w:val="21"/>
        </w:rPr>
        <w:t xml:space="preserve"> 法律、行政法规规定的其他条件</w:t>
      </w:r>
      <w:bookmarkEnd w:id="79"/>
    </w:p>
    <w:p>
      <w:pPr>
        <w:rPr>
          <w:color w:val="auto"/>
        </w:rPr>
      </w:pPr>
    </w:p>
    <w:p>
      <w:pPr>
        <w:pStyle w:val="39"/>
        <w:rPr>
          <w:rFonts w:hint="eastAsia" w:ascii="宋体" w:hAnsi="宋体" w:cs="宋体"/>
          <w:bCs w:val="0"/>
          <w:color w:val="auto"/>
          <w:spacing w:val="0"/>
          <w:sz w:val="21"/>
          <w:szCs w:val="21"/>
        </w:rPr>
      </w:pPr>
      <w:r>
        <w:rPr>
          <w:rFonts w:hint="eastAsia" w:ascii="宋体" w:hAnsi="宋体" w:cs="宋体"/>
          <w:bCs w:val="0"/>
          <w:color w:val="auto"/>
          <w:spacing w:val="0"/>
          <w:sz w:val="21"/>
          <w:szCs w:val="21"/>
        </w:rPr>
        <w:t>说明：（1）中小企业声明函</w:t>
      </w:r>
    </w:p>
    <w:p>
      <w:pPr>
        <w:pStyle w:val="39"/>
        <w:ind w:firstLine="630" w:firstLineChars="300"/>
        <w:rPr>
          <w:rFonts w:hint="eastAsia" w:ascii="宋体" w:hAnsi="宋体" w:cs="宋体"/>
          <w:bCs w:val="0"/>
          <w:color w:val="auto"/>
          <w:spacing w:val="0"/>
          <w:sz w:val="21"/>
          <w:szCs w:val="21"/>
        </w:rPr>
      </w:pPr>
      <w:r>
        <w:rPr>
          <w:rFonts w:hint="eastAsia" w:ascii="宋体" w:hAnsi="宋体" w:cs="宋体"/>
          <w:bCs w:val="0"/>
          <w:color w:val="auto"/>
          <w:spacing w:val="0"/>
          <w:sz w:val="21"/>
          <w:szCs w:val="21"/>
        </w:rPr>
        <w:t>（2）磋商文件规定的其他条件的证明材料。</w:t>
      </w:r>
    </w:p>
    <w:p>
      <w:pPr>
        <w:pStyle w:val="39"/>
        <w:rPr>
          <w:rFonts w:hint="eastAsia" w:ascii="宋体" w:hAnsi="宋体" w:cs="宋体"/>
          <w:bCs w:val="0"/>
          <w:color w:val="auto"/>
          <w:spacing w:val="0"/>
          <w:sz w:val="21"/>
          <w:szCs w:val="21"/>
        </w:rPr>
      </w:pPr>
    </w:p>
    <w:p>
      <w:pPr>
        <w:pStyle w:val="39"/>
        <w:rPr>
          <w:rFonts w:hint="eastAsia" w:ascii="宋体" w:hAnsi="宋体" w:cs="宋体"/>
          <w:bCs w:val="0"/>
          <w:color w:val="auto"/>
          <w:spacing w:val="0"/>
          <w:sz w:val="21"/>
          <w:szCs w:val="21"/>
        </w:rPr>
      </w:pPr>
    </w:p>
    <w:p>
      <w:pPr>
        <w:pStyle w:val="39"/>
        <w:rPr>
          <w:rFonts w:hint="eastAsia" w:ascii="宋体" w:hAnsi="宋体" w:cs="宋体"/>
          <w:bCs w:val="0"/>
          <w:color w:val="auto"/>
          <w:spacing w:val="0"/>
          <w:sz w:val="21"/>
          <w:szCs w:val="21"/>
        </w:rPr>
      </w:pPr>
    </w:p>
    <w:p>
      <w:pPr>
        <w:widowControl/>
        <w:adjustRightInd w:val="0"/>
        <w:snapToGrid w:val="0"/>
        <w:spacing w:line="360" w:lineRule="auto"/>
        <w:ind w:firstLine="586" w:firstLineChars="200"/>
        <w:jc w:val="center"/>
      </w:pPr>
      <w:bookmarkStart w:id="80" w:name="_Toc24241"/>
      <w:bookmarkStart w:id="81" w:name="_Toc15415"/>
      <w:r>
        <w:rPr>
          <w:rFonts w:hint="eastAsia" w:ascii="宋体" w:hAnsi="宋体" w:cs="宋体"/>
          <w:b/>
          <w:bCs/>
          <w:color w:val="auto"/>
          <w:spacing w:val="6"/>
          <w:kern w:val="0"/>
          <w:sz w:val="28"/>
          <w:szCs w:val="28"/>
        </w:rPr>
        <w:br w:type="page"/>
      </w:r>
      <w:r>
        <w:rPr>
          <w:rFonts w:hint="eastAsia" w:ascii="宋体" w:hAnsi="宋体" w:cs="宋体"/>
          <w:b/>
          <w:bCs/>
          <w:color w:val="auto"/>
          <w:spacing w:val="6"/>
          <w:kern w:val="0"/>
          <w:sz w:val="28"/>
          <w:szCs w:val="28"/>
        </w:rPr>
        <w:t>（1）</w:t>
      </w:r>
      <w:r>
        <w:rPr>
          <w:rFonts w:hint="eastAsia" w:ascii="宋体" w:hAnsi="宋体" w:cs="宋体"/>
          <w:b/>
          <w:kern w:val="0"/>
          <w:sz w:val="36"/>
          <w:szCs w:val="36"/>
          <w:lang w:bidi="ar"/>
        </w:rPr>
        <w:t>中小企业声明函</w:t>
      </w:r>
    </w:p>
    <w:p>
      <w:pPr>
        <w:tabs>
          <w:tab w:val="left" w:pos="3600"/>
        </w:tabs>
        <w:adjustRightInd w:val="0"/>
        <w:snapToGrid w:val="0"/>
        <w:jc w:val="center"/>
        <w:rPr>
          <w:rFonts w:hint="eastAsia" w:ascii="宋体" w:hAnsi="宋体" w:cs="宋体"/>
          <w:b/>
          <w:kern w:val="0"/>
          <w:sz w:val="28"/>
          <w:szCs w:val="28"/>
        </w:rPr>
      </w:pPr>
    </w:p>
    <w:p>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本公司（联合体）郑重声明，根据《政府采购促进中小企业发展管理办法》（财库﹝2020﹞46 号）的规定，本公司 （联合体）参加</w:t>
      </w:r>
      <w:r>
        <w:rPr>
          <w:rFonts w:ascii="宋体" w:hAnsi="宋体" w:cs="宋体"/>
          <w:sz w:val="24"/>
          <w:u w:val="single"/>
        </w:rPr>
        <w:t>（单位名称）</w:t>
      </w:r>
      <w:r>
        <w:rPr>
          <w:rFonts w:ascii="宋体" w:hAnsi="宋体" w:cs="宋体"/>
          <w:sz w:val="24"/>
        </w:rPr>
        <w:t>的</w:t>
      </w:r>
      <w:r>
        <w:rPr>
          <w:rFonts w:ascii="宋体" w:hAnsi="宋体" w:cs="宋体"/>
          <w:sz w:val="24"/>
          <w:u w:val="single"/>
        </w:rPr>
        <w:t>（项目名称）</w:t>
      </w:r>
      <w:r>
        <w:rPr>
          <w:rFonts w:ascii="宋体" w:hAnsi="宋体" w:cs="宋体"/>
          <w:sz w:val="24"/>
        </w:rPr>
        <w:t>采购活动，提供的货物全部由符合政策要求的中小企业制造</w:t>
      </w:r>
      <w:r>
        <w:rPr>
          <w:rFonts w:hint="eastAsia" w:ascii="宋体" w:hAnsi="宋体" w:cs="宋体"/>
          <w:sz w:val="24"/>
        </w:rPr>
        <w:t>（或者：服务全部由符合政策要求的中小企业承接）</w:t>
      </w:r>
      <w:r>
        <w:rPr>
          <w:rFonts w:ascii="宋体" w:hAnsi="宋体" w:cs="宋体"/>
          <w:sz w:val="24"/>
        </w:rPr>
        <w:t>。相关企业 （含联合体中的中小企业、签订分包意向协议的中小企业） 的具体情况如下：</w:t>
      </w:r>
    </w:p>
    <w:p>
      <w:pPr>
        <w:widowControl/>
        <w:adjustRightInd w:val="0"/>
        <w:snapToGrid w:val="0"/>
        <w:spacing w:line="360" w:lineRule="auto"/>
        <w:ind w:firstLine="600" w:firstLineChars="250"/>
        <w:jc w:val="left"/>
        <w:rPr>
          <w:rFonts w:ascii="宋体" w:hAnsi="宋体" w:cs="宋体"/>
          <w:sz w:val="24"/>
        </w:rPr>
      </w:pPr>
      <w:r>
        <w:rPr>
          <w:rFonts w:hint="eastAsia" w:ascii="宋体" w:hAnsi="宋体" w:cs="宋体"/>
          <w:sz w:val="24"/>
        </w:rPr>
        <w:t xml:space="preserve">  1.</w:t>
      </w:r>
      <w:r>
        <w:rPr>
          <w:rFonts w:ascii="宋体" w:hAnsi="宋体" w:cs="宋体"/>
          <w:sz w:val="24"/>
          <w:u w:val="single"/>
        </w:rPr>
        <w:t>（标的名称）</w:t>
      </w:r>
      <w:r>
        <w:rPr>
          <w:rFonts w:ascii="宋体" w:hAnsi="宋体" w:cs="宋体"/>
          <w:sz w:val="24"/>
        </w:rPr>
        <w:t xml:space="preserve"> ，属于</w:t>
      </w:r>
      <w:r>
        <w:rPr>
          <w:rFonts w:ascii="宋体" w:hAnsi="宋体" w:cs="宋体"/>
          <w:sz w:val="24"/>
          <w:u w:val="single"/>
        </w:rPr>
        <w:t xml:space="preserve">（采购文件中明确的所属行业） </w:t>
      </w:r>
      <w:r>
        <w:rPr>
          <w:rFonts w:ascii="宋体" w:hAnsi="宋体" w:cs="宋体"/>
          <w:sz w:val="24"/>
        </w:rPr>
        <w:t>行业；</w:t>
      </w:r>
      <w:r>
        <w:rPr>
          <w:rFonts w:hint="eastAsia" w:ascii="宋体" w:hAnsi="宋体" w:cs="宋体"/>
          <w:sz w:val="24"/>
        </w:rPr>
        <w:t>承建（承接）企业</w:t>
      </w:r>
      <w:r>
        <w:rPr>
          <w:rFonts w:ascii="宋体" w:hAnsi="宋体" w:cs="宋体"/>
          <w:sz w:val="24"/>
        </w:rPr>
        <w:t>为</w:t>
      </w:r>
      <w:r>
        <w:rPr>
          <w:rFonts w:ascii="宋体" w:hAnsi="宋体" w:cs="宋体"/>
          <w:sz w:val="24"/>
          <w:u w:val="single"/>
        </w:rPr>
        <w:t>（企业名称）</w:t>
      </w:r>
      <w:r>
        <w:rPr>
          <w:rFonts w:ascii="宋体" w:hAnsi="宋体" w:cs="宋体"/>
          <w:sz w:val="24"/>
        </w:rPr>
        <w:t>，从业人员</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万元，属于</w:t>
      </w:r>
      <w:r>
        <w:rPr>
          <w:rFonts w:ascii="宋体" w:hAnsi="宋体" w:cs="宋体"/>
          <w:sz w:val="24"/>
          <w:u w:val="single"/>
        </w:rPr>
        <w:t>（中型企业、小型 企业、微型企业）</w:t>
      </w:r>
      <w:r>
        <w:rPr>
          <w:rFonts w:ascii="宋体" w:hAnsi="宋体" w:cs="宋体"/>
          <w:sz w:val="24"/>
        </w:rPr>
        <w:t>；</w:t>
      </w:r>
    </w:p>
    <w:p>
      <w:pPr>
        <w:widowControl/>
        <w:adjustRightInd w:val="0"/>
        <w:snapToGrid w:val="0"/>
        <w:spacing w:line="360" w:lineRule="auto"/>
        <w:ind w:firstLine="600" w:firstLineChars="250"/>
        <w:jc w:val="left"/>
        <w:rPr>
          <w:rFonts w:ascii="宋体" w:hAnsi="宋体" w:cs="宋体"/>
          <w:sz w:val="24"/>
        </w:rPr>
      </w:pPr>
      <w:r>
        <w:rPr>
          <w:rFonts w:ascii="宋体" w:hAnsi="宋体" w:cs="宋体"/>
          <w:sz w:val="24"/>
        </w:rPr>
        <w:t xml:space="preserve"> 2. </w:t>
      </w:r>
      <w:r>
        <w:rPr>
          <w:rFonts w:ascii="宋体" w:hAnsi="宋体" w:cs="宋体"/>
          <w:sz w:val="24"/>
          <w:u w:val="single"/>
        </w:rPr>
        <w:t>（标的名称）</w:t>
      </w:r>
      <w:r>
        <w:rPr>
          <w:rFonts w:ascii="宋体" w:hAnsi="宋体" w:cs="宋体"/>
          <w:sz w:val="24"/>
        </w:rPr>
        <w:t xml:space="preserve"> ，属于</w:t>
      </w:r>
      <w:r>
        <w:rPr>
          <w:rFonts w:ascii="宋体" w:hAnsi="宋体" w:cs="宋体"/>
          <w:sz w:val="24"/>
          <w:u w:val="single"/>
        </w:rPr>
        <w:t xml:space="preserve">（采购文件中明确的所属行业） </w:t>
      </w:r>
      <w:r>
        <w:rPr>
          <w:rFonts w:ascii="宋体" w:hAnsi="宋体" w:cs="宋体"/>
          <w:sz w:val="24"/>
        </w:rPr>
        <w:t>行业；</w:t>
      </w:r>
      <w:r>
        <w:rPr>
          <w:rFonts w:hint="eastAsia" w:ascii="宋体" w:hAnsi="宋体" w:cs="宋体"/>
          <w:sz w:val="24"/>
        </w:rPr>
        <w:t>承建（承接）企业</w:t>
      </w:r>
      <w:r>
        <w:rPr>
          <w:rFonts w:ascii="宋体" w:hAnsi="宋体" w:cs="宋体"/>
          <w:sz w:val="24"/>
        </w:rPr>
        <w:t>为</w:t>
      </w:r>
      <w:r>
        <w:rPr>
          <w:rFonts w:ascii="宋体" w:hAnsi="宋体" w:cs="宋体"/>
          <w:sz w:val="24"/>
          <w:u w:val="single"/>
        </w:rPr>
        <w:t>（企业名称）</w:t>
      </w:r>
      <w:r>
        <w:rPr>
          <w:rFonts w:ascii="宋体" w:hAnsi="宋体" w:cs="宋体"/>
          <w:sz w:val="24"/>
        </w:rPr>
        <w:t>，从业人员</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ascii="宋体" w:hAnsi="宋体" w:cs="宋体"/>
          <w:sz w:val="24"/>
          <w:u w:val="single"/>
        </w:rPr>
        <w:t xml:space="preserve"> </w:t>
      </w:r>
      <w:r>
        <w:rPr>
          <w:rFonts w:ascii="宋体" w:hAnsi="宋体" w:cs="宋体"/>
          <w:sz w:val="24"/>
        </w:rPr>
        <w:t>万元，属于</w:t>
      </w:r>
      <w:r>
        <w:rPr>
          <w:rFonts w:ascii="宋体" w:hAnsi="宋体" w:cs="宋体"/>
          <w:sz w:val="24"/>
          <w:u w:val="single"/>
        </w:rPr>
        <w:t>（中型企业、小型 企业、微型企业）</w:t>
      </w:r>
      <w:r>
        <w:rPr>
          <w:rFonts w:ascii="宋体" w:hAnsi="宋体" w:cs="宋体"/>
          <w:sz w:val="24"/>
        </w:rPr>
        <w:t>；</w:t>
      </w:r>
    </w:p>
    <w:p>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 xml:space="preserve"> ……</w:t>
      </w:r>
    </w:p>
    <w:p>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 xml:space="preserve">以上企业，不属于大企业的分支机构，不存在控股股东为大企业的情形，也不存在与大企业的负责人为同一人的情形。 </w:t>
      </w:r>
    </w:p>
    <w:p>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 xml:space="preserve">本企业对上述声明内容的真实性负责。如有虚假，将依 法承担相应责任。 </w:t>
      </w:r>
    </w:p>
    <w:p>
      <w:pPr>
        <w:widowControl/>
        <w:adjustRightInd w:val="0"/>
        <w:snapToGrid w:val="0"/>
        <w:spacing w:line="360" w:lineRule="auto"/>
        <w:jc w:val="left"/>
        <w:rPr>
          <w:rFonts w:ascii="宋体" w:hAnsi="宋体" w:cs="宋体"/>
          <w:sz w:val="24"/>
        </w:rPr>
      </w:pPr>
    </w:p>
    <w:p>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 xml:space="preserve">企业名称（盖章）： </w:t>
      </w:r>
    </w:p>
    <w:p>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日 期：</w:t>
      </w:r>
    </w:p>
    <w:p>
      <w:pPr>
        <w:widowControl/>
        <w:adjustRightInd w:val="0"/>
        <w:snapToGrid w:val="0"/>
        <w:spacing w:line="360" w:lineRule="auto"/>
        <w:ind w:firstLine="480" w:firstLineChars="200"/>
        <w:jc w:val="left"/>
        <w:rPr>
          <w:rFonts w:ascii="宋体" w:hAnsi="宋体" w:cs="宋体"/>
          <w:sz w:val="24"/>
        </w:rPr>
      </w:pPr>
      <w:r>
        <w:rPr>
          <w:rFonts w:ascii="宋体" w:hAnsi="宋体" w:cs="宋体"/>
          <w:sz w:val="24"/>
        </w:rPr>
        <w:t xml:space="preserve"> </w:t>
      </w:r>
    </w:p>
    <w:p>
      <w:pPr>
        <w:widowControl/>
        <w:adjustRightInd w:val="0"/>
        <w:snapToGrid w:val="0"/>
        <w:spacing w:line="360" w:lineRule="auto"/>
        <w:jc w:val="left"/>
        <w:rPr>
          <w:rFonts w:ascii="宋体" w:hAnsi="宋体" w:cs="宋体"/>
          <w:sz w:val="18"/>
          <w:szCs w:val="18"/>
        </w:rPr>
      </w:pPr>
      <w:r>
        <w:rPr>
          <w:rFonts w:hint="eastAsia" w:ascii="宋体" w:hAnsi="宋体" w:cs="宋体"/>
          <w:sz w:val="18"/>
          <w:szCs w:val="18"/>
        </w:rPr>
        <w:t>注：1、所投产品承建（承接）企业均需在中小企业声明函中列明，并加盖投标单位公章；</w:t>
      </w:r>
    </w:p>
    <w:p>
      <w:pPr>
        <w:widowControl/>
        <w:adjustRightInd w:val="0"/>
        <w:snapToGrid w:val="0"/>
        <w:spacing w:line="360" w:lineRule="auto"/>
        <w:ind w:firstLine="360" w:firstLineChars="200"/>
        <w:jc w:val="left"/>
        <w:rPr>
          <w:rFonts w:ascii="宋体" w:hAnsi="宋体" w:cs="宋体"/>
          <w:sz w:val="18"/>
          <w:szCs w:val="18"/>
        </w:rPr>
      </w:pPr>
      <w:r>
        <w:rPr>
          <w:rFonts w:hint="eastAsia" w:ascii="宋体" w:hAnsi="宋体" w:cs="宋体"/>
          <w:sz w:val="18"/>
          <w:szCs w:val="18"/>
        </w:rPr>
        <w:t>2、</w:t>
      </w:r>
      <w:r>
        <w:rPr>
          <w:rFonts w:ascii="宋体" w:hAnsi="宋体" w:cs="宋体"/>
          <w:sz w:val="18"/>
          <w:szCs w:val="18"/>
        </w:rPr>
        <w:t>从业人员、营业收入、资产总额填报上一年度数据，无上一年度数据的新成立企业可不填报。</w:t>
      </w:r>
    </w:p>
    <w:p>
      <w:pPr>
        <w:outlineLvl w:val="9"/>
        <w:rPr>
          <w:rFonts w:ascii="黑体" w:hAnsi="仿宋" w:cs="宋体"/>
          <w:b w:val="0"/>
          <w:color w:val="auto"/>
          <w:sz w:val="21"/>
          <w:szCs w:val="21"/>
        </w:rPr>
      </w:pPr>
      <w:r>
        <w:rPr>
          <w:rFonts w:hint="eastAsia" w:ascii="黑体" w:hAnsi="仿宋" w:cs="宋体"/>
          <w:b w:val="0"/>
          <w:color w:val="auto"/>
          <w:sz w:val="21"/>
          <w:szCs w:val="21"/>
        </w:rPr>
        <w:br w:type="page"/>
      </w:r>
      <w:r>
        <w:rPr>
          <w:rFonts w:hint="eastAsia" w:ascii="黑体" w:hAnsi="仿宋" w:cs="宋体"/>
          <w:b w:val="0"/>
          <w:color w:val="auto"/>
          <w:sz w:val="21"/>
          <w:szCs w:val="21"/>
        </w:rPr>
        <w:t>附件</w:t>
      </w:r>
      <w:r>
        <w:rPr>
          <w:rFonts w:hint="eastAsia" w:ascii="黑体" w:hAnsi="仿宋" w:cs="宋体"/>
          <w:b w:val="0"/>
          <w:color w:val="auto"/>
          <w:sz w:val="21"/>
          <w:szCs w:val="21"/>
          <w:lang w:val="en-US" w:eastAsia="zh-CN"/>
        </w:rPr>
        <w:t>3</w:t>
      </w:r>
      <w:r>
        <w:rPr>
          <w:rFonts w:hint="eastAsia" w:ascii="黑体" w:hAnsi="仿宋" w:cs="宋体"/>
          <w:b w:val="0"/>
          <w:color w:val="auto"/>
          <w:sz w:val="21"/>
          <w:szCs w:val="21"/>
        </w:rPr>
        <w:t>-3 符合特定资格条件证明材料复印件或者情况说明</w:t>
      </w:r>
      <w:bookmarkEnd w:id="80"/>
      <w:bookmarkEnd w:id="81"/>
    </w:p>
    <w:p>
      <w:pPr>
        <w:widowControl/>
        <w:adjustRightInd w:val="0"/>
        <w:snapToGrid w:val="0"/>
        <w:spacing w:line="360" w:lineRule="auto"/>
        <w:jc w:val="center"/>
        <w:rPr>
          <w:rFonts w:ascii="黑体" w:hAnsi="仿宋" w:eastAsia="黑体" w:cs="宋体"/>
          <w:b/>
          <w:color w:val="auto"/>
          <w:sz w:val="28"/>
          <w:szCs w:val="28"/>
        </w:rPr>
      </w:pPr>
      <w:r>
        <w:rPr>
          <w:rFonts w:hint="eastAsia" w:ascii="黑体" w:hAnsi="仿宋" w:eastAsia="黑体" w:cs="宋体"/>
          <w:b/>
          <w:color w:val="auto"/>
          <w:sz w:val="28"/>
          <w:szCs w:val="28"/>
        </w:rPr>
        <w:t>符合特定资格条件证明材料复印件或者情况说明</w:t>
      </w:r>
    </w:p>
    <w:p>
      <w:pPr>
        <w:pStyle w:val="39"/>
        <w:rPr>
          <w:rFonts w:hint="eastAsia" w:ascii="宋体" w:hAnsi="宋体" w:cs="宋体"/>
          <w:bCs w:val="0"/>
          <w:color w:val="auto"/>
          <w:spacing w:val="0"/>
          <w:sz w:val="21"/>
          <w:szCs w:val="21"/>
        </w:rPr>
        <w:sectPr>
          <w:pgSz w:w="11906" w:h="16838"/>
          <w:pgMar w:top="1440" w:right="1588" w:bottom="1440" w:left="1588" w:header="851" w:footer="992" w:gutter="0"/>
          <w:pgNumType w:fmt="decimal"/>
          <w:cols w:space="720" w:num="1"/>
          <w:docGrid w:type="lines" w:linePitch="312" w:charSpace="0"/>
        </w:sectPr>
      </w:pPr>
    </w:p>
    <w:p>
      <w:pPr>
        <w:adjustRightInd w:val="0"/>
        <w:snapToGrid w:val="0"/>
        <w:spacing w:line="360" w:lineRule="auto"/>
        <w:outlineLvl w:val="9"/>
        <w:rPr>
          <w:rFonts w:hint="eastAsia" w:ascii="黑体" w:hAnsi="仿宋" w:eastAsia="黑体" w:cs="宋体"/>
          <w:bCs/>
          <w:color w:val="auto"/>
          <w:kern w:val="0"/>
          <w:szCs w:val="21"/>
        </w:rPr>
      </w:pPr>
      <w:r>
        <w:rPr>
          <w:rFonts w:hint="eastAsia" w:ascii="黑体" w:hAnsi="仿宋" w:eastAsia="黑体" w:cs="宋体"/>
          <w:bCs/>
          <w:color w:val="auto"/>
          <w:kern w:val="0"/>
          <w:szCs w:val="21"/>
        </w:rPr>
        <w:t>附件</w:t>
      </w:r>
      <w:r>
        <w:rPr>
          <w:rFonts w:hint="eastAsia" w:ascii="黑体" w:hAnsi="仿宋" w:eastAsia="黑体" w:cs="宋体"/>
          <w:bCs/>
          <w:color w:val="auto"/>
          <w:kern w:val="0"/>
          <w:szCs w:val="21"/>
          <w:lang w:val="en-US" w:eastAsia="zh-CN"/>
        </w:rPr>
        <w:t>3</w:t>
      </w:r>
      <w:r>
        <w:rPr>
          <w:rFonts w:hint="eastAsia" w:ascii="黑体" w:hAnsi="仿宋" w:eastAsia="黑体" w:cs="宋体"/>
          <w:bCs/>
          <w:color w:val="auto"/>
          <w:kern w:val="0"/>
          <w:szCs w:val="21"/>
        </w:rPr>
        <w:t>-4：联合体协议（格式）</w:t>
      </w: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color w:val="auto"/>
          <w:sz w:val="28"/>
          <w:szCs w:val="28"/>
        </w:rPr>
        <w:t xml:space="preserve">      联合体协议(格式)</w:t>
      </w:r>
    </w:p>
    <w:p>
      <w:pPr>
        <w:adjustRightInd w:val="0"/>
        <w:snapToGrid w:val="0"/>
        <w:spacing w:line="360" w:lineRule="auto"/>
        <w:rPr>
          <w:rFonts w:hint="eastAsia" w:ascii="宋体" w:hAnsi="宋体" w:cs="宋体"/>
          <w:color w:val="auto"/>
          <w:sz w:val="24"/>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 xml:space="preserve">                 </w:t>
      </w:r>
      <w:r>
        <w:rPr>
          <w:rFonts w:hint="eastAsia" w:ascii="宋体" w:hAnsi="宋体" w:cs="宋体"/>
          <w:color w:val="auto"/>
          <w:szCs w:val="21"/>
        </w:rPr>
        <w:t>(采购人或采购代理机构)：</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经研究，我们决定自愿组成联合体共同申请参加</w:t>
      </w:r>
      <w:r>
        <w:rPr>
          <w:rFonts w:hint="eastAsia" w:ascii="宋体" w:hAnsi="宋体" w:cs="宋体"/>
          <w:color w:val="auto"/>
          <w:szCs w:val="21"/>
          <w:u w:val="single"/>
        </w:rPr>
        <w:t xml:space="preserve">        </w:t>
      </w:r>
      <w:r>
        <w:rPr>
          <w:rFonts w:hint="eastAsia" w:ascii="宋体" w:hAnsi="宋体" w:cs="宋体"/>
          <w:color w:val="auto"/>
          <w:szCs w:val="21"/>
        </w:rPr>
        <w:t>（项目名称）项目</w:t>
      </w:r>
      <w:r>
        <w:rPr>
          <w:rFonts w:hint="eastAsia" w:ascii="宋体" w:hAnsi="宋体" w:cs="宋体"/>
          <w:color w:val="auto"/>
          <w:szCs w:val="21"/>
          <w:u w:val="single"/>
        </w:rPr>
        <w:t xml:space="preserve">        </w:t>
      </w:r>
      <w:r>
        <w:rPr>
          <w:rFonts w:hint="eastAsia" w:ascii="宋体" w:hAnsi="宋体" w:cs="宋体"/>
          <w:color w:val="auto"/>
          <w:szCs w:val="21"/>
        </w:rPr>
        <w:t>（政府采购编号、采购代理编号）的竞争性磋商。现就联合体事宜订立如下协议：</w:t>
      </w:r>
    </w:p>
    <w:p>
      <w:pPr>
        <w:adjustRightInd w:val="0"/>
        <w:snapToGrid w:val="0"/>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一、联合体基本信息：</w:t>
      </w:r>
      <w:r>
        <w:rPr>
          <w:rFonts w:hint="eastAsia" w:ascii="宋体" w:hAnsi="宋体" w:cs="宋体"/>
          <w:color w:val="auto"/>
          <w:szCs w:val="21"/>
          <w:u w:val="single"/>
        </w:rPr>
        <w:t xml:space="preserve">                                  </w:t>
      </w:r>
      <w:r>
        <w:rPr>
          <w:rFonts w:hint="eastAsia" w:ascii="宋体" w:hAnsi="宋体" w:cs="宋体"/>
          <w:color w:val="auto"/>
          <w:szCs w:val="21"/>
        </w:rPr>
        <w:t>（各方公司名称、地址、营业执照、法定代表人姓名）。</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二、</w:t>
      </w:r>
      <w:r>
        <w:rPr>
          <w:rFonts w:hint="eastAsia" w:ascii="宋体" w:hAnsi="宋体" w:cs="宋体"/>
          <w:color w:val="auto"/>
          <w:szCs w:val="21"/>
          <w:u w:val="single"/>
        </w:rPr>
        <w:t xml:space="preserve">         </w:t>
      </w:r>
      <w:r>
        <w:rPr>
          <w:rFonts w:hint="eastAsia" w:ascii="宋体" w:hAnsi="宋体" w:cs="宋体"/>
          <w:color w:val="auto"/>
          <w:szCs w:val="21"/>
        </w:rPr>
        <w:t>（某成员单位名称）为</w:t>
      </w:r>
      <w:r>
        <w:rPr>
          <w:rFonts w:hint="eastAsia" w:ascii="宋体" w:hAnsi="宋体" w:cs="宋体"/>
          <w:color w:val="auto"/>
          <w:szCs w:val="21"/>
          <w:u w:val="single"/>
        </w:rPr>
        <w:t xml:space="preserve">         </w:t>
      </w:r>
      <w:r>
        <w:rPr>
          <w:rFonts w:hint="eastAsia" w:ascii="宋体" w:hAnsi="宋体" w:cs="宋体"/>
          <w:color w:val="auto"/>
          <w:szCs w:val="21"/>
        </w:rPr>
        <w:t>（联合体名称）牵头人。</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四．联合体将严格按照磋商文件的各项要求，递交响应文件，参加磋商，履行成交义务和成交后的合同，并向采购人承担连带责任。</w:t>
      </w:r>
    </w:p>
    <w:p>
      <w:pPr>
        <w:adjustRightInd w:val="0"/>
        <w:snapToGrid w:val="0"/>
        <w:spacing w:line="360" w:lineRule="auto"/>
        <w:ind w:firstLine="420" w:firstLineChars="200"/>
        <w:rPr>
          <w:rFonts w:hint="eastAsia" w:ascii="宋体" w:hAnsi="宋体" w:cs="宋体"/>
          <w:color w:val="auto"/>
          <w:szCs w:val="21"/>
          <w:u w:val="single"/>
        </w:rPr>
      </w:pPr>
      <w:r>
        <w:rPr>
          <w:rFonts w:hint="eastAsia" w:ascii="宋体" w:hAnsi="宋体" w:cs="宋体"/>
          <w:color w:val="auto"/>
          <w:szCs w:val="21"/>
        </w:rPr>
        <w:t>五、联合体各成员单位内部的职责分工如下：</w:t>
      </w:r>
      <w:r>
        <w:rPr>
          <w:rFonts w:hint="eastAsia" w:ascii="宋体" w:hAnsi="宋体" w:cs="宋体"/>
          <w:color w:val="auto"/>
          <w:szCs w:val="21"/>
          <w:u w:val="single"/>
        </w:rPr>
        <w:t xml:space="preserve">               </w:t>
      </w:r>
      <w:r>
        <w:rPr>
          <w:rFonts w:hint="eastAsia" w:ascii="宋体" w:hAnsi="宋体" w:cs="宋体"/>
          <w:color w:val="auto"/>
          <w:szCs w:val="21"/>
        </w:rPr>
        <w:t>。按照本条上述分工，联合体成员单位各自所承担的合同工作量比例如下：</w:t>
      </w:r>
      <w:r>
        <w:rPr>
          <w:rFonts w:hint="eastAsia" w:ascii="宋体" w:hAnsi="宋体" w:cs="宋体"/>
          <w:color w:val="auto"/>
          <w:szCs w:val="21"/>
          <w:u w:val="single"/>
        </w:rPr>
        <w:t xml:space="preserve">               </w:t>
      </w:r>
      <w:r>
        <w:rPr>
          <w:rFonts w:hint="eastAsia" w:ascii="宋体" w:hAnsi="宋体" w:cs="宋体"/>
          <w:color w:val="auto"/>
          <w:szCs w:val="21"/>
        </w:rPr>
        <w:t>。</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六、本协议书自签署之日起生效，合同履行完毕后自动失效。</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七、本协议书一式</w:t>
      </w:r>
      <w:r>
        <w:rPr>
          <w:rFonts w:hint="eastAsia" w:ascii="宋体" w:hAnsi="宋体" w:cs="宋体"/>
          <w:color w:val="auto"/>
          <w:szCs w:val="21"/>
          <w:u w:val="single"/>
        </w:rPr>
        <w:t xml:space="preserve">       </w:t>
      </w:r>
      <w:r>
        <w:rPr>
          <w:rFonts w:hint="eastAsia" w:ascii="宋体" w:hAnsi="宋体" w:cs="宋体"/>
          <w:color w:val="auto"/>
          <w:szCs w:val="21"/>
        </w:rPr>
        <w:t>份，联合体成员和采购人各执一份。</w:t>
      </w:r>
    </w:p>
    <w:p>
      <w:pPr>
        <w:adjustRightInd w:val="0"/>
        <w:snapToGrid w:val="0"/>
        <w:spacing w:line="360" w:lineRule="auto"/>
        <w:rPr>
          <w:rFonts w:hint="eastAsia" w:ascii="宋体" w:hAnsi="宋体" w:cs="宋体"/>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牵头人名称（盖单位章）：</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pPr>
        <w:adjustRightInd w:val="0"/>
        <w:snapToGrid w:val="0"/>
        <w:spacing w:line="360" w:lineRule="auto"/>
        <w:rPr>
          <w:rFonts w:hint="eastAsia" w:ascii="宋体" w:hAnsi="宋体" w:cs="宋体"/>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成员二名称（盖单位章）：</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p>
    <w:p>
      <w:pPr>
        <w:adjustRightInd w:val="0"/>
        <w:snapToGrid w:val="0"/>
        <w:spacing w:line="360" w:lineRule="auto"/>
        <w:rPr>
          <w:rFonts w:hint="eastAsia" w:ascii="宋体" w:hAnsi="宋体" w:cs="宋体"/>
          <w:b/>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说明：1、本协议书由委托代理人签字的，应附法定代表人签字的授权委托书。</w:t>
      </w:r>
    </w:p>
    <w:p>
      <w:pPr>
        <w:adjustRightInd w:val="0"/>
        <w:snapToGrid w:val="0"/>
        <w:spacing w:line="360" w:lineRule="auto"/>
        <w:rPr>
          <w:rFonts w:hint="eastAsia" w:asciiTheme="majorEastAsia" w:hAnsiTheme="majorEastAsia" w:eastAsiaTheme="majorEastAsia" w:cstheme="majorEastAsia"/>
          <w:b/>
          <w:color w:val="auto"/>
          <w:sz w:val="32"/>
          <w:szCs w:val="32"/>
        </w:rPr>
      </w:pPr>
    </w:p>
    <w:p>
      <w:pPr>
        <w:adjustRightInd w:val="0"/>
        <w:snapToGrid w:val="0"/>
        <w:jc w:val="center"/>
        <w:rPr>
          <w:rFonts w:hint="eastAsia" w:asciiTheme="majorEastAsia" w:hAnsiTheme="majorEastAsia" w:eastAsiaTheme="majorEastAsia" w:cstheme="majorEastAsia"/>
          <w:b/>
          <w:color w:val="auto"/>
          <w:sz w:val="32"/>
          <w:szCs w:val="32"/>
        </w:rPr>
      </w:pP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napToGrid w:val="0"/>
        <w:spacing w:line="360" w:lineRule="auto"/>
        <w:jc w:val="center"/>
        <w:rPr>
          <w:rFonts w:hint="eastAsia" w:ascii="华文中宋" w:hAnsi="华文中宋" w:eastAsia="华文中宋"/>
          <w:bCs/>
          <w:color w:val="auto"/>
          <w:sz w:val="72"/>
          <w:szCs w:val="72"/>
        </w:rPr>
      </w:pPr>
      <w:r>
        <w:rPr>
          <w:rFonts w:hint="eastAsia" w:ascii="华文中宋" w:hAnsi="华文中宋" w:eastAsia="华文中宋"/>
          <w:bCs/>
          <w:color w:val="auto"/>
          <w:sz w:val="72"/>
          <w:szCs w:val="72"/>
        </w:rPr>
        <w:t>竞争性磋商</w:t>
      </w:r>
    </w:p>
    <w:p>
      <w:pPr>
        <w:adjustRightInd w:val="0"/>
        <w:snapToGrid w:val="0"/>
        <w:spacing w:line="360" w:lineRule="auto"/>
        <w:jc w:val="center"/>
        <w:rPr>
          <w:rFonts w:ascii="宋体" w:hAnsi="宋体"/>
          <w:b/>
          <w:bCs/>
          <w:color w:val="auto"/>
          <w:sz w:val="84"/>
          <w:szCs w:val="84"/>
        </w:rPr>
      </w:pPr>
      <w:r>
        <w:rPr>
          <w:rFonts w:hint="eastAsia" w:ascii="宋体" w:hAnsi="宋体"/>
          <w:b/>
          <w:bCs/>
          <w:color w:val="auto"/>
          <w:sz w:val="84"/>
          <w:szCs w:val="84"/>
        </w:rPr>
        <w:t>响 应 文 件</w:t>
      </w:r>
    </w:p>
    <w:p>
      <w:pPr>
        <w:keepNext/>
        <w:keepLines/>
        <w:adjustRightInd w:val="0"/>
        <w:snapToGrid w:val="0"/>
        <w:jc w:val="center"/>
        <w:rPr>
          <w:rFonts w:hint="eastAsia" w:ascii="黑体" w:hAnsi="黑体" w:eastAsia="黑体"/>
          <w:color w:val="auto"/>
          <w:sz w:val="44"/>
          <w:szCs w:val="44"/>
        </w:rPr>
      </w:pPr>
      <w:bookmarkStart w:id="82" w:name="_Toc28561"/>
      <w:bookmarkStart w:id="83" w:name="_Toc8247"/>
    </w:p>
    <w:p>
      <w:pPr>
        <w:pStyle w:val="7"/>
        <w:adjustRightInd w:val="0"/>
        <w:snapToGrid w:val="0"/>
        <w:jc w:val="center"/>
        <w:rPr>
          <w:rFonts w:ascii="黑体" w:hAnsi="黑体" w:eastAsia="黑体"/>
          <w:color w:val="auto"/>
          <w:sz w:val="44"/>
          <w:szCs w:val="44"/>
        </w:rPr>
      </w:pPr>
      <w:bookmarkStart w:id="84" w:name="_Toc581"/>
      <w:bookmarkStart w:id="85" w:name="_Toc29703"/>
      <w:r>
        <w:rPr>
          <w:rFonts w:hint="eastAsia" w:ascii="黑体" w:hAnsi="黑体" w:eastAsia="黑体"/>
          <w:color w:val="auto"/>
          <w:sz w:val="44"/>
          <w:szCs w:val="44"/>
        </w:rPr>
        <w:t>第二部分 商务技术文件</w:t>
      </w:r>
      <w:bookmarkEnd w:id="82"/>
      <w:bookmarkEnd w:id="83"/>
      <w:bookmarkEnd w:id="84"/>
      <w:bookmarkEnd w:id="85"/>
    </w:p>
    <w:p>
      <w:pPr>
        <w:pStyle w:val="12"/>
        <w:adjustRightInd w:val="0"/>
        <w:snapToGrid w:val="0"/>
        <w:spacing w:line="360" w:lineRule="auto"/>
        <w:ind w:firstLine="1988" w:firstLineChars="660"/>
        <w:rPr>
          <w:rFonts w:hAnsi="宋体"/>
          <w:b/>
          <w:bCs/>
          <w:color w:val="auto"/>
          <w:sz w:val="30"/>
          <w:szCs w:val="30"/>
        </w:rPr>
      </w:pP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采购项目名称:</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rPr>
      </w:pPr>
      <w:r>
        <w:rPr>
          <w:rFonts w:hint="eastAsia" w:hAnsi="宋体"/>
          <w:b/>
          <w:bCs/>
          <w:color w:val="auto"/>
          <w:sz w:val="30"/>
          <w:szCs w:val="30"/>
        </w:rPr>
        <w:t>采   购   人：</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政府采购编号:</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采购代理编号:</w:t>
      </w:r>
      <w:r>
        <w:rPr>
          <w:rFonts w:hint="eastAsia" w:hAnsi="宋体"/>
          <w:b/>
          <w:bCs/>
          <w:color w:val="auto"/>
          <w:sz w:val="30"/>
          <w:szCs w:val="30"/>
          <w:u w:val="single"/>
        </w:rPr>
        <w:t xml:space="preserve">                       </w:t>
      </w:r>
    </w:p>
    <w:p>
      <w:pPr>
        <w:pStyle w:val="12"/>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采购代理机构：</w:t>
      </w:r>
      <w:r>
        <w:rPr>
          <w:rFonts w:hint="eastAsia" w:hAnsi="宋体"/>
          <w:b/>
          <w:bCs/>
          <w:color w:val="auto"/>
          <w:sz w:val="30"/>
          <w:szCs w:val="30"/>
          <w:u w:val="single"/>
        </w:rPr>
        <w:t xml:space="preserve">                     </w:t>
      </w:r>
    </w:p>
    <w:p>
      <w:pPr>
        <w:adjustRightInd w:val="0"/>
        <w:snapToGrid w:val="0"/>
        <w:spacing w:line="360" w:lineRule="auto"/>
        <w:rPr>
          <w:rFonts w:ascii="宋体" w:hAnsi="宋体"/>
          <w:color w:val="auto"/>
          <w:sz w:val="30"/>
          <w:szCs w:val="30"/>
        </w:rPr>
      </w:pPr>
    </w:p>
    <w:p>
      <w:pPr>
        <w:adjustRightInd w:val="0"/>
        <w:snapToGrid w:val="0"/>
        <w:spacing w:line="360" w:lineRule="auto"/>
        <w:rPr>
          <w:rFonts w:ascii="宋体" w:hAnsi="宋体"/>
          <w:color w:val="auto"/>
          <w:sz w:val="30"/>
          <w:szCs w:val="30"/>
        </w:rPr>
      </w:pPr>
    </w:p>
    <w:p>
      <w:pPr>
        <w:adjustRightInd w:val="0"/>
        <w:snapToGrid w:val="0"/>
        <w:spacing w:line="360" w:lineRule="auto"/>
        <w:ind w:left="1273" w:leftChars="606" w:firstLine="2"/>
        <w:rPr>
          <w:rFonts w:ascii="宋体" w:hAnsi="宋体"/>
          <w:b/>
          <w:bCs/>
          <w:color w:val="auto"/>
          <w:sz w:val="32"/>
          <w:szCs w:val="32"/>
          <w:u w:val="single"/>
        </w:rPr>
      </w:pPr>
      <w:r>
        <w:rPr>
          <w:rFonts w:hint="eastAsia" w:ascii="宋体" w:hAnsi="宋体"/>
          <w:b/>
          <w:bCs/>
          <w:color w:val="auto"/>
          <w:sz w:val="32"/>
          <w:szCs w:val="32"/>
        </w:rPr>
        <w:t>供应商</w:t>
      </w:r>
      <w:r>
        <w:rPr>
          <w:rFonts w:hint="eastAsia" w:ascii="宋体" w:hAnsi="宋体"/>
          <w:b/>
          <w:bCs/>
          <w:color w:val="auto"/>
          <w:sz w:val="32"/>
          <w:szCs w:val="32"/>
          <w:u w:val="single"/>
        </w:rPr>
        <w:t xml:space="preserve">                         </w:t>
      </w:r>
    </w:p>
    <w:p>
      <w:pPr>
        <w:adjustRightInd w:val="0"/>
        <w:snapToGrid w:val="0"/>
        <w:spacing w:line="360" w:lineRule="auto"/>
        <w:jc w:val="center"/>
        <w:rPr>
          <w:rFonts w:ascii="宋体" w:hAnsi="宋体"/>
          <w:color w:val="auto"/>
          <w:sz w:val="32"/>
          <w:szCs w:val="32"/>
        </w:rPr>
      </w:pPr>
      <w:r>
        <w:rPr>
          <w:rFonts w:hint="eastAsia" w:ascii="宋体" w:hAnsi="宋体"/>
          <w:color w:val="auto"/>
          <w:sz w:val="32"/>
          <w:szCs w:val="32"/>
        </w:rPr>
        <w:t>年  月  日</w:t>
      </w: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pacing w:before="120" w:beforeLines="50" w:after="0" w:line="360" w:lineRule="auto"/>
        <w:jc w:val="left"/>
        <w:outlineLvl w:val="9"/>
        <w:rPr>
          <w:rFonts w:ascii="黑体" w:hAnsi="黑体"/>
          <w:b w:val="0"/>
          <w:color w:val="auto"/>
          <w:sz w:val="21"/>
          <w:szCs w:val="21"/>
        </w:rPr>
      </w:pPr>
      <w:r>
        <w:rPr>
          <w:rFonts w:hint="eastAsia" w:ascii="黑体" w:hAnsi="黑体"/>
          <w:b w:val="0"/>
          <w:color w:val="auto"/>
          <w:sz w:val="21"/>
          <w:szCs w:val="21"/>
        </w:rPr>
        <w:t>索引表2 符合性审查索引表</w:t>
      </w:r>
    </w:p>
    <w:p>
      <w:pPr>
        <w:adjustRightInd w:val="0"/>
        <w:spacing w:before="120"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符合性审查索引表</w:t>
      </w: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21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pPr>
              <w:adjustRightInd w:val="0"/>
              <w:snapToGrid w:val="0"/>
              <w:spacing w:before="120" w:beforeLines="50" w:line="360" w:lineRule="auto"/>
              <w:jc w:val="center"/>
              <w:rPr>
                <w:rFonts w:ascii="宋体" w:hAnsi="宋体"/>
                <w:b/>
                <w:color w:val="auto"/>
                <w:kern w:val="0"/>
                <w:szCs w:val="21"/>
              </w:rPr>
            </w:pPr>
            <w:r>
              <w:rPr>
                <w:rFonts w:hint="eastAsia" w:ascii="宋体" w:hAnsi="宋体"/>
                <w:b/>
                <w:color w:val="auto"/>
                <w:kern w:val="0"/>
                <w:szCs w:val="21"/>
              </w:rPr>
              <w:t>序号</w:t>
            </w:r>
          </w:p>
        </w:tc>
        <w:tc>
          <w:tcPr>
            <w:tcW w:w="1871" w:type="dxa"/>
            <w:tcBorders>
              <w:right w:val="single" w:color="auto" w:sz="4" w:space="0"/>
            </w:tcBorders>
            <w:noWrap w:val="0"/>
            <w:vAlign w:val="center"/>
          </w:tcPr>
          <w:p>
            <w:pPr>
              <w:adjustRightInd w:val="0"/>
              <w:snapToGrid w:val="0"/>
              <w:spacing w:before="120" w:beforeLines="50" w:line="360" w:lineRule="auto"/>
              <w:jc w:val="center"/>
              <w:rPr>
                <w:rFonts w:hint="eastAsia" w:ascii="宋体" w:hAnsi="宋体"/>
                <w:b/>
                <w:color w:val="auto"/>
                <w:kern w:val="0"/>
                <w:szCs w:val="21"/>
              </w:rPr>
            </w:pPr>
            <w:r>
              <w:rPr>
                <w:rFonts w:hint="eastAsia" w:ascii="宋体" w:hAnsi="宋体"/>
                <w:b/>
                <w:color w:val="auto"/>
                <w:kern w:val="0"/>
                <w:szCs w:val="21"/>
              </w:rPr>
              <w:t>磋商文件条款号</w:t>
            </w:r>
          </w:p>
        </w:tc>
        <w:tc>
          <w:tcPr>
            <w:tcW w:w="2410" w:type="dxa"/>
            <w:tcBorders>
              <w:left w:val="single" w:color="auto" w:sz="4" w:space="0"/>
            </w:tcBorders>
            <w:noWrap w:val="0"/>
            <w:vAlign w:val="center"/>
          </w:tcPr>
          <w:p>
            <w:pPr>
              <w:adjustRightInd w:val="0"/>
              <w:snapToGrid w:val="0"/>
              <w:spacing w:before="120" w:beforeLines="50" w:line="360" w:lineRule="auto"/>
              <w:jc w:val="center"/>
              <w:rPr>
                <w:rFonts w:hint="eastAsia" w:ascii="宋体" w:hAnsi="宋体"/>
                <w:b/>
                <w:color w:val="auto"/>
                <w:kern w:val="0"/>
                <w:szCs w:val="21"/>
              </w:rPr>
            </w:pPr>
            <w:r>
              <w:rPr>
                <w:rFonts w:hint="eastAsia" w:ascii="宋体" w:hAnsi="宋体"/>
                <w:b/>
                <w:color w:val="auto"/>
                <w:kern w:val="0"/>
                <w:szCs w:val="21"/>
              </w:rPr>
              <w:t>审查内容及标准</w:t>
            </w:r>
          </w:p>
        </w:tc>
        <w:tc>
          <w:tcPr>
            <w:tcW w:w="2268" w:type="dxa"/>
            <w:noWrap w:val="0"/>
            <w:vAlign w:val="center"/>
          </w:tcPr>
          <w:p>
            <w:pPr>
              <w:adjustRightInd w:val="0"/>
              <w:snapToGrid w:val="0"/>
              <w:spacing w:before="120" w:beforeLines="50" w:line="360" w:lineRule="auto"/>
              <w:jc w:val="center"/>
              <w:rPr>
                <w:rFonts w:ascii="宋体" w:hAnsi="宋体"/>
                <w:b/>
                <w:color w:val="auto"/>
                <w:kern w:val="0"/>
                <w:szCs w:val="21"/>
              </w:rPr>
            </w:pPr>
            <w:r>
              <w:rPr>
                <w:rFonts w:hint="eastAsia" w:ascii="宋体" w:hAnsi="宋体"/>
                <w:b/>
                <w:color w:val="auto"/>
                <w:kern w:val="0"/>
                <w:szCs w:val="21"/>
              </w:rPr>
              <w:t>磋商响应及证明材料</w:t>
            </w:r>
          </w:p>
        </w:tc>
        <w:tc>
          <w:tcPr>
            <w:tcW w:w="2109" w:type="dxa"/>
            <w:noWrap w:val="0"/>
            <w:vAlign w:val="center"/>
          </w:tcPr>
          <w:p>
            <w:pPr>
              <w:adjustRightInd w:val="0"/>
              <w:snapToGrid w:val="0"/>
              <w:spacing w:before="120" w:beforeLines="50" w:line="360" w:lineRule="auto"/>
              <w:jc w:val="center"/>
              <w:rPr>
                <w:rFonts w:ascii="宋体" w:hAnsi="宋体"/>
                <w:b/>
                <w:color w:val="auto"/>
                <w:kern w:val="0"/>
                <w:sz w:val="20"/>
                <w:szCs w:val="21"/>
              </w:rPr>
            </w:pPr>
            <w:r>
              <w:rPr>
                <w:rFonts w:hint="eastAsia" w:ascii="宋体" w:hAnsi="宋体"/>
                <w:b/>
                <w:color w:val="auto"/>
                <w:kern w:val="0"/>
                <w:szCs w:val="21"/>
              </w:rPr>
              <w:t>响应文件对应内容的册及页码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789"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1871" w:type="dxa"/>
            <w:tcBorders>
              <w:righ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410" w:type="dxa"/>
            <w:tcBorders>
              <w:left w:val="single" w:color="auto" w:sz="4" w:space="0"/>
            </w:tcBorders>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268" w:type="dxa"/>
            <w:noWrap w:val="0"/>
            <w:vAlign w:val="top"/>
          </w:tcPr>
          <w:p>
            <w:pPr>
              <w:adjustRightInd w:val="0"/>
              <w:snapToGrid w:val="0"/>
              <w:spacing w:before="120" w:beforeLines="50" w:line="360" w:lineRule="auto"/>
              <w:jc w:val="center"/>
              <w:rPr>
                <w:rFonts w:ascii="宋体" w:hAnsi="宋体"/>
                <w:color w:val="auto"/>
                <w:kern w:val="0"/>
                <w:sz w:val="20"/>
                <w:szCs w:val="21"/>
              </w:rPr>
            </w:pPr>
          </w:p>
        </w:tc>
        <w:tc>
          <w:tcPr>
            <w:tcW w:w="2109" w:type="dxa"/>
            <w:noWrap w:val="0"/>
            <w:vAlign w:val="top"/>
          </w:tcPr>
          <w:p>
            <w:pPr>
              <w:adjustRightInd w:val="0"/>
              <w:snapToGrid w:val="0"/>
              <w:spacing w:before="120" w:beforeLines="50" w:line="360" w:lineRule="auto"/>
              <w:jc w:val="center"/>
              <w:rPr>
                <w:rFonts w:ascii="宋体" w:hAnsi="宋体"/>
                <w:color w:val="auto"/>
                <w:kern w:val="0"/>
                <w:sz w:val="20"/>
                <w:szCs w:val="21"/>
              </w:rPr>
            </w:pPr>
          </w:p>
        </w:tc>
      </w:tr>
    </w:tbl>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napToGrid w:val="0"/>
        <w:jc w:val="center"/>
        <w:outlineLvl w:val="2"/>
        <w:rPr>
          <w:rFonts w:hint="eastAsia" w:ascii="宋体" w:hAnsi="宋体" w:cs="宋体"/>
          <w:b/>
          <w:color w:val="auto"/>
          <w:sz w:val="32"/>
          <w:szCs w:val="32"/>
        </w:rPr>
      </w:pPr>
      <w:bookmarkStart w:id="86" w:name="_Toc572"/>
      <w:r>
        <w:rPr>
          <w:rFonts w:hint="eastAsia" w:ascii="宋体" w:hAnsi="宋体" w:cs="宋体"/>
          <w:b/>
          <w:color w:val="auto"/>
          <w:sz w:val="32"/>
          <w:szCs w:val="32"/>
          <w:lang w:eastAsia="zh-CN"/>
        </w:rPr>
        <w:t>四</w:t>
      </w:r>
      <w:r>
        <w:rPr>
          <w:rFonts w:hint="eastAsia" w:ascii="宋体" w:hAnsi="宋体" w:cs="宋体"/>
          <w:b/>
          <w:color w:val="auto"/>
          <w:sz w:val="32"/>
          <w:szCs w:val="32"/>
        </w:rPr>
        <w:t>、技术/商务响应与偏离表</w:t>
      </w:r>
      <w:bookmarkEnd w:id="86"/>
    </w:p>
    <w:p>
      <w:pPr>
        <w:adjustRightInd w:val="0"/>
        <w:snapToGrid w:val="0"/>
        <w:ind w:firstLine="420" w:firstLineChars="200"/>
        <w:rPr>
          <w:rFonts w:hint="eastAsia" w:ascii="宋体" w:hAnsi="宋体" w:cs="宋体"/>
          <w:color w:val="auto"/>
          <w:szCs w:val="21"/>
          <w:u w:val="single"/>
        </w:rPr>
      </w:pP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160"/>
        <w:gridCol w:w="72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pPr>
              <w:adjustRightInd w:val="0"/>
              <w:snapToGrid w:val="0"/>
              <w:jc w:val="center"/>
              <w:rPr>
                <w:rFonts w:hint="eastAsia" w:ascii="宋体" w:hAnsi="宋体" w:cs="宋体"/>
                <w:bCs/>
                <w:color w:val="auto"/>
                <w:szCs w:val="21"/>
              </w:rPr>
            </w:pPr>
            <w:r>
              <w:rPr>
                <w:rFonts w:hint="eastAsia" w:ascii="宋体" w:hAnsi="宋体" w:cs="宋体"/>
                <w:bCs/>
                <w:color w:val="auto"/>
                <w:szCs w:val="21"/>
              </w:rPr>
              <w:t>序号</w:t>
            </w:r>
          </w:p>
        </w:tc>
        <w:tc>
          <w:tcPr>
            <w:tcW w:w="1685"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磋商文件条目号</w:t>
            </w:r>
          </w:p>
        </w:tc>
        <w:tc>
          <w:tcPr>
            <w:tcW w:w="1948"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技术/商务条款</w:t>
            </w:r>
          </w:p>
        </w:tc>
        <w:tc>
          <w:tcPr>
            <w:tcW w:w="2600"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响应文件技术/商务条款</w:t>
            </w:r>
          </w:p>
        </w:tc>
        <w:tc>
          <w:tcPr>
            <w:tcW w:w="1160"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响应与偏离</w:t>
            </w:r>
          </w:p>
        </w:tc>
        <w:tc>
          <w:tcPr>
            <w:tcW w:w="720" w:type="dxa"/>
            <w:noWrap w:val="0"/>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color w:val="auto"/>
                <w:szCs w:val="21"/>
              </w:rPr>
            </w:pPr>
          </w:p>
        </w:tc>
        <w:tc>
          <w:tcPr>
            <w:tcW w:w="1685" w:type="dxa"/>
            <w:noWrap w:val="0"/>
            <w:vAlign w:val="center"/>
          </w:tcPr>
          <w:p>
            <w:pPr>
              <w:adjustRightInd w:val="0"/>
              <w:snapToGrid w:val="0"/>
              <w:ind w:firstLine="420" w:firstLineChars="200"/>
              <w:jc w:val="center"/>
              <w:rPr>
                <w:rFonts w:hint="eastAsia" w:ascii="宋体" w:hAnsi="宋体" w:cs="宋体"/>
                <w:color w:val="auto"/>
                <w:szCs w:val="21"/>
              </w:rPr>
            </w:pPr>
          </w:p>
        </w:tc>
        <w:tc>
          <w:tcPr>
            <w:tcW w:w="1948" w:type="dxa"/>
            <w:noWrap w:val="0"/>
            <w:vAlign w:val="center"/>
          </w:tcPr>
          <w:p>
            <w:pPr>
              <w:adjustRightInd w:val="0"/>
              <w:snapToGrid w:val="0"/>
              <w:ind w:firstLine="420" w:firstLineChars="200"/>
              <w:jc w:val="center"/>
              <w:rPr>
                <w:rFonts w:hint="eastAsia" w:ascii="宋体" w:hAnsi="宋体" w:cs="宋体"/>
                <w:color w:val="auto"/>
                <w:szCs w:val="21"/>
              </w:rPr>
            </w:pPr>
          </w:p>
        </w:tc>
        <w:tc>
          <w:tcPr>
            <w:tcW w:w="2600" w:type="dxa"/>
            <w:noWrap w:val="0"/>
            <w:vAlign w:val="center"/>
          </w:tcPr>
          <w:p>
            <w:pPr>
              <w:adjustRightInd w:val="0"/>
              <w:snapToGrid w:val="0"/>
              <w:ind w:firstLine="420" w:firstLineChars="200"/>
              <w:jc w:val="center"/>
              <w:rPr>
                <w:rFonts w:hint="eastAsia" w:ascii="宋体" w:hAnsi="宋体" w:cs="宋体"/>
                <w:color w:val="auto"/>
                <w:szCs w:val="21"/>
              </w:rPr>
            </w:pPr>
          </w:p>
        </w:tc>
        <w:tc>
          <w:tcPr>
            <w:tcW w:w="1160" w:type="dxa"/>
            <w:noWrap w:val="0"/>
            <w:vAlign w:val="center"/>
          </w:tcPr>
          <w:p>
            <w:pPr>
              <w:adjustRightInd w:val="0"/>
              <w:snapToGrid w:val="0"/>
              <w:ind w:firstLine="420" w:firstLineChars="200"/>
              <w:jc w:val="center"/>
              <w:rPr>
                <w:rFonts w:hint="eastAsia" w:ascii="宋体" w:hAnsi="宋体" w:cs="宋体"/>
                <w:color w:val="auto"/>
                <w:szCs w:val="21"/>
              </w:rPr>
            </w:pPr>
          </w:p>
        </w:tc>
        <w:tc>
          <w:tcPr>
            <w:tcW w:w="720" w:type="dxa"/>
            <w:noWrap w:val="0"/>
            <w:vAlign w:val="center"/>
          </w:tcPr>
          <w:p>
            <w:pPr>
              <w:adjustRightInd w:val="0"/>
              <w:snapToGrid w:val="0"/>
              <w:ind w:firstLine="420" w:firstLineChars="200"/>
              <w:jc w:val="center"/>
              <w:rPr>
                <w:rFonts w:hint="eastAsia"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color w:val="auto"/>
                <w:szCs w:val="21"/>
              </w:rPr>
            </w:pPr>
          </w:p>
        </w:tc>
        <w:tc>
          <w:tcPr>
            <w:tcW w:w="1685" w:type="dxa"/>
            <w:noWrap w:val="0"/>
            <w:vAlign w:val="center"/>
          </w:tcPr>
          <w:p>
            <w:pPr>
              <w:adjustRightInd w:val="0"/>
              <w:snapToGrid w:val="0"/>
              <w:ind w:firstLine="420" w:firstLineChars="200"/>
              <w:jc w:val="center"/>
              <w:rPr>
                <w:rFonts w:hint="eastAsia" w:ascii="宋体" w:hAnsi="宋体" w:cs="宋体"/>
                <w:color w:val="auto"/>
                <w:szCs w:val="21"/>
              </w:rPr>
            </w:pPr>
          </w:p>
        </w:tc>
        <w:tc>
          <w:tcPr>
            <w:tcW w:w="1948" w:type="dxa"/>
            <w:noWrap w:val="0"/>
            <w:vAlign w:val="center"/>
          </w:tcPr>
          <w:p>
            <w:pPr>
              <w:adjustRightInd w:val="0"/>
              <w:snapToGrid w:val="0"/>
              <w:ind w:firstLine="420" w:firstLineChars="200"/>
              <w:jc w:val="center"/>
              <w:rPr>
                <w:rFonts w:hint="eastAsia" w:ascii="宋体" w:hAnsi="宋体" w:cs="宋体"/>
                <w:color w:val="auto"/>
                <w:szCs w:val="21"/>
              </w:rPr>
            </w:pPr>
          </w:p>
        </w:tc>
        <w:tc>
          <w:tcPr>
            <w:tcW w:w="2600" w:type="dxa"/>
            <w:noWrap w:val="0"/>
            <w:vAlign w:val="center"/>
          </w:tcPr>
          <w:p>
            <w:pPr>
              <w:adjustRightInd w:val="0"/>
              <w:snapToGrid w:val="0"/>
              <w:ind w:firstLine="420" w:firstLineChars="200"/>
              <w:jc w:val="center"/>
              <w:rPr>
                <w:rFonts w:hint="eastAsia" w:ascii="宋体" w:hAnsi="宋体" w:cs="宋体"/>
                <w:color w:val="auto"/>
                <w:szCs w:val="21"/>
              </w:rPr>
            </w:pPr>
          </w:p>
        </w:tc>
        <w:tc>
          <w:tcPr>
            <w:tcW w:w="1160" w:type="dxa"/>
            <w:noWrap w:val="0"/>
            <w:vAlign w:val="center"/>
          </w:tcPr>
          <w:p>
            <w:pPr>
              <w:adjustRightInd w:val="0"/>
              <w:snapToGrid w:val="0"/>
              <w:ind w:firstLine="420" w:firstLineChars="200"/>
              <w:jc w:val="center"/>
              <w:rPr>
                <w:rFonts w:hint="eastAsia" w:ascii="宋体" w:hAnsi="宋体" w:cs="宋体"/>
                <w:color w:val="auto"/>
                <w:szCs w:val="21"/>
              </w:rPr>
            </w:pPr>
          </w:p>
        </w:tc>
        <w:tc>
          <w:tcPr>
            <w:tcW w:w="720" w:type="dxa"/>
            <w:noWrap w:val="0"/>
            <w:vAlign w:val="center"/>
          </w:tcPr>
          <w:p>
            <w:pPr>
              <w:adjustRightInd w:val="0"/>
              <w:snapToGrid w:val="0"/>
              <w:ind w:firstLine="420" w:firstLineChars="200"/>
              <w:jc w:val="center"/>
              <w:rPr>
                <w:rFonts w:hint="eastAsia"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color w:val="auto"/>
                <w:szCs w:val="21"/>
              </w:rPr>
            </w:pPr>
          </w:p>
        </w:tc>
        <w:tc>
          <w:tcPr>
            <w:tcW w:w="1685" w:type="dxa"/>
            <w:noWrap w:val="0"/>
            <w:vAlign w:val="center"/>
          </w:tcPr>
          <w:p>
            <w:pPr>
              <w:adjustRightInd w:val="0"/>
              <w:snapToGrid w:val="0"/>
              <w:ind w:firstLine="420" w:firstLineChars="200"/>
              <w:jc w:val="center"/>
              <w:rPr>
                <w:rFonts w:hint="eastAsia" w:ascii="宋体" w:hAnsi="宋体" w:cs="宋体"/>
                <w:color w:val="auto"/>
                <w:szCs w:val="21"/>
              </w:rPr>
            </w:pPr>
          </w:p>
        </w:tc>
        <w:tc>
          <w:tcPr>
            <w:tcW w:w="1948" w:type="dxa"/>
            <w:noWrap w:val="0"/>
            <w:vAlign w:val="center"/>
          </w:tcPr>
          <w:p>
            <w:pPr>
              <w:adjustRightInd w:val="0"/>
              <w:snapToGrid w:val="0"/>
              <w:ind w:firstLine="420" w:firstLineChars="200"/>
              <w:jc w:val="center"/>
              <w:rPr>
                <w:rFonts w:hint="eastAsia" w:ascii="宋体" w:hAnsi="宋体" w:cs="宋体"/>
                <w:color w:val="auto"/>
                <w:szCs w:val="21"/>
              </w:rPr>
            </w:pPr>
          </w:p>
        </w:tc>
        <w:tc>
          <w:tcPr>
            <w:tcW w:w="2600" w:type="dxa"/>
            <w:noWrap w:val="0"/>
            <w:vAlign w:val="center"/>
          </w:tcPr>
          <w:p>
            <w:pPr>
              <w:adjustRightInd w:val="0"/>
              <w:snapToGrid w:val="0"/>
              <w:ind w:firstLine="420" w:firstLineChars="200"/>
              <w:jc w:val="center"/>
              <w:rPr>
                <w:rFonts w:hint="eastAsia" w:ascii="宋体" w:hAnsi="宋体" w:cs="宋体"/>
                <w:color w:val="auto"/>
                <w:szCs w:val="21"/>
              </w:rPr>
            </w:pPr>
          </w:p>
        </w:tc>
        <w:tc>
          <w:tcPr>
            <w:tcW w:w="1160" w:type="dxa"/>
            <w:noWrap w:val="0"/>
            <w:vAlign w:val="center"/>
          </w:tcPr>
          <w:p>
            <w:pPr>
              <w:adjustRightInd w:val="0"/>
              <w:snapToGrid w:val="0"/>
              <w:ind w:firstLine="420" w:firstLineChars="200"/>
              <w:jc w:val="center"/>
              <w:rPr>
                <w:rFonts w:hint="eastAsia" w:ascii="宋体" w:hAnsi="宋体" w:cs="宋体"/>
                <w:color w:val="auto"/>
                <w:szCs w:val="21"/>
              </w:rPr>
            </w:pPr>
          </w:p>
        </w:tc>
        <w:tc>
          <w:tcPr>
            <w:tcW w:w="720" w:type="dxa"/>
            <w:noWrap w:val="0"/>
            <w:vAlign w:val="center"/>
          </w:tcPr>
          <w:p>
            <w:pPr>
              <w:adjustRightInd w:val="0"/>
              <w:snapToGrid w:val="0"/>
              <w:ind w:firstLine="420" w:firstLineChars="200"/>
              <w:jc w:val="center"/>
              <w:rPr>
                <w:rFonts w:hint="eastAsia"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color w:val="auto"/>
                <w:szCs w:val="21"/>
              </w:rPr>
            </w:pPr>
          </w:p>
        </w:tc>
        <w:tc>
          <w:tcPr>
            <w:tcW w:w="1685" w:type="dxa"/>
            <w:noWrap w:val="0"/>
            <w:vAlign w:val="center"/>
          </w:tcPr>
          <w:p>
            <w:pPr>
              <w:adjustRightInd w:val="0"/>
              <w:snapToGrid w:val="0"/>
              <w:ind w:firstLine="420" w:firstLineChars="200"/>
              <w:jc w:val="center"/>
              <w:rPr>
                <w:rFonts w:hint="eastAsia" w:ascii="宋体" w:hAnsi="宋体" w:cs="宋体"/>
                <w:color w:val="auto"/>
                <w:szCs w:val="21"/>
              </w:rPr>
            </w:pPr>
          </w:p>
        </w:tc>
        <w:tc>
          <w:tcPr>
            <w:tcW w:w="1948" w:type="dxa"/>
            <w:noWrap w:val="0"/>
            <w:vAlign w:val="center"/>
          </w:tcPr>
          <w:p>
            <w:pPr>
              <w:adjustRightInd w:val="0"/>
              <w:snapToGrid w:val="0"/>
              <w:ind w:firstLine="420" w:firstLineChars="200"/>
              <w:jc w:val="center"/>
              <w:rPr>
                <w:rFonts w:hint="eastAsia" w:ascii="宋体" w:hAnsi="宋体" w:cs="宋体"/>
                <w:color w:val="auto"/>
                <w:szCs w:val="21"/>
              </w:rPr>
            </w:pPr>
          </w:p>
        </w:tc>
        <w:tc>
          <w:tcPr>
            <w:tcW w:w="2600" w:type="dxa"/>
            <w:noWrap w:val="0"/>
            <w:vAlign w:val="center"/>
          </w:tcPr>
          <w:p>
            <w:pPr>
              <w:adjustRightInd w:val="0"/>
              <w:snapToGrid w:val="0"/>
              <w:ind w:firstLine="420" w:firstLineChars="200"/>
              <w:jc w:val="center"/>
              <w:rPr>
                <w:rFonts w:hint="eastAsia" w:ascii="宋体" w:hAnsi="宋体" w:cs="宋体"/>
                <w:color w:val="auto"/>
                <w:szCs w:val="21"/>
              </w:rPr>
            </w:pPr>
          </w:p>
        </w:tc>
        <w:tc>
          <w:tcPr>
            <w:tcW w:w="1160" w:type="dxa"/>
            <w:noWrap w:val="0"/>
            <w:vAlign w:val="center"/>
          </w:tcPr>
          <w:p>
            <w:pPr>
              <w:adjustRightInd w:val="0"/>
              <w:snapToGrid w:val="0"/>
              <w:ind w:firstLine="420" w:firstLineChars="200"/>
              <w:jc w:val="center"/>
              <w:rPr>
                <w:rFonts w:hint="eastAsia" w:ascii="宋体" w:hAnsi="宋体" w:cs="宋体"/>
                <w:color w:val="auto"/>
                <w:szCs w:val="21"/>
              </w:rPr>
            </w:pPr>
          </w:p>
        </w:tc>
        <w:tc>
          <w:tcPr>
            <w:tcW w:w="720" w:type="dxa"/>
            <w:noWrap w:val="0"/>
            <w:vAlign w:val="center"/>
          </w:tcPr>
          <w:p>
            <w:pPr>
              <w:adjustRightInd w:val="0"/>
              <w:snapToGrid w:val="0"/>
              <w:ind w:firstLine="420" w:firstLineChars="200"/>
              <w:jc w:val="center"/>
              <w:rPr>
                <w:rFonts w:hint="eastAsia" w:ascii="宋体" w:hAnsi="宋体" w:cs="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pPr>
              <w:adjustRightInd w:val="0"/>
              <w:snapToGrid w:val="0"/>
              <w:ind w:firstLine="420" w:firstLineChars="200"/>
              <w:jc w:val="center"/>
              <w:rPr>
                <w:rFonts w:hint="eastAsia" w:ascii="宋体" w:hAnsi="宋体" w:cs="宋体"/>
                <w:color w:val="auto"/>
                <w:szCs w:val="21"/>
              </w:rPr>
            </w:pPr>
          </w:p>
        </w:tc>
        <w:tc>
          <w:tcPr>
            <w:tcW w:w="1685" w:type="dxa"/>
            <w:noWrap w:val="0"/>
            <w:vAlign w:val="center"/>
          </w:tcPr>
          <w:p>
            <w:pPr>
              <w:adjustRightInd w:val="0"/>
              <w:snapToGrid w:val="0"/>
              <w:ind w:firstLine="420" w:firstLineChars="200"/>
              <w:jc w:val="center"/>
              <w:rPr>
                <w:rFonts w:hint="eastAsia" w:ascii="宋体" w:hAnsi="宋体" w:cs="宋体"/>
                <w:color w:val="auto"/>
                <w:szCs w:val="21"/>
              </w:rPr>
            </w:pPr>
          </w:p>
        </w:tc>
        <w:tc>
          <w:tcPr>
            <w:tcW w:w="1948" w:type="dxa"/>
            <w:noWrap w:val="0"/>
            <w:vAlign w:val="center"/>
          </w:tcPr>
          <w:p>
            <w:pPr>
              <w:adjustRightInd w:val="0"/>
              <w:snapToGrid w:val="0"/>
              <w:ind w:firstLine="420" w:firstLineChars="200"/>
              <w:jc w:val="center"/>
              <w:rPr>
                <w:rFonts w:hint="eastAsia" w:ascii="宋体" w:hAnsi="宋体" w:cs="宋体"/>
                <w:color w:val="auto"/>
                <w:szCs w:val="21"/>
              </w:rPr>
            </w:pPr>
          </w:p>
        </w:tc>
        <w:tc>
          <w:tcPr>
            <w:tcW w:w="2600" w:type="dxa"/>
            <w:noWrap w:val="0"/>
            <w:vAlign w:val="center"/>
          </w:tcPr>
          <w:p>
            <w:pPr>
              <w:adjustRightInd w:val="0"/>
              <w:snapToGrid w:val="0"/>
              <w:ind w:firstLine="420" w:firstLineChars="200"/>
              <w:jc w:val="center"/>
              <w:rPr>
                <w:rFonts w:hint="eastAsia" w:ascii="宋体" w:hAnsi="宋体" w:cs="宋体"/>
                <w:color w:val="auto"/>
                <w:szCs w:val="21"/>
              </w:rPr>
            </w:pPr>
          </w:p>
        </w:tc>
        <w:tc>
          <w:tcPr>
            <w:tcW w:w="1160" w:type="dxa"/>
            <w:noWrap w:val="0"/>
            <w:vAlign w:val="center"/>
          </w:tcPr>
          <w:p>
            <w:pPr>
              <w:adjustRightInd w:val="0"/>
              <w:snapToGrid w:val="0"/>
              <w:ind w:firstLine="420" w:firstLineChars="200"/>
              <w:jc w:val="center"/>
              <w:rPr>
                <w:rFonts w:hint="eastAsia" w:ascii="宋体" w:hAnsi="宋体" w:cs="宋体"/>
                <w:color w:val="auto"/>
                <w:szCs w:val="21"/>
              </w:rPr>
            </w:pPr>
          </w:p>
        </w:tc>
        <w:tc>
          <w:tcPr>
            <w:tcW w:w="720" w:type="dxa"/>
            <w:noWrap w:val="0"/>
            <w:vAlign w:val="center"/>
          </w:tcPr>
          <w:p>
            <w:pPr>
              <w:adjustRightInd w:val="0"/>
              <w:snapToGrid w:val="0"/>
              <w:ind w:firstLine="420" w:firstLineChars="200"/>
              <w:jc w:val="center"/>
              <w:rPr>
                <w:rFonts w:hint="eastAsia" w:ascii="宋体" w:hAnsi="宋体" w:cs="宋体"/>
                <w:color w:val="auto"/>
                <w:szCs w:val="21"/>
              </w:rPr>
            </w:pPr>
          </w:p>
        </w:tc>
      </w:tr>
    </w:tbl>
    <w:p>
      <w:pPr>
        <w:adjustRightInd w:val="0"/>
        <w:snapToGrid w:val="0"/>
        <w:spacing w:line="360" w:lineRule="auto"/>
        <w:rPr>
          <w:rFonts w:hint="eastAsia" w:ascii="宋体" w:hAnsi="宋体" w:cs="宋体"/>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说明：1、“响应与偏离”应注明“响应”或“偏离”。</w:t>
      </w:r>
    </w:p>
    <w:p>
      <w:pPr>
        <w:adjustRightInd w:val="0"/>
        <w:snapToGrid w:val="0"/>
        <w:spacing w:line="360" w:lineRule="auto"/>
        <w:ind w:firstLine="422" w:firstLineChars="200"/>
        <w:rPr>
          <w:rFonts w:hint="eastAsia" w:ascii="宋体" w:hAnsi="宋体" w:cs="宋体"/>
          <w:color w:val="auto"/>
          <w:szCs w:val="21"/>
        </w:rPr>
      </w:pPr>
      <w:r>
        <w:rPr>
          <w:rFonts w:hint="eastAsia" w:ascii="宋体" w:hAnsi="宋体" w:cs="宋体"/>
          <w:b/>
          <w:color w:val="auto"/>
          <w:szCs w:val="21"/>
        </w:rPr>
        <w:t xml:space="preserve">  </w:t>
      </w:r>
      <w:r>
        <w:rPr>
          <w:rFonts w:hint="eastAsia" w:ascii="宋体" w:hAnsi="宋体" w:cs="宋体"/>
          <w:color w:val="auto"/>
          <w:szCs w:val="21"/>
        </w:rPr>
        <w:t>2、属磋商文件规定可能变动的内容在“说明”栏中注明。</w:t>
      </w:r>
    </w:p>
    <w:p>
      <w:pPr>
        <w:pStyle w:val="13"/>
        <w:adjustRightInd w:val="0"/>
        <w:snapToGrid w:val="0"/>
        <w:spacing w:line="360" w:lineRule="auto"/>
        <w:ind w:firstLine="420" w:firstLineChars="200"/>
        <w:rPr>
          <w:rFonts w:hint="eastAsia" w:ascii="宋体" w:hAnsi="宋体" w:cs="宋体"/>
          <w:color w:val="auto"/>
          <w:sz w:val="21"/>
          <w:szCs w:val="21"/>
        </w:rPr>
      </w:pPr>
    </w:p>
    <w:p>
      <w:pPr>
        <w:rPr>
          <w:rFonts w:hint="eastAsia" w:ascii="宋体" w:hAnsi="宋体" w:cs="宋体"/>
          <w:color w:val="auto"/>
          <w:szCs w:val="21"/>
        </w:rPr>
      </w:pPr>
    </w:p>
    <w:p>
      <w:pPr>
        <w:pStyle w:val="2"/>
        <w:ind w:firstLine="400"/>
        <w:rPr>
          <w:rFonts w:hint="eastAsia" w:ascii="宋体" w:hAnsi="宋体" w:cs="宋体"/>
          <w:color w:val="auto"/>
        </w:rPr>
      </w:pPr>
    </w:p>
    <w:p>
      <w:pPr>
        <w:pStyle w:val="13"/>
        <w:adjustRightInd w:val="0"/>
        <w:snapToGrid w:val="0"/>
        <w:spacing w:line="360" w:lineRule="auto"/>
        <w:ind w:firstLine="420" w:firstLineChars="200"/>
        <w:rPr>
          <w:rFonts w:hint="eastAsia" w:ascii="宋体" w:hAnsi="宋体" w:cs="宋体"/>
          <w:bCs/>
          <w:color w:val="auto"/>
          <w:sz w:val="21"/>
          <w:szCs w:val="21"/>
        </w:rPr>
      </w:pPr>
      <w:r>
        <w:rPr>
          <w:rFonts w:hint="eastAsia" w:ascii="宋体" w:hAnsi="宋体" w:cs="宋体"/>
          <w:color w:val="auto"/>
          <w:sz w:val="21"/>
          <w:szCs w:val="21"/>
        </w:rPr>
        <w:t>供应商名称：</w:t>
      </w:r>
      <w:r>
        <w:rPr>
          <w:rFonts w:hint="eastAsia" w:ascii="宋体" w:hAnsi="宋体" w:cs="宋体"/>
          <w:color w:val="auto"/>
          <w:sz w:val="21"/>
          <w:szCs w:val="21"/>
          <w:u w:val="single"/>
        </w:rPr>
        <w:t xml:space="preserve">                   </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日          期： </w:t>
      </w:r>
      <w:r>
        <w:rPr>
          <w:rFonts w:hint="eastAsia" w:ascii="宋体" w:hAnsi="宋体" w:cs="宋体"/>
          <w:color w:val="auto"/>
          <w:szCs w:val="21"/>
          <w:u w:val="single"/>
        </w:rPr>
        <w:t xml:space="preserve">     </w:t>
      </w:r>
      <w:r>
        <w:rPr>
          <w:rFonts w:hint="eastAsia" w:ascii="宋体" w:hAnsi="宋体" w:cs="宋体"/>
          <w:color w:val="auto"/>
          <w:szCs w:val="21"/>
        </w:rPr>
        <w:t xml:space="preserve"> 年 </w:t>
      </w:r>
      <w:r>
        <w:rPr>
          <w:rFonts w:hint="eastAsia" w:ascii="宋体" w:hAnsi="宋体" w:cs="宋体"/>
          <w:color w:val="auto"/>
          <w:szCs w:val="21"/>
          <w:u w:val="single"/>
        </w:rPr>
        <w:t xml:space="preserve">    </w:t>
      </w:r>
      <w:r>
        <w:rPr>
          <w:rFonts w:hint="eastAsia" w:ascii="宋体" w:hAnsi="宋体" w:cs="宋体"/>
          <w:color w:val="auto"/>
          <w:szCs w:val="21"/>
        </w:rPr>
        <w:t xml:space="preserve"> 月 </w:t>
      </w:r>
      <w:r>
        <w:rPr>
          <w:rFonts w:hint="eastAsia" w:ascii="宋体" w:hAnsi="宋体" w:cs="宋体"/>
          <w:color w:val="auto"/>
          <w:szCs w:val="21"/>
          <w:u w:val="single"/>
        </w:rPr>
        <w:t xml:space="preserve">   </w:t>
      </w:r>
      <w:r>
        <w:rPr>
          <w:rFonts w:hint="eastAsia" w:ascii="宋体" w:hAnsi="宋体" w:cs="宋体"/>
          <w:color w:val="auto"/>
          <w:szCs w:val="21"/>
        </w:rPr>
        <w:t xml:space="preserve"> 日</w:t>
      </w:r>
    </w:p>
    <w:p>
      <w:pPr>
        <w:adjustRightInd w:val="0"/>
        <w:snapToGrid w:val="0"/>
        <w:spacing w:line="360" w:lineRule="auto"/>
        <w:ind w:firstLine="803" w:firstLineChars="250"/>
        <w:jc w:val="center"/>
        <w:outlineLvl w:val="2"/>
        <w:rPr>
          <w:rFonts w:hint="eastAsia" w:ascii="宋体" w:hAnsi="宋体" w:cs="宋体"/>
          <w:color w:val="auto"/>
          <w:szCs w:val="21"/>
        </w:rPr>
      </w:pPr>
      <w:r>
        <w:rPr>
          <w:rFonts w:hint="eastAsia" w:ascii="宋体" w:hAnsi="宋体" w:cs="宋体"/>
          <w:b/>
          <w:color w:val="auto"/>
          <w:sz w:val="32"/>
          <w:szCs w:val="32"/>
        </w:rPr>
        <w:br w:type="page"/>
      </w:r>
      <w:bookmarkStart w:id="87" w:name="_Toc10974"/>
      <w:r>
        <w:rPr>
          <w:rFonts w:hint="eastAsia" w:ascii="宋体" w:hAnsi="宋体" w:cs="宋体"/>
          <w:b/>
          <w:bCs/>
          <w:color w:val="auto"/>
          <w:sz w:val="32"/>
          <w:szCs w:val="32"/>
          <w:lang w:eastAsia="zh-CN"/>
        </w:rPr>
        <w:t>五</w:t>
      </w:r>
      <w:r>
        <w:rPr>
          <w:rFonts w:hint="eastAsia" w:ascii="宋体" w:hAnsi="宋体" w:cs="宋体"/>
          <w:b/>
          <w:bCs/>
          <w:color w:val="auto"/>
          <w:sz w:val="32"/>
          <w:szCs w:val="32"/>
        </w:rPr>
        <w:t>、</w:t>
      </w:r>
      <w:r>
        <w:rPr>
          <w:rFonts w:hint="eastAsia" w:ascii="宋体" w:hAnsi="宋体" w:cs="宋体"/>
          <w:b/>
          <w:color w:val="auto"/>
          <w:sz w:val="32"/>
          <w:szCs w:val="32"/>
        </w:rPr>
        <w:t>报价一览表及报价文件</w:t>
      </w:r>
      <w:bookmarkEnd w:id="87"/>
    </w:p>
    <w:p>
      <w:pPr>
        <w:adjustRightInd w:val="0"/>
        <w:snapToGrid w:val="0"/>
        <w:rPr>
          <w:rFonts w:hint="eastAsia" w:ascii="宋体" w:hAnsi="宋体" w:cs="宋体"/>
          <w:b/>
          <w:color w:val="auto"/>
          <w:sz w:val="24"/>
        </w:rPr>
      </w:pPr>
    </w:p>
    <w:p>
      <w:pPr>
        <w:numPr>
          <w:ilvl w:val="0"/>
          <w:numId w:val="2"/>
        </w:numPr>
        <w:jc w:val="center"/>
        <w:outlineLvl w:val="9"/>
        <w:rPr>
          <w:rFonts w:hint="eastAsia" w:ascii="宋体" w:hAnsi="宋体" w:cs="宋体"/>
          <w:b/>
          <w:color w:val="auto"/>
          <w:sz w:val="28"/>
          <w:szCs w:val="28"/>
        </w:rPr>
      </w:pPr>
      <w:bookmarkStart w:id="88" w:name="_Toc27497"/>
      <w:r>
        <w:rPr>
          <w:rFonts w:hint="eastAsia" w:ascii="宋体" w:hAnsi="宋体" w:cs="宋体"/>
          <w:b/>
          <w:color w:val="auto"/>
          <w:sz w:val="28"/>
          <w:szCs w:val="28"/>
        </w:rPr>
        <w:t>报价一览表</w:t>
      </w:r>
      <w:bookmarkEnd w:id="88"/>
    </w:p>
    <w:p>
      <w:pPr>
        <w:pStyle w:val="11"/>
        <w:numPr>
          <w:ilvl w:val="0"/>
          <w:numId w:val="0"/>
        </w:numPr>
        <w:rPr>
          <w:rFonts w:hint="eastAsia"/>
        </w:rPr>
      </w:pPr>
    </w:p>
    <w:tbl>
      <w:tblPr>
        <w:tblStyle w:val="20"/>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Lines="50" w:line="360" w:lineRule="auto"/>
              <w:jc w:val="center"/>
              <w:rPr>
                <w:rFonts w:ascii="宋体" w:hAnsi="宋体"/>
                <w:b/>
                <w:kern w:val="0"/>
                <w:sz w:val="20"/>
                <w:szCs w:val="21"/>
              </w:rPr>
            </w:pPr>
            <w:r>
              <w:rPr>
                <w:rFonts w:hint="eastAsia" w:ascii="宋体" w:hAnsi="宋体"/>
                <w:b/>
                <w:kern w:val="0"/>
                <w:szCs w:val="21"/>
              </w:rPr>
              <w:t>报价</w:t>
            </w:r>
          </w:p>
        </w:tc>
        <w:tc>
          <w:tcPr>
            <w:tcW w:w="3119" w:type="dxa"/>
            <w:shd w:val="clear" w:color="auto" w:fill="auto"/>
            <w:vAlign w:val="center"/>
          </w:tcPr>
          <w:p>
            <w:pPr>
              <w:adjustRightInd w:val="0"/>
              <w:snapToGrid w:val="0"/>
              <w:spacing w:beforeLines="50" w:line="360" w:lineRule="auto"/>
              <w:jc w:val="center"/>
              <w:rPr>
                <w:rFonts w:ascii="宋体" w:hAnsi="宋体"/>
                <w:b/>
                <w:kern w:val="0"/>
                <w:szCs w:val="21"/>
              </w:rPr>
            </w:pPr>
            <w:r>
              <w:rPr>
                <w:rFonts w:hint="eastAsia" w:ascii="宋体" w:hAnsi="宋体"/>
                <w:b/>
                <w:kern w:val="0"/>
                <w:szCs w:val="21"/>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Lines="50" w:line="360" w:lineRule="auto"/>
              <w:jc w:val="center"/>
              <w:rPr>
                <w:rFonts w:ascii="宋体" w:hAnsi="宋体"/>
                <w:kern w:val="0"/>
                <w:szCs w:val="21"/>
              </w:rPr>
            </w:pPr>
            <w:r>
              <w:rPr>
                <w:rFonts w:hint="eastAsia" w:ascii="宋体" w:hAnsi="宋体"/>
                <w:kern w:val="0"/>
                <w:szCs w:val="21"/>
              </w:rPr>
              <w:t>小写金额：</w:t>
            </w:r>
            <w:r>
              <w:rPr>
                <w:rFonts w:hint="eastAsia" w:ascii="宋体" w:hAnsi="宋体"/>
                <w:szCs w:val="21"/>
                <w:u w:val="single"/>
                <w:lang w:val="en-US" w:eastAsia="zh-CN"/>
              </w:rPr>
              <w:t xml:space="preserve">             </w:t>
            </w:r>
            <w:r>
              <w:rPr>
                <w:rFonts w:hint="eastAsia" w:ascii="宋体" w:hAnsi="宋体"/>
                <w:szCs w:val="21"/>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Lines="50" w:line="360" w:lineRule="auto"/>
              <w:jc w:val="center"/>
              <w:rPr>
                <w:rFonts w:ascii="宋体" w:hAnsi="宋体"/>
                <w:kern w:val="0"/>
                <w:szCs w:val="21"/>
                <w:u w:val="single"/>
              </w:rPr>
            </w:pPr>
            <w:r>
              <w:rPr>
                <w:rFonts w:hint="eastAsia" w:ascii="宋体" w:hAnsi="宋体"/>
                <w:kern w:val="0"/>
                <w:szCs w:val="21"/>
              </w:rPr>
              <w:t>大写金额：</w:t>
            </w:r>
            <w:r>
              <w:rPr>
                <w:rFonts w:hint="eastAsia" w:ascii="宋体" w:hAnsi="宋体"/>
                <w:szCs w:val="21"/>
                <w:u w:val="single"/>
                <w:lang w:val="en-US" w:eastAsia="zh-CN"/>
              </w:rPr>
              <w:t xml:space="preserve">             </w:t>
            </w:r>
            <w:r>
              <w:rPr>
                <w:rFonts w:hint="eastAsia" w:ascii="宋体" w:hAnsi="宋体"/>
                <w:szCs w:val="21"/>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Lines="50" w:line="360" w:lineRule="auto"/>
              <w:jc w:val="center"/>
              <w:rPr>
                <w:rFonts w:ascii="宋体" w:hAnsi="宋体"/>
                <w:kern w:val="0"/>
                <w:sz w:val="20"/>
                <w:szCs w:val="21"/>
              </w:rPr>
            </w:pPr>
            <w:r>
              <w:rPr>
                <w:rFonts w:hint="eastAsia" w:ascii="宋体" w:hAnsi="宋体"/>
                <w:kern w:val="0"/>
                <w:szCs w:val="21"/>
              </w:rPr>
              <w:t>（</w:t>
            </w:r>
            <w:r>
              <w:rPr>
                <w:rFonts w:hint="eastAsia" w:ascii="黑体" w:hAnsi="黑体" w:eastAsia="黑体"/>
                <w:kern w:val="0"/>
                <w:sz w:val="24"/>
              </w:rPr>
              <w:t>大写金额与小写金额不一致时，以大写金额为准</w:t>
            </w:r>
            <w:r>
              <w:rPr>
                <w:rFonts w:hint="eastAsia" w:ascii="宋体" w:hAnsi="宋体"/>
                <w:kern w:val="0"/>
                <w:szCs w:val="21"/>
              </w:rPr>
              <w:t>）</w:t>
            </w:r>
          </w:p>
        </w:tc>
        <w:tc>
          <w:tcPr>
            <w:tcW w:w="3119" w:type="dxa"/>
            <w:shd w:val="clear" w:color="auto" w:fill="auto"/>
            <w:vAlign w:val="center"/>
          </w:tcPr>
          <w:p>
            <w:pPr>
              <w:adjustRightInd w:val="0"/>
              <w:snapToGrid w:val="0"/>
              <w:spacing w:beforeLines="50" w:line="360" w:lineRule="auto"/>
              <w:jc w:val="center"/>
              <w:rPr>
                <w:rFonts w:ascii="宋体" w:hAnsi="宋体"/>
                <w:kern w:val="0"/>
                <w:szCs w:val="21"/>
              </w:rPr>
            </w:pPr>
          </w:p>
        </w:tc>
      </w:tr>
    </w:tbl>
    <w:p>
      <w:pPr>
        <w:adjustRightInd w:val="0"/>
        <w:snapToGrid w:val="0"/>
        <w:spacing w:after="120" w:afterLines="50"/>
        <w:rPr>
          <w:rFonts w:hint="eastAsia" w:ascii="宋体" w:hAnsi="宋体" w:cs="宋体"/>
          <w:color w:val="auto"/>
          <w:sz w:val="24"/>
        </w:rPr>
      </w:pPr>
    </w:p>
    <w:p>
      <w:pPr>
        <w:adjustRightInd w:val="0"/>
        <w:snapToGrid w:val="0"/>
        <w:spacing w:after="120" w:afterLines="50"/>
        <w:rPr>
          <w:rFonts w:hint="eastAsia" w:ascii="宋体" w:hAnsi="宋体" w:cs="宋体"/>
          <w:color w:val="auto"/>
          <w:sz w:val="20"/>
          <w:szCs w:val="20"/>
        </w:rPr>
      </w:pPr>
    </w:p>
    <w:p>
      <w:pPr>
        <w:adjustRightInd w:val="0"/>
        <w:snapToGrid w:val="0"/>
        <w:jc w:val="both"/>
        <w:rPr>
          <w:rFonts w:hint="eastAsia" w:ascii="宋体" w:hAnsi="宋体" w:cs="宋体"/>
          <w:color w:val="auto"/>
          <w:sz w:val="20"/>
          <w:szCs w:val="20"/>
        </w:rPr>
      </w:pPr>
    </w:p>
    <w:p>
      <w:pPr>
        <w:adjustRightInd w:val="0"/>
        <w:snapToGrid w:val="0"/>
        <w:spacing w:line="360" w:lineRule="auto"/>
        <w:rPr>
          <w:rFonts w:hint="eastAsia" w:ascii="宋体" w:hAnsi="宋体" w:cs="宋体"/>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供应商（</w:t>
      </w:r>
      <w:r>
        <w:rPr>
          <w:rFonts w:hint="eastAsia" w:ascii="宋体" w:hAnsi="宋体"/>
          <w:color w:val="auto"/>
          <w:szCs w:val="21"/>
        </w:rPr>
        <w:t>盖单位公章</w:t>
      </w:r>
      <w:r>
        <w:rPr>
          <w:rFonts w:hint="eastAsia" w:ascii="宋体" w:hAnsi="宋体" w:cs="宋体"/>
          <w:color w:val="auto"/>
          <w:szCs w:val="21"/>
        </w:rPr>
        <w:t>）：</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hint="eastAsia" w:ascii="宋体" w:hAnsi="宋体" w:cs="宋体"/>
          <w:color w:val="auto"/>
          <w:szCs w:val="21"/>
        </w:rPr>
      </w:pPr>
    </w:p>
    <w:p>
      <w:pPr>
        <w:jc w:val="left"/>
        <w:rPr>
          <w:rFonts w:hint="eastAsia" w:ascii="宋体" w:hAnsi="宋体" w:cs="宋体"/>
          <w:color w:val="auto"/>
        </w:rPr>
      </w:pPr>
    </w:p>
    <w:p>
      <w:pPr>
        <w:keepNext/>
        <w:keepLines/>
        <w:spacing w:line="416" w:lineRule="auto"/>
        <w:rPr>
          <w:rFonts w:hint="eastAsia" w:ascii="宋体" w:hAnsi="宋体"/>
          <w:color w:val="auto"/>
          <w:szCs w:val="21"/>
        </w:rPr>
      </w:pPr>
      <w:bookmarkStart w:id="89" w:name="_Toc34637796"/>
    </w:p>
    <w:bookmarkEnd w:id="89"/>
    <w:p>
      <w:pPr>
        <w:adjustRightInd w:val="0"/>
        <w:snapToGrid w:val="0"/>
        <w:spacing w:beforeLines="50" w:line="360" w:lineRule="auto"/>
        <w:jc w:val="center"/>
        <w:rPr>
          <w:rFonts w:ascii="黑体" w:hAnsi="宋体" w:eastAsia="黑体" w:cs="微软雅黑"/>
          <w:b/>
          <w:kern w:val="0"/>
          <w:position w:val="-3"/>
          <w:sz w:val="28"/>
          <w:szCs w:val="28"/>
        </w:rPr>
      </w:pPr>
      <w:r>
        <w:rPr>
          <w:rFonts w:hint="eastAsia" w:ascii="宋体" w:hAnsi="宋体"/>
          <w:color w:val="auto"/>
          <w:spacing w:val="-2"/>
          <w:position w:val="-3"/>
          <w:sz w:val="28"/>
          <w:szCs w:val="28"/>
        </w:rPr>
        <w:br w:type="page"/>
      </w:r>
      <w:bookmarkStart w:id="90" w:name="_Toc7650"/>
      <w:r>
        <w:rPr>
          <w:rFonts w:hint="eastAsia" w:ascii="宋体" w:hAnsi="宋体"/>
          <w:b/>
          <w:bCs/>
          <w:color w:val="auto"/>
          <w:spacing w:val="-2"/>
          <w:position w:val="-3"/>
          <w:sz w:val="28"/>
          <w:szCs w:val="28"/>
        </w:rPr>
        <w:t>（二）</w:t>
      </w:r>
      <w:bookmarkEnd w:id="90"/>
      <w:r>
        <w:rPr>
          <w:rFonts w:hint="eastAsia" w:ascii="黑体" w:hAnsi="宋体" w:eastAsia="黑体" w:cs="微软雅黑"/>
          <w:b/>
          <w:spacing w:val="-2"/>
          <w:kern w:val="0"/>
          <w:position w:val="-3"/>
          <w:sz w:val="28"/>
          <w:szCs w:val="28"/>
        </w:rPr>
        <w:t>分</w:t>
      </w:r>
      <w:r>
        <w:rPr>
          <w:rFonts w:hint="eastAsia" w:ascii="黑体" w:hAnsi="宋体" w:eastAsia="黑体" w:cs="微软雅黑"/>
          <w:b/>
          <w:kern w:val="0"/>
          <w:position w:val="-3"/>
          <w:sz w:val="28"/>
          <w:szCs w:val="28"/>
        </w:rPr>
        <w:t>项</w:t>
      </w:r>
      <w:r>
        <w:rPr>
          <w:rFonts w:hint="eastAsia" w:ascii="黑体" w:hAnsi="宋体" w:eastAsia="黑体" w:cs="微软雅黑"/>
          <w:b/>
          <w:spacing w:val="-2"/>
          <w:kern w:val="0"/>
          <w:position w:val="-3"/>
          <w:sz w:val="28"/>
          <w:szCs w:val="28"/>
        </w:rPr>
        <w:t>报</w:t>
      </w:r>
      <w:r>
        <w:rPr>
          <w:rFonts w:hint="eastAsia" w:ascii="黑体" w:hAnsi="宋体" w:eastAsia="黑体" w:cs="微软雅黑"/>
          <w:b/>
          <w:kern w:val="0"/>
          <w:position w:val="-3"/>
          <w:sz w:val="28"/>
          <w:szCs w:val="28"/>
        </w:rPr>
        <w:t>价明细表</w:t>
      </w:r>
    </w:p>
    <w:p>
      <w:pPr>
        <w:adjustRightInd w:val="0"/>
        <w:snapToGrid w:val="0"/>
        <w:spacing w:line="360" w:lineRule="auto"/>
        <w:rPr>
          <w:rFonts w:hint="eastAsia" w:ascii="宋体" w:hAnsi="宋体"/>
          <w:szCs w:val="21"/>
          <w:lang w:val="en-US" w:eastAsia="zh-CN"/>
        </w:rPr>
      </w:pPr>
      <w:r>
        <w:rPr>
          <w:rFonts w:hint="eastAsia" w:ascii="宋体" w:hAnsi="宋体"/>
          <w:szCs w:val="21"/>
        </w:rPr>
        <w:t>采购代理编号：</w:t>
      </w:r>
      <w:r>
        <w:rPr>
          <w:rFonts w:hint="eastAsia" w:ascii="宋体" w:hAnsi="宋体"/>
          <w:szCs w:val="21"/>
          <w:u w:val="single"/>
          <w:lang w:val="en-US" w:eastAsia="zh-CN"/>
        </w:rPr>
        <w:t xml:space="preserve">             </w:t>
      </w:r>
      <w:r>
        <w:rPr>
          <w:rFonts w:hint="eastAsia" w:ascii="宋体" w:hAnsi="宋体"/>
          <w:szCs w:val="21"/>
        </w:rPr>
        <w:t xml:space="preserve">                      项目名称：</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pPr>
        <w:pStyle w:val="11"/>
        <w:rPr>
          <w:rFonts w:hint="eastAsia"/>
          <w:lang w:val="en-US" w:eastAsia="zh-CN"/>
        </w:rPr>
      </w:pPr>
    </w:p>
    <w:tbl>
      <w:tblPr>
        <w:tblStyle w:val="20"/>
        <w:tblW w:w="7802" w:type="dxa"/>
        <w:jc w:val="center"/>
        <w:tblLayout w:type="fixed"/>
        <w:tblCellMar>
          <w:top w:w="0" w:type="dxa"/>
          <w:left w:w="0" w:type="dxa"/>
          <w:bottom w:w="0" w:type="dxa"/>
          <w:right w:w="0" w:type="dxa"/>
        </w:tblCellMar>
      </w:tblPr>
      <w:tblGrid>
        <w:gridCol w:w="578"/>
        <w:gridCol w:w="2082"/>
        <w:gridCol w:w="2126"/>
        <w:gridCol w:w="1092"/>
        <w:gridCol w:w="1010"/>
        <w:gridCol w:w="914"/>
      </w:tblGrid>
      <w:tr>
        <w:tblPrEx>
          <w:tblCellMar>
            <w:top w:w="0" w:type="dxa"/>
            <w:left w:w="0" w:type="dxa"/>
            <w:bottom w:w="0" w:type="dxa"/>
            <w:right w:w="0" w:type="dxa"/>
          </w:tblCellMar>
        </w:tblPrEx>
        <w:trPr>
          <w:trHeight w:val="748" w:hRule="exact"/>
          <w:jc w:val="center"/>
        </w:trPr>
        <w:tc>
          <w:tcPr>
            <w:tcW w:w="2660" w:type="dxa"/>
            <w:gridSpan w:val="2"/>
            <w:tcBorders>
              <w:top w:val="double" w:color="auto" w:sz="4" w:space="0"/>
              <w:left w:val="double" w:color="auto" w:sz="4" w:space="0"/>
              <w:right w:val="single" w:color="auto" w:sz="6" w:space="0"/>
            </w:tcBorders>
            <w:vAlign w:val="center"/>
          </w:tcPr>
          <w:p>
            <w:pPr>
              <w:shd w:val="clear"/>
              <w:autoSpaceDE w:val="0"/>
              <w:autoSpaceDN w:val="0"/>
              <w:adjustRightInd w:val="0"/>
              <w:snapToGrid w:val="0"/>
              <w:spacing w:line="360" w:lineRule="exact"/>
              <w:ind w:right="-20"/>
              <w:jc w:val="center"/>
              <w:rPr>
                <w:rFonts w:hint="eastAsia" w:cs="微软雅黑" w:asciiTheme="minorEastAsia" w:hAnsiTheme="minorEastAsia" w:eastAsiaTheme="minorEastAsia"/>
                <w:color w:val="auto"/>
                <w:kern w:val="0"/>
                <w:position w:val="-1"/>
                <w:szCs w:val="21"/>
                <w:highlight w:val="none"/>
                <w:lang w:val="en-US" w:eastAsia="zh-CN"/>
              </w:rPr>
            </w:pPr>
            <w:r>
              <w:rPr>
                <w:rFonts w:hint="eastAsia" w:cs="微软雅黑" w:asciiTheme="minorEastAsia" w:hAnsiTheme="minorEastAsia" w:eastAsiaTheme="minorEastAsia"/>
                <w:color w:val="auto"/>
                <w:kern w:val="0"/>
                <w:position w:val="-1"/>
                <w:szCs w:val="21"/>
                <w:highlight w:val="none"/>
              </w:rPr>
              <w:t>分项</w:t>
            </w:r>
            <w:r>
              <w:rPr>
                <w:rFonts w:hint="eastAsia" w:cs="微软雅黑" w:asciiTheme="minorEastAsia" w:hAnsiTheme="minorEastAsia" w:eastAsiaTheme="minorEastAsia"/>
                <w:color w:val="auto"/>
                <w:kern w:val="0"/>
                <w:position w:val="-1"/>
                <w:szCs w:val="21"/>
                <w:highlight w:val="none"/>
                <w:lang w:eastAsia="zh-CN"/>
              </w:rPr>
              <w:t>名称</w:t>
            </w:r>
          </w:p>
        </w:tc>
        <w:tc>
          <w:tcPr>
            <w:tcW w:w="2126" w:type="dxa"/>
            <w:tcBorders>
              <w:top w:val="double" w:color="auto" w:sz="4" w:space="0"/>
              <w:left w:val="single" w:color="auto" w:sz="6" w:space="0"/>
              <w:bottom w:val="single" w:color="auto" w:sz="6" w:space="0"/>
              <w:right w:val="single" w:color="auto" w:sz="4" w:space="0"/>
            </w:tcBorders>
            <w:vAlign w:val="center"/>
          </w:tcPr>
          <w:p>
            <w:pPr>
              <w:shd w:val="clear"/>
              <w:autoSpaceDE w:val="0"/>
              <w:autoSpaceDN w:val="0"/>
              <w:adjustRightInd w:val="0"/>
              <w:snapToGrid w:val="0"/>
              <w:spacing w:line="360" w:lineRule="exact"/>
              <w:ind w:right="-20"/>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内容简要说明</w:t>
            </w:r>
          </w:p>
        </w:tc>
        <w:tc>
          <w:tcPr>
            <w:tcW w:w="1092" w:type="dxa"/>
            <w:tcBorders>
              <w:top w:val="double" w:color="auto" w:sz="4" w:space="0"/>
              <w:left w:val="single" w:color="auto" w:sz="6" w:space="0"/>
              <w:right w:val="single" w:color="auto" w:sz="4" w:space="0"/>
            </w:tcBorders>
            <w:vAlign w:val="center"/>
          </w:tcPr>
          <w:p>
            <w:pPr>
              <w:shd w:val="clear"/>
              <w:autoSpaceDE w:val="0"/>
              <w:autoSpaceDN w:val="0"/>
              <w:adjustRightInd w:val="0"/>
              <w:snapToGrid w:val="0"/>
              <w:spacing w:line="360" w:lineRule="exact"/>
              <w:ind w:right="-20"/>
              <w:jc w:val="center"/>
              <w:rPr>
                <w:rFonts w:hint="eastAsia" w:cs="微软雅黑" w:asciiTheme="minorEastAsia" w:hAnsiTheme="minorEastAsia" w:eastAsiaTheme="minorEastAsia"/>
                <w:color w:val="auto"/>
                <w:kern w:val="0"/>
                <w:position w:val="-1"/>
                <w:szCs w:val="21"/>
                <w:highlight w:val="none"/>
                <w:lang w:eastAsia="zh-CN"/>
              </w:rPr>
            </w:pPr>
            <w:r>
              <w:rPr>
                <w:rFonts w:hint="eastAsia" w:asciiTheme="minorEastAsia" w:hAnsiTheme="minorEastAsia" w:eastAsiaTheme="minorEastAsia"/>
                <w:color w:val="auto"/>
                <w:kern w:val="0"/>
                <w:szCs w:val="21"/>
                <w:highlight w:val="none"/>
                <w:lang w:eastAsia="zh-CN"/>
              </w:rPr>
              <w:t>金额</w:t>
            </w:r>
          </w:p>
        </w:tc>
        <w:tc>
          <w:tcPr>
            <w:tcW w:w="1010" w:type="dxa"/>
            <w:tcBorders>
              <w:top w:val="double" w:color="auto" w:sz="4" w:space="0"/>
              <w:left w:val="single" w:color="auto" w:sz="4" w:space="0"/>
              <w:bottom w:val="single" w:color="auto" w:sz="6" w:space="0"/>
              <w:right w:val="single" w:color="auto" w:sz="6" w:space="0"/>
            </w:tcBorders>
            <w:vAlign w:val="center"/>
          </w:tcPr>
          <w:p>
            <w:pPr>
              <w:shd w:val="clear"/>
              <w:autoSpaceDE w:val="0"/>
              <w:autoSpaceDN w:val="0"/>
              <w:adjustRightInd w:val="0"/>
              <w:snapToGrid w:val="0"/>
              <w:spacing w:line="360" w:lineRule="exact"/>
              <w:ind w:right="-20"/>
              <w:jc w:val="center"/>
              <w:rPr>
                <w:rFonts w:asciiTheme="minorEastAsia" w:hAnsiTheme="minorEastAsia" w:eastAsiaTheme="minorEastAsia"/>
                <w:color w:val="auto"/>
                <w:kern w:val="0"/>
                <w:szCs w:val="21"/>
                <w:highlight w:val="none"/>
              </w:rPr>
            </w:pPr>
            <w:r>
              <w:rPr>
                <w:rFonts w:hint="eastAsia" w:cs="微软雅黑" w:asciiTheme="minorEastAsia" w:hAnsiTheme="minorEastAsia" w:eastAsiaTheme="minorEastAsia"/>
                <w:color w:val="auto"/>
                <w:kern w:val="0"/>
                <w:position w:val="-1"/>
                <w:szCs w:val="21"/>
                <w:highlight w:val="none"/>
                <w:lang w:eastAsia="zh-CN"/>
              </w:rPr>
              <w:t>合计</w:t>
            </w:r>
          </w:p>
        </w:tc>
        <w:tc>
          <w:tcPr>
            <w:tcW w:w="914" w:type="dxa"/>
            <w:tcBorders>
              <w:top w:val="double" w:color="auto" w:sz="4" w:space="0"/>
              <w:left w:val="single" w:color="auto" w:sz="6" w:space="0"/>
              <w:bottom w:val="single" w:color="auto" w:sz="6" w:space="0"/>
              <w:right w:val="double" w:color="auto" w:sz="4" w:space="0"/>
            </w:tcBorders>
            <w:vAlign w:val="center"/>
          </w:tcPr>
          <w:p>
            <w:pPr>
              <w:shd w:val="clear"/>
              <w:autoSpaceDE w:val="0"/>
              <w:autoSpaceDN w:val="0"/>
              <w:adjustRightInd w:val="0"/>
              <w:snapToGrid w:val="0"/>
              <w:spacing w:line="360" w:lineRule="exact"/>
              <w:ind w:right="-20"/>
              <w:jc w:val="center"/>
              <w:rPr>
                <w:rFonts w:cs="微软雅黑" w:asciiTheme="minorEastAsia" w:hAnsiTheme="minorEastAsia" w:eastAsiaTheme="minorEastAsia"/>
                <w:color w:val="auto"/>
                <w:kern w:val="0"/>
                <w:position w:val="-1"/>
                <w:szCs w:val="21"/>
                <w:highlight w:val="none"/>
              </w:rPr>
            </w:pPr>
            <w:r>
              <w:rPr>
                <w:rFonts w:hint="eastAsia" w:cs="微软雅黑" w:asciiTheme="minorEastAsia" w:hAnsiTheme="minorEastAsia" w:eastAsiaTheme="minorEastAsia"/>
                <w:color w:val="auto"/>
                <w:kern w:val="0"/>
                <w:position w:val="-1"/>
                <w:szCs w:val="21"/>
                <w:highlight w:val="none"/>
              </w:rPr>
              <w:t>备注</w:t>
            </w:r>
          </w:p>
        </w:tc>
      </w:tr>
      <w:tr>
        <w:tblPrEx>
          <w:tblCellMar>
            <w:top w:w="0" w:type="dxa"/>
            <w:left w:w="0" w:type="dxa"/>
            <w:bottom w:w="0" w:type="dxa"/>
            <w:right w:w="0" w:type="dxa"/>
          </w:tblCellMar>
        </w:tblPrEx>
        <w:trPr>
          <w:trHeight w:val="378" w:hRule="exact"/>
          <w:jc w:val="center"/>
        </w:trPr>
        <w:tc>
          <w:tcPr>
            <w:tcW w:w="578" w:type="dxa"/>
            <w:tcBorders>
              <w:top w:val="single" w:color="auto" w:sz="6" w:space="0"/>
              <w:left w:val="double" w:color="auto" w:sz="4" w:space="0"/>
              <w:bottom w:val="single" w:color="auto" w:sz="6" w:space="0"/>
              <w:right w:val="single" w:color="auto" w:sz="6" w:space="0"/>
            </w:tcBorders>
            <w:vAlign w:val="center"/>
          </w:tcPr>
          <w:p>
            <w:pPr>
              <w:shd w:val="clear"/>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208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napToGrid w:val="0"/>
              <w:spacing w:line="360" w:lineRule="exact"/>
              <w:jc w:val="center"/>
              <w:rPr>
                <w:rFonts w:asciiTheme="minorEastAsia" w:hAnsiTheme="minorEastAsia" w:eastAsiaTheme="minorEastAsia"/>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10" w:type="dxa"/>
            <w:tcBorders>
              <w:top w:val="single" w:color="auto" w:sz="6" w:space="0"/>
              <w:left w:val="single" w:color="auto" w:sz="6" w:space="0"/>
              <w:bottom w:val="single" w:color="auto" w:sz="6" w:space="0"/>
              <w:right w:val="single" w:color="auto" w:sz="6"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r>
      <w:tr>
        <w:tblPrEx>
          <w:tblCellMar>
            <w:top w:w="0" w:type="dxa"/>
            <w:left w:w="0" w:type="dxa"/>
            <w:bottom w:w="0" w:type="dxa"/>
            <w:right w:w="0" w:type="dxa"/>
          </w:tblCellMar>
        </w:tblPrEx>
        <w:trPr>
          <w:trHeight w:val="415" w:hRule="exact"/>
          <w:jc w:val="center"/>
        </w:trPr>
        <w:tc>
          <w:tcPr>
            <w:tcW w:w="578" w:type="dxa"/>
            <w:tcBorders>
              <w:top w:val="single" w:color="auto" w:sz="6" w:space="0"/>
              <w:left w:val="double" w:color="auto" w:sz="4" w:space="0"/>
              <w:bottom w:val="single" w:color="auto" w:sz="6" w:space="0"/>
              <w:right w:val="single" w:color="auto" w:sz="6" w:space="0"/>
            </w:tcBorders>
            <w:vAlign w:val="center"/>
          </w:tcPr>
          <w:p>
            <w:pPr>
              <w:shd w:val="clear"/>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p>
        </w:tc>
        <w:tc>
          <w:tcPr>
            <w:tcW w:w="208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napToGrid w:val="0"/>
              <w:spacing w:line="360" w:lineRule="exact"/>
              <w:jc w:val="center"/>
              <w:rPr>
                <w:rFonts w:asciiTheme="minorEastAsia" w:hAnsiTheme="minorEastAsia" w:eastAsiaTheme="minorEastAsia"/>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10" w:type="dxa"/>
            <w:tcBorders>
              <w:top w:val="single" w:color="auto" w:sz="6" w:space="0"/>
              <w:left w:val="single" w:color="auto" w:sz="6" w:space="0"/>
              <w:bottom w:val="single" w:color="auto" w:sz="6" w:space="0"/>
              <w:right w:val="single" w:color="auto" w:sz="6"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r>
      <w:tr>
        <w:tblPrEx>
          <w:tblCellMar>
            <w:top w:w="0" w:type="dxa"/>
            <w:left w:w="0" w:type="dxa"/>
            <w:bottom w:w="0" w:type="dxa"/>
            <w:right w:w="0" w:type="dxa"/>
          </w:tblCellMar>
        </w:tblPrEx>
        <w:trPr>
          <w:trHeight w:val="415" w:hRule="exact"/>
          <w:jc w:val="center"/>
        </w:trPr>
        <w:tc>
          <w:tcPr>
            <w:tcW w:w="578" w:type="dxa"/>
            <w:tcBorders>
              <w:top w:val="single" w:color="auto" w:sz="6" w:space="0"/>
              <w:left w:val="double" w:color="auto" w:sz="4" w:space="0"/>
              <w:bottom w:val="single" w:color="auto" w:sz="6" w:space="0"/>
              <w:right w:val="single" w:color="auto" w:sz="6" w:space="0"/>
            </w:tcBorders>
            <w:vAlign w:val="center"/>
          </w:tcPr>
          <w:p>
            <w:pPr>
              <w:shd w:val="clear"/>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p>
        </w:tc>
        <w:tc>
          <w:tcPr>
            <w:tcW w:w="208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napToGrid w:val="0"/>
              <w:spacing w:line="360" w:lineRule="exact"/>
              <w:jc w:val="center"/>
              <w:rPr>
                <w:rFonts w:asciiTheme="minorEastAsia" w:hAnsiTheme="minorEastAsia" w:eastAsiaTheme="minorEastAsia"/>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10" w:type="dxa"/>
            <w:tcBorders>
              <w:top w:val="single" w:color="auto" w:sz="6" w:space="0"/>
              <w:left w:val="single" w:color="auto" w:sz="6" w:space="0"/>
              <w:bottom w:val="single" w:color="auto" w:sz="6" w:space="0"/>
              <w:right w:val="single" w:color="auto" w:sz="6"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r>
      <w:tr>
        <w:tblPrEx>
          <w:tblCellMar>
            <w:top w:w="0" w:type="dxa"/>
            <w:left w:w="0" w:type="dxa"/>
            <w:bottom w:w="0" w:type="dxa"/>
            <w:right w:w="0" w:type="dxa"/>
          </w:tblCellMar>
        </w:tblPrEx>
        <w:trPr>
          <w:trHeight w:val="415" w:hRule="exact"/>
          <w:jc w:val="center"/>
        </w:trPr>
        <w:tc>
          <w:tcPr>
            <w:tcW w:w="578" w:type="dxa"/>
            <w:tcBorders>
              <w:top w:val="single" w:color="auto" w:sz="6" w:space="0"/>
              <w:left w:val="double" w:color="auto" w:sz="4" w:space="0"/>
              <w:bottom w:val="single" w:color="auto" w:sz="6" w:space="0"/>
              <w:right w:val="single" w:color="auto" w:sz="6" w:space="0"/>
            </w:tcBorders>
            <w:vAlign w:val="center"/>
          </w:tcPr>
          <w:p>
            <w:pPr>
              <w:shd w:val="clear"/>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p>
        </w:tc>
        <w:tc>
          <w:tcPr>
            <w:tcW w:w="208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napToGrid w:val="0"/>
              <w:spacing w:line="360" w:lineRule="exact"/>
              <w:jc w:val="center"/>
              <w:rPr>
                <w:rFonts w:asciiTheme="minorEastAsia" w:hAnsiTheme="minorEastAsia" w:eastAsiaTheme="minorEastAsia"/>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10" w:type="dxa"/>
            <w:tcBorders>
              <w:top w:val="single" w:color="auto" w:sz="6" w:space="0"/>
              <w:left w:val="single" w:color="auto" w:sz="4" w:space="0"/>
              <w:bottom w:val="single" w:color="auto" w:sz="6" w:space="0"/>
              <w:right w:val="single" w:color="auto" w:sz="6"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r>
      <w:tr>
        <w:tblPrEx>
          <w:tblCellMar>
            <w:top w:w="0" w:type="dxa"/>
            <w:left w:w="0" w:type="dxa"/>
            <w:bottom w:w="0" w:type="dxa"/>
            <w:right w:w="0" w:type="dxa"/>
          </w:tblCellMar>
        </w:tblPrEx>
        <w:trPr>
          <w:trHeight w:val="415" w:hRule="exact"/>
          <w:jc w:val="center"/>
        </w:trPr>
        <w:tc>
          <w:tcPr>
            <w:tcW w:w="578" w:type="dxa"/>
            <w:tcBorders>
              <w:top w:val="single" w:color="auto" w:sz="6" w:space="0"/>
              <w:left w:val="double" w:color="auto" w:sz="4" w:space="0"/>
              <w:bottom w:val="single" w:color="auto" w:sz="6" w:space="0"/>
              <w:right w:val="single" w:color="auto" w:sz="6" w:space="0"/>
            </w:tcBorders>
            <w:vAlign w:val="center"/>
          </w:tcPr>
          <w:p>
            <w:pPr>
              <w:shd w:val="clear"/>
              <w:spacing w:line="360" w:lineRule="exact"/>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p>
        </w:tc>
        <w:tc>
          <w:tcPr>
            <w:tcW w:w="2082" w:type="dxa"/>
            <w:tcBorders>
              <w:top w:val="single" w:color="auto" w:sz="6" w:space="0"/>
              <w:left w:val="single" w:color="auto" w:sz="6" w:space="0"/>
              <w:bottom w:val="single" w:color="auto" w:sz="6" w:space="0"/>
              <w:right w:val="single" w:color="auto" w:sz="6" w:space="0"/>
            </w:tcBorders>
            <w:vAlign w:val="center"/>
          </w:tcPr>
          <w:p>
            <w:pPr>
              <w:shd w:val="clear"/>
              <w:autoSpaceDE w:val="0"/>
              <w:autoSpaceDN w:val="0"/>
              <w:adjustRightInd w:val="0"/>
              <w:snapToGrid w:val="0"/>
              <w:spacing w:line="360" w:lineRule="exact"/>
              <w:jc w:val="center"/>
              <w:rPr>
                <w:rFonts w:asciiTheme="minorEastAsia" w:hAnsiTheme="minorEastAsia" w:eastAsiaTheme="minorEastAsia"/>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10" w:type="dxa"/>
            <w:tcBorders>
              <w:top w:val="single" w:color="auto" w:sz="6" w:space="0"/>
              <w:left w:val="single" w:color="auto" w:sz="4" w:space="0"/>
              <w:bottom w:val="single" w:color="auto" w:sz="6" w:space="0"/>
              <w:right w:val="single" w:color="auto" w:sz="6"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r>
      <w:tr>
        <w:tblPrEx>
          <w:tblCellMar>
            <w:top w:w="0" w:type="dxa"/>
            <w:left w:w="0" w:type="dxa"/>
            <w:bottom w:w="0" w:type="dxa"/>
            <w:right w:w="0" w:type="dxa"/>
          </w:tblCellMar>
        </w:tblPrEx>
        <w:trPr>
          <w:trHeight w:val="415" w:hRule="exact"/>
          <w:jc w:val="center"/>
        </w:trPr>
        <w:tc>
          <w:tcPr>
            <w:tcW w:w="578" w:type="dxa"/>
            <w:tcBorders>
              <w:top w:val="single" w:color="auto" w:sz="6" w:space="0"/>
              <w:left w:val="double" w:color="auto" w:sz="4" w:space="0"/>
              <w:bottom w:val="single" w:color="auto" w:sz="6" w:space="0"/>
              <w:right w:val="single" w:color="auto" w:sz="6" w:space="0"/>
            </w:tcBorders>
            <w:vAlign w:val="center"/>
          </w:tcPr>
          <w:p>
            <w:pPr>
              <w:shd w:val="clear"/>
              <w:spacing w:line="360" w:lineRule="exact"/>
              <w:jc w:val="center"/>
              <w:rPr>
                <w:color w:val="auto"/>
                <w:highlight w:val="none"/>
              </w:rPr>
            </w:pPr>
            <w:r>
              <w:rPr>
                <w:color w:val="auto"/>
                <w:highlight w:val="none"/>
              </w:rPr>
              <w:t>…</w:t>
            </w:r>
          </w:p>
        </w:tc>
        <w:tc>
          <w:tcPr>
            <w:tcW w:w="2082" w:type="dxa"/>
            <w:tcBorders>
              <w:top w:val="single" w:color="auto" w:sz="6" w:space="0"/>
              <w:left w:val="single" w:color="auto" w:sz="6" w:space="0"/>
              <w:bottom w:val="single" w:color="auto" w:sz="6" w:space="0"/>
              <w:right w:val="single" w:color="auto" w:sz="6" w:space="0"/>
            </w:tcBorders>
          </w:tcPr>
          <w:p>
            <w:pPr>
              <w:shd w:val="clear"/>
              <w:autoSpaceDE w:val="0"/>
              <w:autoSpaceDN w:val="0"/>
              <w:adjustRightInd w:val="0"/>
              <w:snapToGrid w:val="0"/>
              <w:spacing w:line="360" w:lineRule="exact"/>
              <w:ind w:left="527" w:right="507"/>
              <w:jc w:val="center"/>
              <w:rPr>
                <w:rFonts w:asciiTheme="minorEastAsia" w:hAnsiTheme="minorEastAsia" w:eastAsiaTheme="minorEastAsia"/>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92" w:type="dxa"/>
            <w:tcBorders>
              <w:top w:val="single" w:color="auto" w:sz="6" w:space="0"/>
              <w:left w:val="single" w:color="auto" w:sz="6" w:space="0"/>
              <w:bottom w:val="single" w:color="auto" w:sz="6" w:space="0"/>
              <w:right w:val="sing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1010" w:type="dxa"/>
            <w:tcBorders>
              <w:top w:val="single" w:color="auto" w:sz="6" w:space="0"/>
              <w:left w:val="single" w:color="auto" w:sz="4" w:space="0"/>
              <w:bottom w:val="single" w:color="auto" w:sz="6" w:space="0"/>
              <w:right w:val="single" w:color="auto" w:sz="6"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shd w:val="clear"/>
              <w:autoSpaceDE w:val="0"/>
              <w:autoSpaceDN w:val="0"/>
              <w:adjustRightInd w:val="0"/>
              <w:snapToGrid w:val="0"/>
              <w:spacing w:line="360" w:lineRule="exact"/>
              <w:jc w:val="left"/>
              <w:rPr>
                <w:rFonts w:asciiTheme="minorEastAsia" w:hAnsiTheme="minorEastAsia" w:eastAsiaTheme="minorEastAsia"/>
                <w:color w:val="auto"/>
                <w:kern w:val="0"/>
                <w:szCs w:val="21"/>
                <w:highlight w:val="none"/>
              </w:rPr>
            </w:pPr>
          </w:p>
        </w:tc>
      </w:tr>
    </w:tbl>
    <w:p>
      <w:pPr>
        <w:shd w:val="clear"/>
        <w:adjustRightInd w:val="0"/>
        <w:snapToGrid w:val="0"/>
        <w:spacing w:line="360" w:lineRule="auto"/>
        <w:jc w:val="both"/>
        <w:rPr>
          <w:rFonts w:hint="eastAsia" w:ascii="宋体" w:hAnsi="宋体"/>
          <w:color w:val="auto"/>
          <w:szCs w:val="21"/>
          <w:highlight w:val="none"/>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黑体" w:hAnsi="黑体" w:eastAsia="黑体"/>
          <w:bCs/>
          <w:sz w:val="30"/>
          <w:szCs w:val="30"/>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宋体" w:hAnsi="宋体"/>
          <w:color w:val="auto"/>
          <w:szCs w:val="21"/>
        </w:rPr>
      </w:pPr>
    </w:p>
    <w:p>
      <w:pPr>
        <w:pStyle w:val="2"/>
        <w:ind w:firstLine="400"/>
        <w:rPr>
          <w:rFonts w:hint="eastAsia" w:ascii="宋体" w:hAnsi="宋体" w:cs="宋体"/>
          <w:color w:val="auto"/>
        </w:rPr>
      </w:pPr>
    </w:p>
    <w:p>
      <w:pPr>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br w:type="page"/>
      </w:r>
    </w:p>
    <w:p>
      <w:pPr>
        <w:adjustRightInd w:val="0"/>
        <w:snapToGrid w:val="0"/>
        <w:jc w:val="center"/>
        <w:outlineLvl w:val="2"/>
        <w:rPr>
          <w:rFonts w:ascii="黑体" w:hAnsi="黑体" w:eastAsia="黑体"/>
          <w:sz w:val="28"/>
          <w:szCs w:val="28"/>
        </w:rPr>
      </w:pPr>
      <w:r>
        <w:rPr>
          <w:rFonts w:hint="eastAsia" w:asciiTheme="majorEastAsia" w:hAnsiTheme="majorEastAsia" w:eastAsiaTheme="majorEastAsia" w:cstheme="majorEastAsia"/>
          <w:b/>
          <w:color w:val="auto"/>
          <w:sz w:val="32"/>
          <w:szCs w:val="32"/>
          <w:lang w:eastAsia="zh-CN"/>
        </w:rPr>
        <w:t>六</w:t>
      </w:r>
      <w:r>
        <w:rPr>
          <w:rFonts w:hint="eastAsia" w:asciiTheme="majorEastAsia" w:hAnsiTheme="majorEastAsia" w:eastAsiaTheme="majorEastAsia" w:cstheme="majorEastAsia"/>
          <w:b/>
          <w:color w:val="auto"/>
          <w:sz w:val="32"/>
          <w:szCs w:val="32"/>
        </w:rPr>
        <w:t>、</w:t>
      </w:r>
      <w:r>
        <w:rPr>
          <w:rFonts w:hint="eastAsia" w:ascii="黑体" w:hAnsi="黑体" w:eastAsia="黑体"/>
          <w:sz w:val="28"/>
          <w:szCs w:val="28"/>
        </w:rPr>
        <w:t>采购需求的响应</w:t>
      </w:r>
    </w:p>
    <w:p>
      <w:pPr>
        <w:adjustRightInd w:val="0"/>
        <w:snapToGrid w:val="0"/>
        <w:spacing w:line="360" w:lineRule="auto"/>
        <w:rPr>
          <w:rFonts w:ascii="宋体" w:hAnsi="宋体"/>
          <w:b/>
          <w:szCs w:val="21"/>
        </w:rPr>
      </w:pPr>
    </w:p>
    <w:p>
      <w:pPr>
        <w:adjustRightInd w:val="0"/>
        <w:snapToGrid w:val="0"/>
        <w:spacing w:line="360" w:lineRule="auto"/>
        <w:rPr>
          <w:rFonts w:hint="eastAsia" w:ascii="宋体" w:hAnsi="宋体"/>
          <w:b/>
          <w:szCs w:val="21"/>
        </w:rPr>
      </w:pPr>
    </w:p>
    <w:p>
      <w:pPr>
        <w:adjustRightInd w:val="0"/>
        <w:snapToGrid w:val="0"/>
        <w:spacing w:line="360" w:lineRule="auto"/>
        <w:rPr>
          <w:b/>
        </w:rPr>
      </w:pPr>
      <w:r>
        <w:rPr>
          <w:rFonts w:hint="eastAsia" w:ascii="宋体" w:hAnsi="宋体"/>
          <w:b/>
          <w:szCs w:val="21"/>
        </w:rPr>
        <w:t>编制说明</w:t>
      </w:r>
      <w:r>
        <w:rPr>
          <w:rFonts w:hint="eastAsia" w:ascii="宋体" w:hAnsi="宋体"/>
          <w:bCs/>
          <w:szCs w:val="21"/>
        </w:rPr>
        <w:t>：</w:t>
      </w:r>
      <w:r>
        <w:rPr>
          <w:rFonts w:hint="eastAsia"/>
          <w:b/>
          <w:color w:val="auto"/>
          <w:highlight w:val="none"/>
        </w:rPr>
        <w:t>供应商应</w:t>
      </w:r>
      <w:r>
        <w:rPr>
          <w:rFonts w:hint="eastAsia"/>
          <w:b/>
          <w:color w:val="auto"/>
          <w:highlight w:val="none"/>
          <w:lang w:val="en-US" w:eastAsia="zh-CN"/>
        </w:rPr>
        <w:t>按磋商</w:t>
      </w:r>
      <w:r>
        <w:rPr>
          <w:rFonts w:hint="eastAsia"/>
          <w:b/>
          <w:color w:val="auto"/>
          <w:highlight w:val="none"/>
        </w:rPr>
        <w:t>文件第三章采购需求自行编写采购需求响应文件</w:t>
      </w:r>
      <w:r>
        <w:rPr>
          <w:rFonts w:hint="eastAsia"/>
          <w:b/>
          <w:color w:val="auto"/>
          <w:highlight w:val="none"/>
          <w:lang w:eastAsia="zh-CN"/>
        </w:rPr>
        <w:t>和货物说明</w:t>
      </w:r>
      <w:r>
        <w:rPr>
          <w:rFonts w:hint="eastAsia"/>
          <w:b/>
          <w:color w:val="auto"/>
          <w:highlight w:val="none"/>
        </w:rPr>
        <w:t>（格式自拟）</w:t>
      </w:r>
      <w:r>
        <w:rPr>
          <w:rFonts w:hint="eastAsia"/>
          <w:b/>
          <w:color w:val="auto"/>
          <w:highlight w:val="none"/>
          <w:lang w:eastAsia="zh-CN"/>
        </w:rPr>
        <w:t>。</w:t>
      </w:r>
    </w:p>
    <w:p/>
    <w:p>
      <w:pPr>
        <w:pStyle w:val="13"/>
        <w:tabs>
          <w:tab w:val="left" w:pos="6208"/>
        </w:tabs>
        <w:adjustRightInd w:val="0"/>
        <w:snapToGrid w:val="0"/>
        <w:spacing w:line="360" w:lineRule="auto"/>
        <w:ind w:left="-88" w:leftChars="-42"/>
        <w:rPr>
          <w:rFonts w:ascii="宋体" w:hAnsi="宋体"/>
          <w:bCs/>
          <w:sz w:val="21"/>
          <w:szCs w:val="21"/>
        </w:rPr>
      </w:pPr>
    </w:p>
    <w:p>
      <w:pPr>
        <w:rPr>
          <w:rFonts w:ascii="宋体" w:hAnsi="宋体"/>
          <w:bCs/>
          <w:sz w:val="21"/>
          <w:szCs w:val="21"/>
        </w:rPr>
      </w:pPr>
    </w:p>
    <w:p>
      <w:pPr>
        <w:pStyle w:val="11"/>
        <w:rPr>
          <w:rFonts w:ascii="宋体" w:hAnsi="宋体"/>
          <w:bCs/>
          <w:sz w:val="21"/>
          <w:szCs w:val="21"/>
        </w:rPr>
      </w:pPr>
    </w:p>
    <w:p/>
    <w:p>
      <w:pPr>
        <w:adjustRightInd w:val="0"/>
        <w:snapToGrid w:val="0"/>
        <w:spacing w:line="360" w:lineRule="auto"/>
        <w:rPr>
          <w:rFonts w:ascii="宋体" w:hAnsi="宋体"/>
          <w:szCs w:val="21"/>
        </w:rPr>
      </w:pPr>
    </w:p>
    <w:p>
      <w:pPr>
        <w:adjustRightInd w:val="0"/>
        <w:snapToGrid w:val="0"/>
        <w:spacing w:line="360" w:lineRule="auto"/>
        <w:rPr>
          <w:rFonts w:ascii="宋体" w:hAnsi="宋体"/>
          <w:szCs w:val="21"/>
        </w:rPr>
      </w:pPr>
      <w:r>
        <w:rPr>
          <w:rFonts w:hint="eastAsia" w:ascii="宋体" w:hAnsi="宋体"/>
          <w:szCs w:val="21"/>
        </w:rPr>
        <w:t>供应商名称（盖单位公章）：</w:t>
      </w:r>
    </w:p>
    <w:p>
      <w:pPr>
        <w:adjustRightInd w:val="0"/>
        <w:snapToGrid w:val="0"/>
        <w:spacing w:line="360" w:lineRule="auto"/>
        <w:rPr>
          <w:rFonts w:ascii="宋体" w:hAnsi="宋体"/>
          <w:szCs w:val="21"/>
          <w:u w:val="single"/>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numPr>
          <w:ilvl w:val="0"/>
          <w:numId w:val="0"/>
        </w:numPr>
        <w:adjustRightInd w:val="0"/>
        <w:snapToGrid w:val="0"/>
        <w:spacing w:line="360" w:lineRule="auto"/>
        <w:ind w:leftChars="200"/>
        <w:rPr>
          <w:rFonts w:hint="eastAsia"/>
          <w:b/>
          <w:color w:val="auto"/>
        </w:rPr>
      </w:pPr>
    </w:p>
    <w:p>
      <w:pPr>
        <w:adjustRightInd w:val="0"/>
        <w:snapToGrid w:val="0"/>
        <w:ind w:firstLine="643" w:firstLineChars="200"/>
        <w:jc w:val="center"/>
        <w:rPr>
          <w:rFonts w:hint="eastAsia" w:asciiTheme="majorEastAsia" w:hAnsiTheme="majorEastAsia" w:eastAsiaTheme="majorEastAsia" w:cstheme="majorEastAsia"/>
          <w:b/>
          <w:bCs/>
          <w:color w:val="auto"/>
          <w:sz w:val="32"/>
          <w:szCs w:val="32"/>
        </w:rPr>
      </w:pPr>
    </w:p>
    <w:p>
      <w:pPr>
        <w:pStyle w:val="13"/>
        <w:adjustRightInd w:val="0"/>
        <w:snapToGrid w:val="0"/>
        <w:spacing w:line="360" w:lineRule="auto"/>
        <w:ind w:firstLine="420" w:firstLineChars="200"/>
        <w:outlineLvl w:val="9"/>
        <w:rPr>
          <w:rFonts w:hint="eastAsia" w:asciiTheme="majorEastAsia" w:hAnsiTheme="majorEastAsia" w:eastAsiaTheme="majorEastAsia" w:cstheme="majorEastAsia"/>
          <w:color w:val="auto"/>
          <w:sz w:val="21"/>
          <w:szCs w:val="21"/>
        </w:rPr>
      </w:pPr>
    </w:p>
    <w:p>
      <w:pPr>
        <w:pStyle w:val="13"/>
        <w:adjustRightInd w:val="0"/>
        <w:snapToGrid w:val="0"/>
        <w:spacing w:line="360" w:lineRule="auto"/>
        <w:ind w:firstLine="420" w:firstLineChars="200"/>
        <w:outlineLvl w:val="9"/>
        <w:rPr>
          <w:rFonts w:hint="eastAsia" w:asciiTheme="majorEastAsia" w:hAnsiTheme="majorEastAsia" w:eastAsiaTheme="majorEastAsia" w:cstheme="majorEastAsia"/>
          <w:color w:val="auto"/>
          <w:sz w:val="21"/>
          <w:szCs w:val="21"/>
        </w:rPr>
      </w:pPr>
    </w:p>
    <w:p>
      <w:pPr>
        <w:pStyle w:val="13"/>
        <w:adjustRightInd w:val="0"/>
        <w:snapToGrid w:val="0"/>
        <w:spacing w:line="360" w:lineRule="auto"/>
        <w:ind w:firstLine="420" w:firstLineChars="200"/>
        <w:outlineLvl w:val="9"/>
        <w:rPr>
          <w:rFonts w:hint="eastAsia" w:asciiTheme="majorEastAsia" w:hAnsiTheme="majorEastAsia" w:eastAsiaTheme="majorEastAsia" w:cstheme="majorEastAsia"/>
          <w:color w:val="auto"/>
          <w:sz w:val="21"/>
          <w:szCs w:val="21"/>
        </w:rPr>
      </w:pPr>
    </w:p>
    <w:p>
      <w:pPr>
        <w:outlineLvl w:val="9"/>
        <w:rPr>
          <w:rFonts w:hint="eastAsia" w:asciiTheme="majorEastAsia" w:hAnsiTheme="majorEastAsia" w:eastAsiaTheme="majorEastAsia" w:cstheme="majorEastAsia"/>
          <w:color w:val="auto"/>
        </w:rPr>
      </w:pPr>
    </w:p>
    <w:p>
      <w:pPr>
        <w:outlineLvl w:val="9"/>
        <w:rPr>
          <w:rFonts w:hint="eastAsia" w:asciiTheme="majorEastAsia" w:hAnsiTheme="majorEastAsia" w:eastAsiaTheme="majorEastAsia" w:cstheme="majorEastAsia"/>
          <w:color w:val="auto"/>
        </w:rPr>
      </w:pP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p>
    <w:p>
      <w:pPr>
        <w:adjustRightInd w:val="0"/>
        <w:snapToGrid w:val="0"/>
        <w:spacing w:line="360" w:lineRule="auto"/>
        <w:outlineLvl w:val="9"/>
        <w:rPr>
          <w:rFonts w:hint="eastAsia" w:asciiTheme="majorEastAsia" w:hAnsiTheme="majorEastAsia" w:eastAsiaTheme="majorEastAsia" w:cstheme="majorEastAsia"/>
          <w:color w:val="auto"/>
          <w:szCs w:val="21"/>
        </w:rPr>
      </w:pPr>
    </w:p>
    <w:p>
      <w:pPr>
        <w:adjustRightInd w:val="0"/>
        <w:snapToGrid w:val="0"/>
        <w:spacing w:line="360" w:lineRule="auto"/>
        <w:ind w:firstLine="420" w:firstLineChars="200"/>
        <w:outlineLvl w:val="9"/>
        <w:rPr>
          <w:rFonts w:hint="eastAsia" w:asciiTheme="majorEastAsia" w:hAnsiTheme="majorEastAsia" w:eastAsiaTheme="majorEastAsia" w:cstheme="majorEastAsia"/>
          <w:color w:val="auto"/>
          <w:szCs w:val="21"/>
        </w:rPr>
      </w:pPr>
    </w:p>
    <w:p>
      <w:pPr>
        <w:pStyle w:val="2"/>
        <w:outlineLvl w:val="9"/>
        <w:rPr>
          <w:rFonts w:hint="eastAsia" w:asciiTheme="majorEastAsia" w:hAnsiTheme="majorEastAsia" w:eastAsiaTheme="majorEastAsia" w:cstheme="majorEastAsia"/>
          <w:color w:val="auto"/>
          <w:szCs w:val="21"/>
        </w:rPr>
      </w:pPr>
    </w:p>
    <w:p>
      <w:pPr>
        <w:outlineLvl w:val="9"/>
        <w:rPr>
          <w:rFonts w:hint="eastAsia" w:asciiTheme="majorEastAsia" w:hAnsiTheme="majorEastAsia" w:eastAsiaTheme="majorEastAsia" w:cstheme="majorEastAsia"/>
          <w:color w:val="auto"/>
          <w:szCs w:val="21"/>
        </w:rPr>
      </w:pPr>
    </w:p>
    <w:p>
      <w:pPr>
        <w:pStyle w:val="2"/>
        <w:outlineLvl w:val="9"/>
        <w:rPr>
          <w:rFonts w:hint="eastAsia" w:asciiTheme="majorEastAsia" w:hAnsiTheme="majorEastAsia" w:eastAsiaTheme="majorEastAsia" w:cstheme="majorEastAsia"/>
          <w:color w:val="auto"/>
          <w:szCs w:val="21"/>
        </w:rPr>
      </w:pPr>
    </w:p>
    <w:p>
      <w:pPr>
        <w:outlineLvl w:val="9"/>
        <w:rPr>
          <w:rFonts w:hint="eastAsia" w:asciiTheme="majorEastAsia" w:hAnsiTheme="majorEastAsia" w:eastAsiaTheme="majorEastAsia" w:cstheme="majorEastAsia"/>
          <w:color w:val="auto"/>
          <w:szCs w:val="21"/>
        </w:rPr>
      </w:pPr>
    </w:p>
    <w:p>
      <w:pPr>
        <w:pStyle w:val="2"/>
        <w:outlineLvl w:val="9"/>
        <w:rPr>
          <w:rFonts w:hint="eastAsia" w:asciiTheme="majorEastAsia" w:hAnsiTheme="majorEastAsia" w:eastAsiaTheme="majorEastAsia" w:cstheme="majorEastAsia"/>
          <w:color w:val="auto"/>
          <w:szCs w:val="21"/>
        </w:rPr>
      </w:pPr>
    </w:p>
    <w:p>
      <w:pPr>
        <w:outlineLvl w:val="9"/>
        <w:rPr>
          <w:rFonts w:hint="eastAsia" w:asciiTheme="majorEastAsia" w:hAnsiTheme="majorEastAsia" w:eastAsiaTheme="majorEastAsia" w:cstheme="majorEastAsia"/>
          <w:color w:val="auto"/>
          <w:szCs w:val="21"/>
        </w:rPr>
      </w:pPr>
    </w:p>
    <w:p>
      <w:pPr>
        <w:pStyle w:val="2"/>
        <w:outlineLvl w:val="9"/>
        <w:rPr>
          <w:rFonts w:hint="eastAsia" w:asciiTheme="majorEastAsia" w:hAnsiTheme="majorEastAsia" w:eastAsiaTheme="majorEastAsia" w:cstheme="majorEastAsia"/>
          <w:color w:val="auto"/>
          <w:szCs w:val="21"/>
        </w:rPr>
      </w:pPr>
    </w:p>
    <w:p>
      <w:pPr>
        <w:outlineLvl w:val="9"/>
        <w:rPr>
          <w:rFonts w:hint="eastAsia" w:asciiTheme="majorEastAsia" w:hAnsiTheme="majorEastAsia" w:eastAsiaTheme="majorEastAsia" w:cstheme="majorEastAsia"/>
          <w:color w:val="auto"/>
          <w:szCs w:val="21"/>
        </w:rPr>
      </w:pPr>
    </w:p>
    <w:p>
      <w:pPr>
        <w:pStyle w:val="2"/>
        <w:rPr>
          <w:rFonts w:hint="eastAsia" w:asciiTheme="majorEastAsia" w:hAnsiTheme="majorEastAsia" w:eastAsiaTheme="majorEastAsia" w:cstheme="majorEastAsia"/>
          <w:color w:val="auto"/>
          <w:szCs w:val="21"/>
        </w:rPr>
      </w:pPr>
    </w:p>
    <w:p>
      <w:pPr>
        <w:rPr>
          <w:rFonts w:hint="eastAsia" w:asciiTheme="majorEastAsia" w:hAnsiTheme="majorEastAsia" w:eastAsiaTheme="majorEastAsia" w:cstheme="majorEastAsia"/>
          <w:color w:val="auto"/>
          <w:szCs w:val="21"/>
        </w:rPr>
      </w:pPr>
    </w:p>
    <w:p>
      <w:pPr>
        <w:pStyle w:val="2"/>
        <w:rPr>
          <w:rFonts w:hint="eastAsia" w:asciiTheme="majorEastAsia" w:hAnsiTheme="majorEastAsia" w:eastAsiaTheme="majorEastAsia" w:cstheme="majorEastAsia"/>
          <w:color w:val="auto"/>
        </w:rPr>
      </w:pPr>
    </w:p>
    <w:p>
      <w:pPr>
        <w:adjustRightInd w:val="0"/>
        <w:snapToGrid w:val="0"/>
        <w:rPr>
          <w:rFonts w:hint="eastAsia" w:asciiTheme="majorEastAsia" w:hAnsiTheme="majorEastAsia" w:eastAsiaTheme="majorEastAsia" w:cstheme="majorEastAsia"/>
          <w:color w:val="auto"/>
          <w:sz w:val="24"/>
        </w:rPr>
      </w:pPr>
    </w:p>
    <w:p>
      <w:pPr>
        <w:pStyle w:val="2"/>
        <w:ind w:left="0" w:leftChars="0" w:firstLine="0" w:firstLineChars="0"/>
        <w:outlineLvl w:val="9"/>
        <w:rPr>
          <w:rFonts w:hint="eastAsia" w:asciiTheme="majorEastAsia" w:hAnsiTheme="majorEastAsia" w:eastAsiaTheme="majorEastAsia" w:cstheme="majorEastAsia"/>
          <w:b/>
          <w:color w:val="auto"/>
          <w:szCs w:val="21"/>
        </w:rPr>
      </w:pPr>
    </w:p>
    <w:p>
      <w:pPr>
        <w:pStyle w:val="2"/>
        <w:ind w:left="0" w:leftChars="0" w:firstLine="0" w:firstLineChars="0"/>
        <w:outlineLvl w:val="9"/>
        <w:rPr>
          <w:rFonts w:hint="eastAsia" w:asciiTheme="majorEastAsia" w:hAnsiTheme="majorEastAsia" w:eastAsiaTheme="majorEastAsia" w:cstheme="majorEastAsia"/>
          <w:b/>
          <w:color w:val="auto"/>
          <w:szCs w:val="21"/>
        </w:rPr>
      </w:pPr>
    </w:p>
    <w:p>
      <w:pPr>
        <w:spacing w:line="360" w:lineRule="atLeast"/>
        <w:jc w:val="center"/>
        <w:rPr>
          <w:rFonts w:hint="eastAsia" w:asciiTheme="majorEastAsia" w:hAnsiTheme="majorEastAsia" w:eastAsiaTheme="majorEastAsia" w:cstheme="majorEastAsia"/>
          <w:bCs/>
          <w:color w:val="auto"/>
          <w:sz w:val="28"/>
          <w:szCs w:val="28"/>
        </w:rPr>
      </w:pPr>
    </w:p>
    <w:p>
      <w:pPr>
        <w:spacing w:line="360" w:lineRule="atLeast"/>
        <w:jc w:val="center"/>
        <w:rPr>
          <w:rFonts w:hint="eastAsia" w:asciiTheme="majorEastAsia" w:hAnsiTheme="majorEastAsia" w:eastAsiaTheme="majorEastAsia" w:cstheme="majorEastAsia"/>
          <w:bCs/>
          <w:color w:val="auto"/>
          <w:sz w:val="28"/>
          <w:szCs w:val="28"/>
        </w:rPr>
      </w:pPr>
    </w:p>
    <w:p>
      <w:pPr>
        <w:tabs>
          <w:tab w:val="left" w:pos="3600"/>
        </w:tabs>
        <w:adjustRightInd w:val="0"/>
        <w:snapToGrid w:val="0"/>
        <w:jc w:val="center"/>
        <w:outlineLvl w:val="2"/>
        <w:rPr>
          <w:rFonts w:hint="eastAsia" w:ascii="宋体" w:hAnsi="宋体" w:cs="宋体"/>
          <w:b/>
          <w:color w:val="auto"/>
          <w:sz w:val="32"/>
          <w:szCs w:val="32"/>
        </w:rPr>
      </w:pPr>
      <w:bookmarkStart w:id="91" w:name="_Toc14856"/>
      <w:r>
        <w:rPr>
          <w:rFonts w:hint="eastAsia" w:ascii="宋体" w:hAnsi="宋体" w:cs="宋体"/>
          <w:b/>
          <w:color w:val="auto"/>
          <w:sz w:val="32"/>
          <w:szCs w:val="32"/>
          <w:lang w:eastAsia="zh-CN"/>
        </w:rPr>
        <w:t>七</w:t>
      </w:r>
      <w:r>
        <w:rPr>
          <w:rFonts w:hint="eastAsia" w:ascii="宋体" w:hAnsi="宋体" w:cs="宋体"/>
          <w:b/>
          <w:color w:val="auto"/>
          <w:sz w:val="32"/>
          <w:szCs w:val="32"/>
        </w:rPr>
        <w:t>、享受政府采购政策优惠的证明资料</w:t>
      </w:r>
      <w:bookmarkEnd w:id="91"/>
    </w:p>
    <w:p>
      <w:pPr>
        <w:outlineLvl w:val="9"/>
        <w:rPr>
          <w:rFonts w:hint="eastAsia" w:ascii="黑体" w:hAnsi="宋体" w:cs="宋体"/>
          <w:b w:val="0"/>
          <w:color w:val="auto"/>
          <w:sz w:val="21"/>
          <w:szCs w:val="21"/>
        </w:rPr>
      </w:pPr>
    </w:p>
    <w:p>
      <w:pPr>
        <w:outlineLvl w:val="9"/>
        <w:rPr>
          <w:rFonts w:ascii="黑体" w:hAnsi="宋体"/>
          <w:b w:val="0"/>
          <w:color w:val="auto"/>
          <w:spacing w:val="6"/>
          <w:sz w:val="21"/>
          <w:szCs w:val="21"/>
        </w:rPr>
      </w:pPr>
      <w:r>
        <w:rPr>
          <w:rFonts w:hint="eastAsia" w:ascii="黑体" w:hAnsi="宋体" w:cs="宋体"/>
          <w:b w:val="0"/>
          <w:color w:val="auto"/>
          <w:sz w:val="21"/>
          <w:szCs w:val="21"/>
        </w:rPr>
        <w:t>附件8-1</w:t>
      </w:r>
      <w:r>
        <w:rPr>
          <w:rFonts w:hint="eastAsia" w:ascii="黑体" w:hAnsi="宋体"/>
          <w:b w:val="0"/>
          <w:color w:val="auto"/>
          <w:spacing w:val="6"/>
          <w:sz w:val="21"/>
          <w:szCs w:val="21"/>
        </w:rPr>
        <w:t>残疾人福利性单位声明函</w:t>
      </w:r>
    </w:p>
    <w:p>
      <w:pPr>
        <w:adjustRightInd w:val="0"/>
        <w:snapToGrid w:val="0"/>
        <w:spacing w:line="360" w:lineRule="auto"/>
        <w:jc w:val="center"/>
        <w:rPr>
          <w:rFonts w:ascii="黑体" w:hAnsi="黑体" w:eastAsia="黑体"/>
          <w:b/>
          <w:color w:val="auto"/>
          <w:spacing w:val="6"/>
          <w:sz w:val="28"/>
          <w:szCs w:val="28"/>
        </w:rPr>
      </w:pPr>
      <w:r>
        <w:rPr>
          <w:rFonts w:hint="eastAsia" w:ascii="黑体" w:hAnsi="黑体" w:eastAsia="黑体"/>
          <w:b/>
          <w:color w:val="auto"/>
          <w:spacing w:val="6"/>
          <w:sz w:val="28"/>
          <w:szCs w:val="28"/>
        </w:rPr>
        <w:t>残疾人福利性单位声明函</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(不属于残疾人福利性单位的无需填写)</w:t>
      </w:r>
    </w:p>
    <w:p>
      <w:pPr>
        <w:adjustRightInd w:val="0"/>
        <w:snapToGrid w:val="0"/>
        <w:spacing w:line="360" w:lineRule="auto"/>
        <w:ind w:firstLine="444" w:firstLineChars="200"/>
        <w:rPr>
          <w:rFonts w:ascii="宋体" w:hAnsi="宋体"/>
          <w:color w:val="auto"/>
          <w:spacing w:val="6"/>
          <w:szCs w:val="21"/>
        </w:rPr>
      </w:pPr>
    </w:p>
    <w:p>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〔2017〕141</w:t>
      </w:r>
      <w:r>
        <w:rPr>
          <w:rFonts w:hint="eastAsia" w:ascii="宋体" w:hAnsi="宋体"/>
          <w:color w:val="auto"/>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pPr>
        <w:adjustRightInd w:val="0"/>
        <w:snapToGrid w:val="0"/>
        <w:spacing w:line="360" w:lineRule="auto"/>
        <w:ind w:firstLine="444" w:firstLineChars="200"/>
        <w:rPr>
          <w:rFonts w:ascii="宋体" w:hAnsi="宋体"/>
          <w:color w:val="auto"/>
          <w:spacing w:val="6"/>
          <w:szCs w:val="21"/>
        </w:rPr>
      </w:pPr>
    </w:p>
    <w:p>
      <w:pPr>
        <w:adjustRightInd w:val="0"/>
        <w:snapToGrid w:val="0"/>
        <w:spacing w:line="360" w:lineRule="auto"/>
        <w:ind w:firstLine="444" w:firstLineChars="200"/>
        <w:rPr>
          <w:rFonts w:ascii="宋体" w:hAnsi="宋体"/>
          <w:color w:val="auto"/>
          <w:spacing w:val="6"/>
          <w:szCs w:val="21"/>
        </w:rPr>
      </w:pPr>
    </w:p>
    <w:p>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单位名称（盖章）：</w:t>
      </w:r>
    </w:p>
    <w:p>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日  期：</w:t>
      </w:r>
    </w:p>
    <w:p>
      <w:pPr>
        <w:widowControl/>
        <w:adjustRightInd w:val="0"/>
        <w:snapToGrid w:val="0"/>
        <w:spacing w:line="360" w:lineRule="auto"/>
        <w:jc w:val="left"/>
        <w:rPr>
          <w:rFonts w:ascii="宋体" w:hAnsi="宋体" w:cs="宋体"/>
          <w:color w:val="auto"/>
          <w:kern w:val="0"/>
          <w:szCs w:val="21"/>
        </w:rPr>
      </w:pPr>
    </w:p>
    <w:p>
      <w:pPr>
        <w:widowControl/>
        <w:jc w:val="left"/>
        <w:rPr>
          <w:rFonts w:ascii="黑体" w:hAnsi="华文中宋" w:eastAsia="黑体" w:cs="宋体"/>
          <w:color w:val="auto"/>
          <w:spacing w:val="6"/>
          <w:kern w:val="0"/>
          <w:szCs w:val="21"/>
        </w:rPr>
      </w:pPr>
      <w:r>
        <w:rPr>
          <w:rFonts w:ascii="黑体" w:hAnsi="华文中宋" w:cs="宋体"/>
          <w:b/>
          <w:bCs/>
          <w:color w:val="auto"/>
          <w:spacing w:val="6"/>
          <w:kern w:val="0"/>
          <w:szCs w:val="21"/>
        </w:rPr>
        <w:br w:type="page"/>
      </w:r>
    </w:p>
    <w:p>
      <w:pPr>
        <w:outlineLvl w:val="9"/>
        <w:rPr>
          <w:rFonts w:ascii="黑体" w:hAnsi="宋体"/>
          <w:b w:val="0"/>
          <w:color w:val="auto"/>
          <w:sz w:val="21"/>
          <w:szCs w:val="21"/>
        </w:rPr>
      </w:pPr>
      <w:bookmarkStart w:id="92" w:name="_Toc5827"/>
      <w:bookmarkStart w:id="93" w:name="_Toc19152"/>
      <w:r>
        <w:rPr>
          <w:rFonts w:hint="eastAsia" w:ascii="黑体" w:hAnsi="宋体" w:cs="宋体"/>
          <w:b w:val="0"/>
          <w:color w:val="auto"/>
          <w:sz w:val="21"/>
          <w:szCs w:val="21"/>
        </w:rPr>
        <w:t xml:space="preserve">附件8-2 </w:t>
      </w:r>
      <w:r>
        <w:rPr>
          <w:rFonts w:hint="eastAsia" w:ascii="黑体" w:hAnsi="宋体"/>
          <w:b w:val="0"/>
          <w:color w:val="auto"/>
          <w:sz w:val="21"/>
          <w:szCs w:val="21"/>
        </w:rPr>
        <w:t>监狱企业证明资料</w:t>
      </w:r>
      <w:bookmarkEnd w:id="92"/>
      <w:bookmarkEnd w:id="93"/>
    </w:p>
    <w:p>
      <w:pPr>
        <w:adjustRightInd w:val="0"/>
        <w:snapToGrid w:val="0"/>
        <w:spacing w:line="360" w:lineRule="auto"/>
        <w:jc w:val="center"/>
        <w:rPr>
          <w:rFonts w:ascii="黑体" w:hAnsi="宋体"/>
          <w:b/>
          <w:color w:val="auto"/>
          <w:sz w:val="28"/>
          <w:szCs w:val="28"/>
        </w:rPr>
      </w:pPr>
      <w:r>
        <w:rPr>
          <w:rFonts w:hint="eastAsia" w:ascii="黑体" w:hAnsi="宋体"/>
          <w:b/>
          <w:color w:val="auto"/>
          <w:sz w:val="28"/>
          <w:szCs w:val="28"/>
        </w:rPr>
        <w:t>监狱企业证明资料</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(不属于监狱企业的无需提供)</w:t>
      </w:r>
    </w:p>
    <w:p>
      <w:pPr>
        <w:adjustRightInd w:val="0"/>
        <w:snapToGrid w:val="0"/>
        <w:spacing w:line="360" w:lineRule="auto"/>
        <w:rPr>
          <w:rFonts w:ascii="宋体" w:hAnsi="宋体"/>
          <w:color w:val="auto"/>
          <w:szCs w:val="21"/>
        </w:rPr>
      </w:pPr>
    </w:p>
    <w:p>
      <w:pPr>
        <w:adjustRightInd w:val="0"/>
        <w:snapToGrid w:val="0"/>
        <w:spacing w:line="360" w:lineRule="auto"/>
        <w:ind w:firstLine="444" w:firstLineChars="200"/>
        <w:rPr>
          <w:rFonts w:ascii="宋体" w:hAnsi="宋体"/>
          <w:color w:val="auto"/>
          <w:szCs w:val="21"/>
        </w:rPr>
      </w:pPr>
      <w:r>
        <w:rPr>
          <w:rFonts w:hint="eastAsia" w:ascii="宋体" w:hAnsi="宋体" w:cs="宋体"/>
          <w:bCs/>
          <w:color w:val="auto"/>
          <w:spacing w:val="6"/>
          <w:kern w:val="0"/>
          <w:szCs w:val="21"/>
        </w:rPr>
        <w:t>备注：</w:t>
      </w:r>
      <w:r>
        <w:rPr>
          <w:rFonts w:hint="eastAsia" w:ascii="宋体" w:hAnsi="宋体"/>
          <w:color w:val="auto"/>
          <w:szCs w:val="21"/>
        </w:rPr>
        <w:t>按</w:t>
      </w:r>
      <w:r>
        <w:rPr>
          <w:rFonts w:hint="eastAsia" w:ascii="宋体" w:hAnsi="宋体"/>
          <w:color w:val="auto"/>
          <w:spacing w:val="6"/>
          <w:szCs w:val="21"/>
        </w:rPr>
        <w:t>《</w:t>
      </w:r>
      <w:r>
        <w:rPr>
          <w:rFonts w:hint="eastAsia" w:ascii="宋体" w:hAnsi="宋体"/>
          <w:color w:val="auto"/>
          <w:szCs w:val="21"/>
        </w:rPr>
        <w:t>财政部 司法部关于政府采购支持监狱企业发展有关问题的通知</w:t>
      </w:r>
      <w:r>
        <w:rPr>
          <w:rFonts w:hint="eastAsia" w:ascii="宋体" w:hAnsi="宋体"/>
          <w:color w:val="auto"/>
          <w:spacing w:val="6"/>
          <w:szCs w:val="21"/>
        </w:rPr>
        <w:t>》</w:t>
      </w:r>
      <w:r>
        <w:rPr>
          <w:rFonts w:hint="eastAsia" w:ascii="宋体" w:hAnsi="宋体"/>
          <w:color w:val="auto"/>
          <w:szCs w:val="21"/>
        </w:rPr>
        <w:t>(财库〔2014〕68号)文件规定提供证明文件（复印件）。</w:t>
      </w:r>
    </w:p>
    <w:p>
      <w:pPr>
        <w:adjustRightInd w:val="0"/>
        <w:snapToGrid w:val="0"/>
        <w:spacing w:line="360" w:lineRule="auto"/>
        <w:rPr>
          <w:rFonts w:ascii="黑体" w:hAnsi="华文中宋" w:eastAsia="黑体" w:cs="宋体"/>
          <w:bCs/>
          <w:color w:val="auto"/>
          <w:spacing w:val="6"/>
          <w:kern w:val="0"/>
          <w:szCs w:val="21"/>
        </w:rPr>
      </w:pPr>
      <w:r>
        <w:rPr>
          <w:rFonts w:ascii="黑体" w:hAnsi="华文中宋" w:eastAsia="黑体" w:cs="宋体"/>
          <w:bCs/>
          <w:color w:val="auto"/>
          <w:spacing w:val="6"/>
          <w:kern w:val="0"/>
          <w:szCs w:val="21"/>
        </w:rPr>
        <w:br w:type="page"/>
      </w:r>
    </w:p>
    <w:p>
      <w:pPr>
        <w:outlineLvl w:val="9"/>
        <w:rPr>
          <w:rFonts w:ascii="黑体" w:hAnsi="宋体"/>
          <w:b w:val="0"/>
          <w:color w:val="auto"/>
          <w:sz w:val="21"/>
          <w:szCs w:val="21"/>
        </w:rPr>
      </w:pPr>
      <w:bookmarkStart w:id="94" w:name="_Toc7039"/>
      <w:bookmarkStart w:id="95" w:name="_Toc22339"/>
      <w:r>
        <w:rPr>
          <w:rFonts w:hint="eastAsia" w:ascii="黑体" w:hAnsi="华文中宋" w:cs="宋体"/>
          <w:b w:val="0"/>
          <w:bCs w:val="0"/>
          <w:color w:val="auto"/>
          <w:spacing w:val="6"/>
          <w:sz w:val="21"/>
          <w:szCs w:val="21"/>
        </w:rPr>
        <w:t xml:space="preserve">附件8-3 </w:t>
      </w:r>
      <w:r>
        <w:rPr>
          <w:rFonts w:hint="eastAsia" w:ascii="黑体" w:hAnsi="宋体"/>
          <w:b w:val="0"/>
          <w:color w:val="auto"/>
          <w:sz w:val="21"/>
          <w:szCs w:val="21"/>
        </w:rPr>
        <w:t>强制采购或者优先采购产品</w:t>
      </w:r>
      <w:r>
        <w:rPr>
          <w:rFonts w:hint="eastAsia" w:ascii="黑体" w:hAnsi="宋体"/>
          <w:b w:val="0"/>
          <w:bCs w:val="0"/>
          <w:color w:val="auto"/>
          <w:sz w:val="21"/>
          <w:szCs w:val="21"/>
        </w:rPr>
        <w:t>的</w:t>
      </w:r>
      <w:r>
        <w:rPr>
          <w:rFonts w:hint="eastAsia" w:ascii="黑体" w:hAnsi="宋体"/>
          <w:b w:val="0"/>
          <w:color w:val="auto"/>
          <w:sz w:val="21"/>
          <w:szCs w:val="21"/>
        </w:rPr>
        <w:t>证明材料</w:t>
      </w:r>
      <w:bookmarkEnd w:id="94"/>
      <w:bookmarkEnd w:id="95"/>
    </w:p>
    <w:p>
      <w:pPr>
        <w:adjustRightInd w:val="0"/>
        <w:snapToGrid w:val="0"/>
        <w:spacing w:line="360" w:lineRule="auto"/>
        <w:jc w:val="center"/>
        <w:rPr>
          <w:rFonts w:ascii="黑体" w:hAnsi="黑体" w:eastAsia="黑体"/>
          <w:b/>
          <w:color w:val="auto"/>
          <w:sz w:val="28"/>
          <w:szCs w:val="28"/>
        </w:rPr>
      </w:pPr>
      <w:r>
        <w:rPr>
          <w:rFonts w:hint="eastAsia" w:ascii="黑体" w:hAnsi="黑体" w:eastAsia="黑体"/>
          <w:b/>
          <w:color w:val="auto"/>
          <w:sz w:val="28"/>
          <w:szCs w:val="28"/>
        </w:rPr>
        <w:t>强制采购或者优先采购产品</w:t>
      </w:r>
      <w:r>
        <w:rPr>
          <w:rFonts w:hint="eastAsia" w:ascii="黑体" w:hAnsi="黑体" w:eastAsia="黑体"/>
          <w:b/>
          <w:bCs/>
          <w:color w:val="auto"/>
          <w:sz w:val="28"/>
          <w:szCs w:val="28"/>
        </w:rPr>
        <w:t>的</w:t>
      </w:r>
      <w:r>
        <w:rPr>
          <w:rFonts w:hint="eastAsia" w:ascii="黑体" w:hAnsi="黑体" w:eastAsia="黑体"/>
          <w:b/>
          <w:color w:val="auto"/>
          <w:sz w:val="28"/>
          <w:szCs w:val="28"/>
        </w:rPr>
        <w:t>证明材料</w:t>
      </w:r>
    </w:p>
    <w:p>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(不属于强制采购或者优先采购产品的无需提供)</w:t>
      </w:r>
    </w:p>
    <w:p>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说明：</w:t>
      </w:r>
      <w:r>
        <w:rPr>
          <w:rFonts w:hint="eastAsia" w:ascii="宋体" w:hAnsi="宋体" w:cs="宋体"/>
          <w:color w:val="auto"/>
          <w:szCs w:val="21"/>
        </w:rPr>
        <w:t>供应商</w:t>
      </w:r>
      <w:r>
        <w:rPr>
          <w:rFonts w:hint="eastAsia" w:ascii="宋体" w:hAnsi="宋体"/>
          <w:color w:val="auto"/>
          <w:szCs w:val="21"/>
        </w:rPr>
        <w:t>提供的产品</w:t>
      </w:r>
      <w:r>
        <w:rPr>
          <w:rFonts w:hint="eastAsia" w:ascii="宋体" w:hAnsi="宋体"/>
          <w:bCs/>
          <w:color w:val="auto"/>
          <w:szCs w:val="21"/>
        </w:rPr>
        <w:t>属于强制采购或者优先采购的</w:t>
      </w:r>
      <w:r>
        <w:rPr>
          <w:rFonts w:hint="eastAsia" w:ascii="宋体" w:hAnsi="宋体"/>
          <w:color w:val="auto"/>
          <w:szCs w:val="21"/>
        </w:rPr>
        <w:t>，</w:t>
      </w:r>
      <w:r>
        <w:rPr>
          <w:rFonts w:hint="eastAsia" w:ascii="宋体" w:hAnsi="宋体" w:cs="宋体"/>
          <w:color w:val="auto"/>
          <w:szCs w:val="21"/>
        </w:rPr>
        <w:t>应按第二章磋商须知第39.5</w:t>
      </w:r>
      <w:r>
        <w:rPr>
          <w:rFonts w:hint="eastAsia" w:ascii="宋体" w:hAnsi="宋体" w:cs="宋体"/>
          <w:color w:val="auto"/>
          <w:kern w:val="0"/>
          <w:szCs w:val="21"/>
          <w:lang w:val="zh-CN"/>
        </w:rPr>
        <w:t>款</w:t>
      </w:r>
      <w:r>
        <w:rPr>
          <w:rFonts w:hint="eastAsia" w:ascii="宋体" w:hAnsi="宋体" w:cs="宋体"/>
          <w:color w:val="auto"/>
          <w:szCs w:val="21"/>
        </w:rPr>
        <w:t>规定提供相关证明材料</w:t>
      </w:r>
      <w:r>
        <w:rPr>
          <w:rFonts w:hint="eastAsia" w:ascii="宋体" w:hAnsi="宋体"/>
          <w:color w:val="auto"/>
          <w:szCs w:val="21"/>
        </w:rPr>
        <w:t>和本章本节附页2“优先采购产品清单”，并加盖投标人单位章。</w:t>
      </w:r>
    </w:p>
    <w:p>
      <w:pPr>
        <w:adjustRightInd w:val="0"/>
        <w:snapToGrid w:val="0"/>
        <w:spacing w:line="360" w:lineRule="auto"/>
        <w:ind w:firstLine="420" w:firstLineChars="200"/>
        <w:jc w:val="left"/>
        <w:rPr>
          <w:rFonts w:ascii="宋体" w:hAnsi="宋体"/>
          <w:color w:val="auto"/>
          <w:szCs w:val="21"/>
        </w:rPr>
      </w:pPr>
    </w:p>
    <w:p>
      <w:pPr>
        <w:tabs>
          <w:tab w:val="left" w:pos="3600"/>
        </w:tabs>
        <w:adjustRightInd w:val="0"/>
        <w:snapToGrid w:val="0"/>
        <w:rPr>
          <w:rFonts w:hint="eastAsia" w:ascii="宋体" w:hAnsi="宋体" w:cs="宋体"/>
          <w:b/>
          <w:color w:val="auto"/>
          <w:sz w:val="32"/>
          <w:szCs w:val="32"/>
        </w:rPr>
      </w:pPr>
    </w:p>
    <w:p>
      <w:pPr>
        <w:pStyle w:val="2"/>
        <w:ind w:firstLine="444"/>
        <w:rPr>
          <w:rFonts w:hint="eastAsia" w:ascii="宋体" w:hAnsi="宋体" w:cs="宋体"/>
          <w:color w:val="auto"/>
          <w:spacing w:val="6"/>
          <w:sz w:val="21"/>
          <w:szCs w:val="21"/>
        </w:rPr>
      </w:pPr>
    </w:p>
    <w:p>
      <w:pPr>
        <w:jc w:val="left"/>
        <w:outlineLvl w:val="9"/>
        <w:rPr>
          <w:rFonts w:ascii="黑体" w:hAnsi="宋体"/>
          <w:b w:val="0"/>
          <w:color w:val="auto"/>
          <w:sz w:val="21"/>
          <w:szCs w:val="21"/>
        </w:rPr>
      </w:pPr>
      <w:bookmarkStart w:id="96" w:name="_Toc10965"/>
      <w:bookmarkStart w:id="97" w:name="_Toc29525"/>
      <w:r>
        <w:rPr>
          <w:rFonts w:hint="eastAsia" w:ascii="黑体" w:hAnsi="华文中宋" w:cs="宋体"/>
          <w:b w:val="0"/>
          <w:bCs w:val="0"/>
          <w:color w:val="auto"/>
          <w:spacing w:val="6"/>
          <w:sz w:val="21"/>
          <w:szCs w:val="21"/>
        </w:rPr>
        <w:br w:type="page"/>
      </w:r>
      <w:r>
        <w:rPr>
          <w:rFonts w:hint="eastAsia" w:ascii="黑体" w:hAnsi="华文中宋" w:cs="宋体"/>
          <w:b w:val="0"/>
          <w:bCs w:val="0"/>
          <w:color w:val="auto"/>
          <w:spacing w:val="6"/>
          <w:sz w:val="21"/>
          <w:szCs w:val="21"/>
        </w:rPr>
        <w:t xml:space="preserve">附页 2 </w:t>
      </w:r>
      <w:r>
        <w:rPr>
          <w:rFonts w:hint="eastAsia" w:ascii="黑体" w:hAnsi="宋体"/>
          <w:b w:val="0"/>
          <w:color w:val="auto"/>
          <w:sz w:val="21"/>
          <w:szCs w:val="21"/>
        </w:rPr>
        <w:t>优先采购产品清单</w:t>
      </w:r>
      <w:bookmarkEnd w:id="96"/>
      <w:bookmarkEnd w:id="97"/>
    </w:p>
    <w:p>
      <w:pPr>
        <w:adjustRightInd w:val="0"/>
        <w:snapToGrid w:val="0"/>
        <w:spacing w:line="360" w:lineRule="auto"/>
        <w:jc w:val="center"/>
        <w:rPr>
          <w:rFonts w:ascii="宋体" w:hAnsi="宋体"/>
          <w:b/>
          <w:color w:val="auto"/>
          <w:spacing w:val="6"/>
          <w:szCs w:val="21"/>
        </w:rPr>
      </w:pPr>
      <w:r>
        <w:rPr>
          <w:rFonts w:hint="eastAsia" w:ascii="黑体" w:hAnsi="宋体" w:eastAsia="黑体"/>
          <w:b/>
          <w:color w:val="auto"/>
          <w:sz w:val="28"/>
          <w:szCs w:val="28"/>
        </w:rPr>
        <w:t>优先采购产品清单</w:t>
      </w:r>
    </w:p>
    <w:p>
      <w:pPr>
        <w:adjustRightInd w:val="0"/>
        <w:snapToGrid w:val="0"/>
        <w:spacing w:line="360" w:lineRule="auto"/>
        <w:rPr>
          <w:rFonts w:ascii="宋体" w:hAnsi="宋体"/>
          <w:color w:val="auto"/>
          <w:szCs w:val="21"/>
        </w:rPr>
      </w:pPr>
      <w:r>
        <w:rPr>
          <w:rFonts w:hint="eastAsia" w:ascii="宋体" w:hAnsi="宋体"/>
          <w:color w:val="auto"/>
          <w:szCs w:val="21"/>
        </w:rPr>
        <w:t>采购代理编号：</w:t>
      </w:r>
      <w:r>
        <w:rPr>
          <w:rFonts w:hint="eastAsia" w:ascii="宋体" w:hAnsi="宋体"/>
          <w:color w:val="auto"/>
          <w:szCs w:val="21"/>
          <w:u w:val="single"/>
        </w:rPr>
        <w:t xml:space="preserve">              </w:t>
      </w:r>
      <w:r>
        <w:rPr>
          <w:rFonts w:hint="eastAsia" w:ascii="宋体" w:hAnsi="宋体"/>
          <w:color w:val="auto"/>
          <w:szCs w:val="21"/>
        </w:rPr>
        <w:t xml:space="preserve">                     项目名称：</w:t>
      </w:r>
      <w:r>
        <w:rPr>
          <w:rFonts w:hint="eastAsia" w:ascii="宋体" w:hAnsi="宋体"/>
          <w:color w:val="auto"/>
          <w:szCs w:val="21"/>
          <w:u w:val="single"/>
        </w:rPr>
        <w:t xml:space="preserve">                   </w:t>
      </w:r>
      <w:r>
        <w:rPr>
          <w:rFonts w:hint="eastAsia" w:ascii="宋体" w:hAnsi="宋体"/>
          <w:color w:val="auto"/>
          <w:szCs w:val="21"/>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包       号：</w:t>
      </w:r>
      <w:r>
        <w:rPr>
          <w:rFonts w:hint="eastAsia" w:ascii="宋体" w:hAnsi="宋体"/>
          <w:color w:val="auto"/>
          <w:szCs w:val="21"/>
          <w:u w:val="single"/>
        </w:rPr>
        <w:t xml:space="preserve">               </w:t>
      </w:r>
      <w:r>
        <w:rPr>
          <w:rFonts w:hint="eastAsia" w:ascii="宋体" w:hAnsi="宋体"/>
          <w:color w:val="auto"/>
          <w:szCs w:val="21"/>
        </w:rPr>
        <w:t xml:space="preserve">                     包名称：</w:t>
      </w:r>
      <w:r>
        <w:rPr>
          <w:rFonts w:hint="eastAsia" w:ascii="宋体" w:hAnsi="宋体"/>
          <w:color w:val="auto"/>
          <w:szCs w:val="21"/>
          <w:u w:val="single"/>
        </w:rPr>
        <w:t xml:space="preserve">                     </w:t>
      </w:r>
      <w:r>
        <w:rPr>
          <w:rFonts w:hint="eastAsia" w:ascii="宋体" w:hAnsi="宋体"/>
          <w:color w:val="auto"/>
          <w:szCs w:val="21"/>
        </w:rPr>
        <w:t xml:space="preserve">  </w:t>
      </w:r>
    </w:p>
    <w:tbl>
      <w:tblPr>
        <w:tblStyle w:val="20"/>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1134"/>
        <w:gridCol w:w="1418"/>
        <w:gridCol w:w="1984"/>
        <w:gridCol w:w="1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 w:hRule="atLeast"/>
        </w:trPr>
        <w:tc>
          <w:tcPr>
            <w:tcW w:w="8789" w:type="dxa"/>
            <w:gridSpan w:val="6"/>
            <w:noWrap w:val="0"/>
            <w:vAlign w:val="center"/>
          </w:tcPr>
          <w:p>
            <w:pPr>
              <w:widowControl/>
              <w:adjustRightInd w:val="0"/>
              <w:snapToGrid w:val="0"/>
              <w:spacing w:line="360" w:lineRule="auto"/>
              <w:ind w:firstLine="480" w:firstLineChars="200"/>
              <w:jc w:val="left"/>
              <w:rPr>
                <w:rFonts w:ascii="黑体" w:hAnsi="黑体" w:eastAsia="黑体"/>
                <w:color w:val="auto"/>
                <w:kern w:val="0"/>
                <w:sz w:val="24"/>
              </w:rPr>
            </w:pPr>
            <w:r>
              <w:rPr>
                <w:rFonts w:hint="eastAsia" w:ascii="黑体" w:hAnsi="宋体" w:eastAsia="黑体"/>
                <w:color w:val="auto"/>
                <w:kern w:val="0"/>
                <w:sz w:val="24"/>
              </w:rPr>
              <w:t>以下为投标人提供的政府采购优先采购产品，投标人对本表的真实性负责。如有虚假，将依法承担相应责任。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739"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34" w:type="dxa"/>
            <w:tcBorders>
              <w:right w:val="single" w:color="auto" w:sz="4" w:space="0"/>
            </w:tcBorders>
            <w:noWrap w:val="0"/>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418" w:type="dxa"/>
            <w:tcBorders>
              <w:left w:val="single" w:color="auto" w:sz="4" w:space="0"/>
            </w:tcBorders>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984"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43"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序号</w:t>
            </w:r>
          </w:p>
        </w:tc>
        <w:tc>
          <w:tcPr>
            <w:tcW w:w="1739"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货物名称</w:t>
            </w:r>
          </w:p>
        </w:tc>
        <w:tc>
          <w:tcPr>
            <w:tcW w:w="1134" w:type="dxa"/>
            <w:tcBorders>
              <w:right w:val="single" w:color="auto" w:sz="4" w:space="0"/>
            </w:tcBorders>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规格型号</w:t>
            </w:r>
          </w:p>
        </w:tc>
        <w:tc>
          <w:tcPr>
            <w:tcW w:w="1418" w:type="dxa"/>
            <w:tcBorders>
              <w:left w:val="single" w:color="auto" w:sz="4" w:space="0"/>
            </w:tcBorders>
            <w:noWrap w:val="0"/>
            <w:vAlign w:val="center"/>
          </w:tcPr>
          <w:p>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价格（元）</w:t>
            </w:r>
          </w:p>
        </w:tc>
        <w:tc>
          <w:tcPr>
            <w:tcW w:w="1984"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货物制造商名称</w:t>
            </w:r>
          </w:p>
        </w:tc>
        <w:tc>
          <w:tcPr>
            <w:tcW w:w="1843" w:type="dxa"/>
            <w:noWrap w:val="0"/>
            <w:vAlign w:val="center"/>
          </w:tcPr>
          <w:p>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政策功能编码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b/>
                <w:color w:val="auto"/>
                <w:szCs w:val="21"/>
              </w:rPr>
            </w:pPr>
          </w:p>
        </w:tc>
        <w:tc>
          <w:tcPr>
            <w:tcW w:w="1739" w:type="dxa"/>
            <w:noWrap w:val="0"/>
            <w:vAlign w:val="center"/>
          </w:tcPr>
          <w:p>
            <w:pPr>
              <w:adjustRightInd w:val="0"/>
              <w:snapToGrid w:val="0"/>
              <w:spacing w:line="360" w:lineRule="auto"/>
              <w:jc w:val="center"/>
              <w:rPr>
                <w:rFonts w:ascii="宋体" w:hAnsi="宋体"/>
                <w:b/>
                <w:color w:val="auto"/>
                <w:szCs w:val="21"/>
              </w:rPr>
            </w:pPr>
          </w:p>
        </w:tc>
        <w:tc>
          <w:tcPr>
            <w:tcW w:w="1134" w:type="dxa"/>
            <w:tcBorders>
              <w:righ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984" w:type="dxa"/>
            <w:noWrap w:val="0"/>
            <w:vAlign w:val="center"/>
          </w:tcPr>
          <w:p>
            <w:pPr>
              <w:adjustRightInd w:val="0"/>
              <w:snapToGrid w:val="0"/>
              <w:spacing w:line="360" w:lineRule="auto"/>
              <w:jc w:val="center"/>
              <w:rPr>
                <w:rFonts w:ascii="宋体" w:hAnsi="宋体"/>
                <w:b/>
                <w:color w:val="auto"/>
                <w:szCs w:val="21"/>
              </w:rPr>
            </w:pPr>
          </w:p>
        </w:tc>
        <w:tc>
          <w:tcPr>
            <w:tcW w:w="1843" w:type="dxa"/>
            <w:noWrap w:val="0"/>
            <w:vAlign w:val="top"/>
          </w:tcPr>
          <w:p>
            <w:pPr>
              <w:adjustRightInd w:val="0"/>
              <w:snapToGrid w:val="0"/>
              <w:spacing w:line="360" w:lineRule="auto"/>
              <w:jc w:val="center"/>
              <w:rPr>
                <w:rFonts w:ascii="宋体" w:hAnsi="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noWrap w:val="0"/>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984" w:type="dxa"/>
            <w:noWrap w:val="0"/>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noWrap w:val="0"/>
            <w:vAlign w:val="top"/>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环境标志产品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b/>
                <w:color w:val="auto"/>
                <w:szCs w:val="21"/>
              </w:rPr>
            </w:pPr>
          </w:p>
        </w:tc>
        <w:tc>
          <w:tcPr>
            <w:tcW w:w="1739" w:type="dxa"/>
            <w:noWrap w:val="0"/>
            <w:vAlign w:val="center"/>
          </w:tcPr>
          <w:p>
            <w:pPr>
              <w:adjustRightInd w:val="0"/>
              <w:snapToGrid w:val="0"/>
              <w:spacing w:line="360" w:lineRule="auto"/>
              <w:jc w:val="center"/>
              <w:rPr>
                <w:rFonts w:ascii="宋体" w:hAnsi="宋体"/>
                <w:b/>
                <w:color w:val="auto"/>
                <w:szCs w:val="21"/>
              </w:rPr>
            </w:pPr>
          </w:p>
        </w:tc>
        <w:tc>
          <w:tcPr>
            <w:tcW w:w="1134" w:type="dxa"/>
            <w:tcBorders>
              <w:righ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984" w:type="dxa"/>
            <w:noWrap w:val="0"/>
            <w:vAlign w:val="center"/>
          </w:tcPr>
          <w:p>
            <w:pPr>
              <w:adjustRightInd w:val="0"/>
              <w:snapToGrid w:val="0"/>
              <w:spacing w:line="360" w:lineRule="auto"/>
              <w:jc w:val="center"/>
              <w:rPr>
                <w:rFonts w:ascii="宋体" w:hAnsi="宋体"/>
                <w:b/>
                <w:color w:val="auto"/>
                <w:szCs w:val="21"/>
              </w:rPr>
            </w:pPr>
          </w:p>
        </w:tc>
        <w:tc>
          <w:tcPr>
            <w:tcW w:w="1843" w:type="dxa"/>
            <w:noWrap w:val="0"/>
            <w:vAlign w:val="top"/>
          </w:tcPr>
          <w:p>
            <w:pPr>
              <w:adjustRightInd w:val="0"/>
              <w:snapToGrid w:val="0"/>
              <w:spacing w:line="360" w:lineRule="auto"/>
              <w:jc w:val="center"/>
              <w:rPr>
                <w:rFonts w:ascii="宋体" w:hAnsi="宋体"/>
                <w:b/>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noWrap w:val="0"/>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134" w:type="dxa"/>
            <w:tcBorders>
              <w:righ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418" w:type="dxa"/>
            <w:tcBorders>
              <w:left w:val="single" w:color="auto" w:sz="4" w:space="0"/>
            </w:tcBorders>
            <w:noWrap w:val="0"/>
            <w:vAlign w:val="center"/>
          </w:tcPr>
          <w:p>
            <w:pPr>
              <w:adjustRightInd w:val="0"/>
              <w:snapToGrid w:val="0"/>
              <w:spacing w:line="360" w:lineRule="auto"/>
              <w:jc w:val="left"/>
              <w:rPr>
                <w:rFonts w:ascii="宋体" w:hAnsi="宋体"/>
                <w:b/>
                <w:color w:val="auto"/>
                <w:szCs w:val="21"/>
              </w:rPr>
            </w:pPr>
          </w:p>
        </w:tc>
        <w:tc>
          <w:tcPr>
            <w:tcW w:w="1984" w:type="dxa"/>
            <w:noWrap w:val="0"/>
            <w:vAlign w:val="center"/>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c>
          <w:tcPr>
            <w:tcW w:w="1843" w:type="dxa"/>
            <w:noWrap w:val="0"/>
            <w:vAlign w:val="top"/>
          </w:tcPr>
          <w:p>
            <w:pPr>
              <w:adjustRightInd w:val="0"/>
              <w:snapToGrid w:val="0"/>
              <w:spacing w:line="360" w:lineRule="auto"/>
              <w:jc w:val="center"/>
              <w:rPr>
                <w:rFonts w:ascii="宋体" w:hAnsi="宋体"/>
                <w:b/>
                <w:color w:val="auto"/>
                <w:szCs w:val="21"/>
              </w:rPr>
            </w:pPr>
            <w:r>
              <w:rPr>
                <w:rFonts w:hint="eastAsia" w:ascii="宋体" w:hAnsi="宋体"/>
                <w:b/>
                <w:color w:val="auto"/>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6"/>
            <w:noWrap w:val="0"/>
            <w:vAlign w:val="center"/>
          </w:tcPr>
          <w:p>
            <w:pPr>
              <w:adjustRightInd w:val="0"/>
              <w:snapToGrid w:val="0"/>
              <w:spacing w:line="360" w:lineRule="auto"/>
              <w:jc w:val="left"/>
              <w:rPr>
                <w:rFonts w:ascii="宋体" w:hAnsi="宋体"/>
                <w:b/>
                <w:color w:val="auto"/>
                <w:szCs w:val="21"/>
              </w:rPr>
            </w:pPr>
            <w:r>
              <w:rPr>
                <w:rFonts w:hint="eastAsia" w:ascii="宋体" w:hAnsi="宋体"/>
                <w:b/>
                <w:color w:val="auto"/>
                <w:szCs w:val="21"/>
              </w:rPr>
              <w:t>两型产品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color w:val="auto"/>
                <w:szCs w:val="21"/>
              </w:rPr>
            </w:pPr>
          </w:p>
        </w:tc>
        <w:tc>
          <w:tcPr>
            <w:tcW w:w="1739" w:type="dxa"/>
            <w:noWrap w:val="0"/>
            <w:vAlign w:val="center"/>
          </w:tcPr>
          <w:p>
            <w:pPr>
              <w:adjustRightInd w:val="0"/>
              <w:snapToGrid w:val="0"/>
              <w:spacing w:line="360" w:lineRule="auto"/>
              <w:jc w:val="center"/>
              <w:rPr>
                <w:rFonts w:ascii="宋体" w:hAnsi="宋体"/>
                <w:color w:val="auto"/>
                <w:szCs w:val="21"/>
              </w:rPr>
            </w:pPr>
          </w:p>
        </w:tc>
        <w:tc>
          <w:tcPr>
            <w:tcW w:w="1134" w:type="dxa"/>
            <w:tcBorders>
              <w:right w:val="single" w:color="auto" w:sz="4" w:space="0"/>
            </w:tcBorders>
            <w:noWrap w:val="0"/>
            <w:vAlign w:val="center"/>
          </w:tcPr>
          <w:p>
            <w:pPr>
              <w:adjustRightInd w:val="0"/>
              <w:snapToGrid w:val="0"/>
              <w:spacing w:line="360" w:lineRule="auto"/>
              <w:jc w:val="center"/>
              <w:rPr>
                <w:rFonts w:ascii="宋体" w:hAnsi="宋体"/>
                <w:color w:val="auto"/>
                <w:szCs w:val="21"/>
              </w:rPr>
            </w:pPr>
          </w:p>
        </w:tc>
        <w:tc>
          <w:tcPr>
            <w:tcW w:w="1418" w:type="dxa"/>
            <w:tcBorders>
              <w:left w:val="single" w:color="auto" w:sz="4" w:space="0"/>
            </w:tcBorders>
            <w:noWrap w:val="0"/>
            <w:vAlign w:val="center"/>
          </w:tcPr>
          <w:p>
            <w:pPr>
              <w:adjustRightInd w:val="0"/>
              <w:snapToGrid w:val="0"/>
              <w:spacing w:line="360" w:lineRule="auto"/>
              <w:jc w:val="center"/>
              <w:rPr>
                <w:rFonts w:ascii="宋体" w:hAnsi="宋体"/>
                <w:color w:val="auto"/>
                <w:szCs w:val="21"/>
              </w:rPr>
            </w:pPr>
          </w:p>
        </w:tc>
        <w:tc>
          <w:tcPr>
            <w:tcW w:w="1984" w:type="dxa"/>
            <w:noWrap w:val="0"/>
            <w:vAlign w:val="center"/>
          </w:tcPr>
          <w:p>
            <w:pPr>
              <w:adjustRightInd w:val="0"/>
              <w:snapToGrid w:val="0"/>
              <w:spacing w:line="360" w:lineRule="auto"/>
              <w:jc w:val="center"/>
              <w:rPr>
                <w:rFonts w:ascii="宋体" w:hAnsi="宋体"/>
                <w:color w:val="auto"/>
                <w:szCs w:val="21"/>
              </w:rPr>
            </w:pPr>
          </w:p>
        </w:tc>
        <w:tc>
          <w:tcPr>
            <w:tcW w:w="1843" w:type="dxa"/>
            <w:noWrap w:val="0"/>
            <w:vAlign w:val="top"/>
          </w:tcPr>
          <w:p>
            <w:pPr>
              <w:adjustRightInd w:val="0"/>
              <w:snapToGrid w:val="0"/>
              <w:spacing w:line="360" w:lineRule="auto"/>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39"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c>
          <w:tcPr>
            <w:tcW w:w="1134" w:type="dxa"/>
            <w:tcBorders>
              <w:right w:val="single" w:color="auto" w:sz="4" w:space="0"/>
            </w:tcBorders>
            <w:noWrap w:val="0"/>
            <w:vAlign w:val="center"/>
          </w:tcPr>
          <w:p>
            <w:pPr>
              <w:adjustRightInd w:val="0"/>
              <w:snapToGrid w:val="0"/>
              <w:spacing w:line="360" w:lineRule="auto"/>
              <w:jc w:val="center"/>
              <w:rPr>
                <w:rFonts w:ascii="宋体" w:hAnsi="宋体"/>
                <w:color w:val="auto"/>
                <w:szCs w:val="21"/>
              </w:rPr>
            </w:pPr>
          </w:p>
        </w:tc>
        <w:tc>
          <w:tcPr>
            <w:tcW w:w="1418" w:type="dxa"/>
            <w:tcBorders>
              <w:left w:val="single" w:color="auto" w:sz="4" w:space="0"/>
            </w:tcBorders>
            <w:noWrap w:val="0"/>
            <w:vAlign w:val="center"/>
          </w:tcPr>
          <w:p>
            <w:pPr>
              <w:adjustRightInd w:val="0"/>
              <w:snapToGrid w:val="0"/>
              <w:spacing w:line="360" w:lineRule="auto"/>
              <w:jc w:val="center"/>
              <w:rPr>
                <w:rFonts w:ascii="宋体" w:hAnsi="宋体"/>
                <w:color w:val="auto"/>
                <w:szCs w:val="21"/>
              </w:rPr>
            </w:pPr>
          </w:p>
        </w:tc>
        <w:tc>
          <w:tcPr>
            <w:tcW w:w="1984" w:type="dxa"/>
            <w:noWrap w:val="0"/>
            <w:vAlign w:val="center"/>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c>
          <w:tcPr>
            <w:tcW w:w="1843" w:type="dxa"/>
            <w:noWrap w:val="0"/>
            <w:vAlign w:val="top"/>
          </w:tcPr>
          <w:p>
            <w:pPr>
              <w:adjustRightInd w:val="0"/>
              <w:snapToGrid w:val="0"/>
              <w:spacing w:line="360" w:lineRule="auto"/>
              <w:jc w:val="center"/>
              <w:rPr>
                <w:rFonts w:ascii="宋体" w:hAnsi="宋体"/>
                <w:color w:val="auto"/>
                <w:szCs w:val="21"/>
              </w:rPr>
            </w:pPr>
            <w:r>
              <w:rPr>
                <w:rFonts w:hint="eastAsia" w:ascii="宋体" w:hAnsi="宋体"/>
                <w:color w:val="auto"/>
                <w:szCs w:val="21"/>
              </w:rPr>
              <w:t>/</w:t>
            </w:r>
          </w:p>
        </w:tc>
      </w:tr>
    </w:tbl>
    <w:p>
      <w:pPr>
        <w:adjustRightInd w:val="0"/>
        <w:snapToGrid w:val="0"/>
        <w:spacing w:line="360" w:lineRule="auto"/>
        <w:jc w:val="left"/>
        <w:rPr>
          <w:rFonts w:ascii="宋体" w:hAnsi="宋体"/>
          <w:color w:val="auto"/>
          <w:szCs w:val="21"/>
        </w:rPr>
      </w:pPr>
      <w:r>
        <w:rPr>
          <w:rFonts w:hint="eastAsia" w:ascii="宋体" w:hAnsi="宋体"/>
          <w:color w:val="auto"/>
          <w:szCs w:val="21"/>
        </w:rPr>
        <w:t>说明：</w:t>
      </w:r>
      <w:r>
        <w:rPr>
          <w:rFonts w:hint="eastAsia" w:ascii="宋体" w:hAnsi="宋体"/>
          <w:bCs/>
          <w:color w:val="auto"/>
          <w:szCs w:val="21"/>
        </w:rPr>
        <w:t>1、</w:t>
      </w:r>
      <w:r>
        <w:rPr>
          <w:rFonts w:hint="eastAsia" w:ascii="宋体" w:hAnsi="宋体"/>
          <w:color w:val="auto"/>
          <w:szCs w:val="21"/>
        </w:rPr>
        <w:t>本表用于计算政府采购优先采购产品（节能产品或环境标志产品或两型产品）的政府采购政策加分或者价格扣除。</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2、栏目4“价格”为综合单价，包含货物所有隐含的内容，如运输费、保险费、管理费和利润等。</w:t>
      </w:r>
    </w:p>
    <w:p>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3、栏目6“政策功能编码”是指货物的中国环境标志认证证书编号、中国节能标志认证证书号、湖南两型产品编号（货物同时属于节能产品、环境标志产品、两型产品的，只须填写一种）。</w:t>
      </w:r>
    </w:p>
    <w:p>
      <w:pPr>
        <w:adjustRightInd w:val="0"/>
        <w:snapToGrid w:val="0"/>
        <w:spacing w:line="360" w:lineRule="auto"/>
        <w:ind w:firstLine="630" w:firstLineChars="300"/>
        <w:rPr>
          <w:rFonts w:ascii="宋体" w:hAnsi="宋体"/>
          <w:bCs/>
          <w:color w:val="auto"/>
          <w:szCs w:val="21"/>
        </w:rPr>
      </w:pPr>
      <w:r>
        <w:rPr>
          <w:rFonts w:hint="eastAsia" w:ascii="宋体" w:hAnsi="宋体"/>
          <w:bCs/>
          <w:color w:val="auto"/>
          <w:szCs w:val="21"/>
        </w:rPr>
        <w:t>4、投标人在投标截止时间前修改“开标一览表”中的投标报价的，应按第二章第13.7款规定修改本表相应内容。否则，评审时涉及本表所有优惠不予以考虑。</w:t>
      </w:r>
    </w:p>
    <w:p>
      <w:pPr>
        <w:adjustRightInd w:val="0"/>
        <w:snapToGrid w:val="0"/>
        <w:spacing w:line="360" w:lineRule="auto"/>
        <w:rPr>
          <w:rFonts w:ascii="宋体" w:hAnsi="宋体"/>
          <w:color w:val="auto"/>
          <w:szCs w:val="21"/>
        </w:rPr>
      </w:pPr>
    </w:p>
    <w:p>
      <w:pPr>
        <w:adjustRightInd w:val="0"/>
        <w:snapToGrid w:val="0"/>
        <w:spacing w:line="360" w:lineRule="auto"/>
        <w:rPr>
          <w:rFonts w:hint="eastAsia" w:ascii="宋体" w:hAnsi="宋体" w:cs="宋体"/>
          <w:color w:val="auto"/>
          <w:szCs w:val="21"/>
        </w:rPr>
      </w:pPr>
      <w:r>
        <w:rPr>
          <w:rFonts w:hint="eastAsia" w:ascii="宋体" w:hAnsi="宋体"/>
          <w:color w:val="auto"/>
          <w:szCs w:val="21"/>
        </w:rPr>
        <w:t>投</w:t>
      </w:r>
      <w:r>
        <w:rPr>
          <w:rFonts w:hint="eastAsia" w:ascii="宋体" w:hAnsi="宋体" w:cs="宋体"/>
          <w:color w:val="auto"/>
          <w:szCs w:val="21"/>
        </w:rPr>
        <w:t>供应商（</w:t>
      </w:r>
      <w:r>
        <w:rPr>
          <w:rFonts w:hint="eastAsia" w:ascii="宋体" w:hAnsi="宋体"/>
          <w:color w:val="auto"/>
          <w:szCs w:val="21"/>
        </w:rPr>
        <w:t>盖单位公章</w:t>
      </w:r>
      <w:r>
        <w:rPr>
          <w:rFonts w:hint="eastAsia" w:ascii="宋体" w:hAnsi="宋体" w:cs="宋体"/>
          <w:color w:val="auto"/>
          <w:szCs w:val="21"/>
        </w:rPr>
        <w:t>）：</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法定代表人或其委托代理人签字：</w:t>
      </w:r>
      <w:r>
        <w:rPr>
          <w:rFonts w:hint="eastAsia" w:ascii="宋体" w:hAnsi="宋体" w:cs="宋体"/>
          <w:color w:val="auto"/>
          <w:szCs w:val="21"/>
          <w:u w:val="single"/>
        </w:rPr>
        <w:t xml:space="preserve">       </w:t>
      </w:r>
    </w:p>
    <w:p>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2"/>
        <w:ind w:left="0" w:leftChars="0" w:firstLine="0" w:firstLineChars="0"/>
        <w:rPr>
          <w:rFonts w:hint="eastAsia" w:ascii="宋体" w:hAnsi="宋体" w:cs="宋体"/>
          <w:color w:val="auto"/>
        </w:rPr>
      </w:pPr>
    </w:p>
    <w:p>
      <w:pPr>
        <w:rPr>
          <w:rFonts w:hint="eastAsia" w:ascii="宋体" w:hAnsi="宋体" w:cs="宋体"/>
          <w:b/>
          <w:color w:val="auto"/>
          <w:sz w:val="32"/>
          <w:szCs w:val="32"/>
          <w:lang w:eastAsia="zh-CN"/>
        </w:rPr>
      </w:pPr>
      <w:bookmarkStart w:id="98" w:name="_Toc31228"/>
      <w:r>
        <w:rPr>
          <w:rFonts w:hint="eastAsia" w:ascii="宋体" w:hAnsi="宋体" w:cs="宋体"/>
          <w:b/>
          <w:color w:val="auto"/>
          <w:sz w:val="32"/>
          <w:szCs w:val="32"/>
          <w:lang w:eastAsia="zh-CN"/>
        </w:rPr>
        <w:br w:type="page"/>
      </w:r>
    </w:p>
    <w:p>
      <w:pPr>
        <w:adjustRightInd w:val="0"/>
        <w:snapToGrid w:val="0"/>
        <w:spacing w:line="360" w:lineRule="auto"/>
        <w:jc w:val="center"/>
        <w:outlineLvl w:val="2"/>
        <w:rPr>
          <w:rFonts w:hint="eastAsia" w:ascii="宋体" w:hAnsi="宋体" w:cs="宋体"/>
          <w:color w:val="auto"/>
          <w:sz w:val="28"/>
          <w:szCs w:val="28"/>
        </w:rPr>
      </w:pPr>
      <w:r>
        <w:rPr>
          <w:rFonts w:hint="eastAsia" w:ascii="宋体" w:hAnsi="宋体" w:cs="宋体"/>
          <w:b/>
          <w:color w:val="auto"/>
          <w:sz w:val="32"/>
          <w:szCs w:val="32"/>
          <w:lang w:eastAsia="zh-CN"/>
        </w:rPr>
        <w:t>八</w:t>
      </w:r>
      <w:r>
        <w:rPr>
          <w:rFonts w:hint="eastAsia" w:ascii="宋体" w:hAnsi="宋体" w:cs="宋体"/>
          <w:b/>
          <w:bCs/>
          <w:color w:val="auto"/>
          <w:sz w:val="32"/>
          <w:szCs w:val="32"/>
        </w:rPr>
        <w:t>、供应商认为需要提供的其它资料</w:t>
      </w:r>
      <w:bookmarkEnd w:id="98"/>
    </w:p>
    <w:p>
      <w:pPr>
        <w:adjustRightInd w:val="0"/>
        <w:snapToGrid w:val="0"/>
        <w:spacing w:before="120" w:beforeLines="50" w:line="360" w:lineRule="auto"/>
        <w:jc w:val="center"/>
        <w:rPr>
          <w:rFonts w:hint="eastAsia" w:ascii="宋体" w:hAnsi="宋体" w:cs="宋体"/>
          <w:color w:val="auto"/>
          <w:sz w:val="28"/>
          <w:szCs w:val="28"/>
        </w:rPr>
      </w:pPr>
    </w:p>
    <w:p>
      <w:pPr>
        <w:pStyle w:val="8"/>
        <w:jc w:val="center"/>
        <w:outlineLvl w:val="2"/>
        <w:rPr>
          <w:rFonts w:hint="eastAsia" w:ascii="宋体" w:hAnsi="宋体" w:cs="宋体"/>
          <w:bCs w:val="0"/>
          <w:color w:val="auto"/>
          <w:kern w:val="2"/>
        </w:rPr>
      </w:pPr>
      <w:r>
        <w:rPr>
          <w:rFonts w:hint="eastAsia" w:ascii="宋体" w:hAnsi="宋体" w:cs="宋体"/>
          <w:bCs w:val="0"/>
          <w:color w:val="auto"/>
          <w:kern w:val="2"/>
        </w:rPr>
        <w:br w:type="page"/>
      </w:r>
      <w:bookmarkStart w:id="99" w:name="_Toc4826"/>
      <w:r>
        <w:rPr>
          <w:rFonts w:hint="eastAsia" w:ascii="宋体" w:hAnsi="宋体" w:cs="宋体"/>
          <w:bCs w:val="0"/>
          <w:color w:val="auto"/>
          <w:kern w:val="2"/>
          <w:lang w:eastAsia="zh-CN"/>
        </w:rPr>
        <w:t>九</w:t>
      </w:r>
      <w:r>
        <w:rPr>
          <w:rFonts w:hint="eastAsia" w:ascii="宋体" w:hAnsi="宋体" w:cs="宋体"/>
          <w:bCs w:val="0"/>
          <w:color w:val="auto"/>
          <w:kern w:val="2"/>
        </w:rPr>
        <w:t>、代理服务费承诺书</w:t>
      </w:r>
      <w:bookmarkEnd w:id="99"/>
    </w:p>
    <w:p>
      <w:pPr>
        <w:adjustRightInd w:val="0"/>
        <w:snapToGrid w:val="0"/>
        <w:spacing w:line="360" w:lineRule="auto"/>
        <w:rPr>
          <w:rFonts w:ascii="宋体" w:hAnsi="宋体" w:cs="仿宋_GB2312"/>
          <w:color w:val="auto"/>
          <w:szCs w:val="21"/>
        </w:rPr>
      </w:pPr>
    </w:p>
    <w:p>
      <w:pPr>
        <w:adjustRightInd w:val="0"/>
        <w:snapToGrid w:val="0"/>
        <w:spacing w:line="360" w:lineRule="auto"/>
        <w:rPr>
          <w:rFonts w:ascii="宋体" w:hAnsi="宋体"/>
          <w:color w:val="auto"/>
          <w:szCs w:val="21"/>
          <w:u w:val="single"/>
        </w:rPr>
      </w:pPr>
      <w:r>
        <w:rPr>
          <w:rFonts w:hint="eastAsia" w:ascii="宋体" w:hAnsi="宋体" w:cs="仿宋_GB2312"/>
          <w:color w:val="auto"/>
          <w:szCs w:val="21"/>
        </w:rPr>
        <w:t>致（采购代理机构）</w:t>
      </w:r>
      <w:r>
        <w:rPr>
          <w:rFonts w:hint="eastAsia" w:ascii="宋体" w:hAnsi="宋体" w:cs="仿宋_GB2312"/>
          <w:color w:val="auto"/>
          <w:szCs w:val="21"/>
          <w:u w:val="single"/>
        </w:rPr>
        <w:t xml:space="preserve">                 </w:t>
      </w:r>
      <w:r>
        <w:rPr>
          <w:rFonts w:hint="eastAsia" w:ascii="宋体" w:hAnsi="宋体" w:cs="仿宋_GB2312"/>
          <w:color w:val="auto"/>
          <w:szCs w:val="21"/>
        </w:rPr>
        <w:t xml:space="preserve"> ：</w:t>
      </w:r>
    </w:p>
    <w:p>
      <w:pPr>
        <w:adjustRightInd w:val="0"/>
        <w:snapToGrid w:val="0"/>
        <w:spacing w:line="360" w:lineRule="auto"/>
        <w:ind w:firstLine="420" w:firstLineChars="200"/>
        <w:rPr>
          <w:rFonts w:ascii="宋体" w:hAnsi="宋体"/>
          <w:color w:val="auto"/>
          <w:szCs w:val="21"/>
        </w:rPr>
      </w:pPr>
      <w:r>
        <w:rPr>
          <w:rFonts w:hint="eastAsia" w:ascii="宋体" w:hAnsi="宋体" w:cs="仿宋_GB2312"/>
          <w:color w:val="auto"/>
          <w:szCs w:val="21"/>
        </w:rPr>
        <w:t>我们在贵公司组织的</w:t>
      </w: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s="仿宋_GB2312"/>
          <w:color w:val="auto"/>
          <w:szCs w:val="21"/>
        </w:rPr>
        <w:t>采购代理编号：</w:t>
      </w:r>
      <w:r>
        <w:rPr>
          <w:rFonts w:hint="eastAsia" w:ascii="宋体" w:hAnsi="宋体"/>
          <w:color w:val="auto"/>
          <w:szCs w:val="21"/>
          <w:u w:val="single"/>
        </w:rPr>
        <w:t xml:space="preserve">         </w:t>
      </w:r>
      <w:r>
        <w:rPr>
          <w:rFonts w:hint="eastAsia" w:ascii="宋体" w:hAnsi="宋体"/>
          <w:color w:val="auto"/>
          <w:szCs w:val="21"/>
        </w:rPr>
        <w:t>）</w:t>
      </w:r>
      <w:r>
        <w:rPr>
          <w:rFonts w:hint="eastAsia" w:ascii="宋体" w:hAnsi="宋体" w:cs="仿宋_GB2312"/>
          <w:color w:val="auto"/>
          <w:szCs w:val="21"/>
        </w:rPr>
        <w:t>政府采购活动中若获成交，我们保证在成交公告发布后5个工作日内，按磋商文件的规定，以支票、汇票或现金，向贵公司一次性支付代理服务费用。否则，</w:t>
      </w:r>
      <w:r>
        <w:rPr>
          <w:rFonts w:hint="eastAsia" w:ascii="宋体" w:hAnsi="宋体"/>
          <w:color w:val="auto"/>
          <w:szCs w:val="21"/>
        </w:rPr>
        <w:t>由此产生的一切法律后果和责任由我公司承担。我公司声明放弃对此提出任何异议和追索的权利。</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特此承诺。</w:t>
      </w:r>
    </w:p>
    <w:p>
      <w:pPr>
        <w:adjustRightInd w:val="0"/>
        <w:snapToGrid w:val="0"/>
        <w:spacing w:line="360" w:lineRule="auto"/>
        <w:rPr>
          <w:rFonts w:ascii="宋体" w:hAnsi="宋体"/>
          <w:color w:val="auto"/>
          <w:szCs w:val="21"/>
        </w:rPr>
      </w:pPr>
    </w:p>
    <w:tbl>
      <w:tblPr>
        <w:tblStyle w:val="2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7" w:type="dxa"/>
            <w:noWrap w:val="0"/>
            <w:vAlign w:val="top"/>
          </w:tcPr>
          <w:p>
            <w:pPr>
              <w:adjustRightInd w:val="0"/>
              <w:snapToGrid w:val="0"/>
              <w:spacing w:line="360" w:lineRule="auto"/>
              <w:jc w:val="center"/>
              <w:rPr>
                <w:rFonts w:ascii="黑体" w:hAnsi="黑体" w:eastAsia="黑体"/>
                <w:color w:val="auto"/>
                <w:kern w:val="0"/>
                <w:sz w:val="28"/>
                <w:szCs w:val="28"/>
                <w:u w:val="single"/>
              </w:rPr>
            </w:pPr>
            <w:r>
              <w:rPr>
                <w:rFonts w:ascii="黑体" w:hAnsi="黑体" w:eastAsia="黑体"/>
                <w:color w:val="auto"/>
                <w:kern w:val="0"/>
                <w:sz w:val="28"/>
                <w:szCs w:val="28"/>
                <w:u w:val="single"/>
              </w:rPr>
              <w:t>开具</w:t>
            </w:r>
            <w:r>
              <w:rPr>
                <w:rFonts w:hint="eastAsia" w:ascii="黑体" w:hAnsi="黑体" w:eastAsia="黑体"/>
                <w:color w:val="auto"/>
                <w:kern w:val="0"/>
                <w:sz w:val="28"/>
                <w:szCs w:val="28"/>
                <w:u w:val="single"/>
              </w:rPr>
              <w:t>发票信息</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w:t>
            </w:r>
            <w:r>
              <w:rPr>
                <w:rFonts w:hint="eastAsia" w:ascii="宋体" w:hAnsi="宋体"/>
                <w:color w:val="auto"/>
                <w:kern w:val="0"/>
                <w:szCs w:val="21"/>
              </w:rPr>
              <w:t xml:space="preserve"> </w:t>
            </w:r>
            <w:r>
              <w:rPr>
                <w:rFonts w:ascii="宋体" w:hAnsi="宋体"/>
                <w:color w:val="auto"/>
                <w:kern w:val="0"/>
                <w:szCs w:val="21"/>
              </w:rPr>
              <w:t>增值税普通发票</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w:t>
            </w:r>
            <w:r>
              <w:rPr>
                <w:rFonts w:hint="eastAsia" w:ascii="宋体" w:hAnsi="宋体"/>
                <w:color w:val="auto"/>
                <w:kern w:val="0"/>
                <w:szCs w:val="21"/>
              </w:rPr>
              <w:t xml:space="preserve"> </w:t>
            </w:r>
            <w:r>
              <w:rPr>
                <w:rFonts w:ascii="宋体" w:hAnsi="宋体"/>
                <w:color w:val="auto"/>
                <w:kern w:val="0"/>
                <w:szCs w:val="21"/>
              </w:rPr>
              <w:t>或按照以下信息开具增值税专用发票：</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单位名称：</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纳税人识别号：</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电</w:t>
            </w:r>
            <w:r>
              <w:rPr>
                <w:rFonts w:hint="eastAsia" w:ascii="宋体" w:hAnsi="宋体"/>
                <w:color w:val="auto"/>
                <w:kern w:val="0"/>
                <w:szCs w:val="21"/>
              </w:rPr>
              <w:t xml:space="preserve">  </w:t>
            </w:r>
            <w:r>
              <w:rPr>
                <w:rFonts w:ascii="宋体" w:hAnsi="宋体"/>
                <w:color w:val="auto"/>
                <w:kern w:val="0"/>
                <w:szCs w:val="21"/>
              </w:rPr>
              <w:t>话：</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开户行：</w:t>
            </w:r>
            <w:r>
              <w:rPr>
                <w:rFonts w:hint="eastAsia" w:ascii="宋体" w:hAnsi="宋体"/>
                <w:color w:val="auto"/>
                <w:kern w:val="0"/>
                <w:sz w:val="20"/>
                <w:szCs w:val="21"/>
                <w:u w:val="single"/>
              </w:rPr>
              <w:t xml:space="preserve">                   </w:t>
            </w:r>
          </w:p>
          <w:p>
            <w:pPr>
              <w:adjustRightInd w:val="0"/>
              <w:snapToGrid w:val="0"/>
              <w:spacing w:line="360" w:lineRule="auto"/>
              <w:ind w:firstLine="420" w:firstLineChars="200"/>
              <w:rPr>
                <w:rFonts w:ascii="宋体" w:hAnsi="宋体"/>
                <w:color w:val="auto"/>
                <w:kern w:val="0"/>
                <w:sz w:val="20"/>
                <w:szCs w:val="21"/>
              </w:rPr>
            </w:pPr>
            <w:r>
              <w:rPr>
                <w:rFonts w:ascii="宋体" w:hAnsi="宋体"/>
                <w:color w:val="auto"/>
                <w:kern w:val="0"/>
                <w:szCs w:val="21"/>
              </w:rPr>
              <w:t>账</w:t>
            </w:r>
            <w:r>
              <w:rPr>
                <w:rFonts w:hint="eastAsia" w:ascii="宋体" w:hAnsi="宋体"/>
                <w:color w:val="auto"/>
                <w:kern w:val="0"/>
                <w:szCs w:val="21"/>
              </w:rPr>
              <w:t xml:space="preserve">  </w:t>
            </w:r>
            <w:r>
              <w:rPr>
                <w:rFonts w:ascii="宋体" w:hAnsi="宋体"/>
                <w:color w:val="auto"/>
                <w:kern w:val="0"/>
                <w:szCs w:val="21"/>
              </w:rPr>
              <w:t>号：</w:t>
            </w:r>
            <w:r>
              <w:rPr>
                <w:rFonts w:hint="eastAsia" w:ascii="宋体" w:hAnsi="宋体"/>
                <w:color w:val="auto"/>
                <w:kern w:val="0"/>
                <w:sz w:val="20"/>
                <w:szCs w:val="21"/>
                <w:u w:val="single"/>
              </w:rPr>
              <w:t xml:space="preserve">                   </w:t>
            </w:r>
          </w:p>
        </w:tc>
      </w:tr>
    </w:tbl>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rPr>
          <w:rFonts w:ascii="宋体" w:hAnsi="宋体" w:cs="仿宋_GB2312"/>
          <w:color w:val="auto"/>
          <w:szCs w:val="21"/>
        </w:rPr>
      </w:pPr>
      <w:r>
        <w:rPr>
          <w:rFonts w:ascii="宋体" w:hAnsi="宋体" w:cs="仿宋_GB2312"/>
          <w:color w:val="auto"/>
          <w:szCs w:val="21"/>
        </w:rPr>
        <w:t xml:space="preserve">           </w:t>
      </w:r>
    </w:p>
    <w:p>
      <w:pPr>
        <w:adjustRightInd w:val="0"/>
        <w:snapToGrid w:val="0"/>
        <w:spacing w:line="360" w:lineRule="auto"/>
        <w:rPr>
          <w:rFonts w:ascii="宋体" w:hAnsi="宋体"/>
          <w:color w:val="auto"/>
          <w:szCs w:val="21"/>
        </w:rPr>
      </w:pPr>
      <w:r>
        <w:rPr>
          <w:rFonts w:hint="eastAsia" w:ascii="宋体" w:hAnsi="宋体"/>
          <w:color w:val="auto"/>
          <w:szCs w:val="21"/>
        </w:rPr>
        <w:t>供应商名称（盖单位公章）：</w:t>
      </w:r>
    </w:p>
    <w:p>
      <w:pPr>
        <w:adjustRightInd w:val="0"/>
        <w:snapToGrid w:val="0"/>
        <w:spacing w:line="360" w:lineRule="auto"/>
        <w:rPr>
          <w:rFonts w:hint="eastAsia"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日   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2"/>
        <w:ind w:firstLine="400"/>
        <w:rPr>
          <w:rFonts w:hint="eastAsia" w:ascii="宋体" w:hAnsi="宋体"/>
          <w:color w:val="auto"/>
          <w:szCs w:val="21"/>
        </w:rPr>
      </w:pPr>
    </w:p>
    <w:p>
      <w:pPr>
        <w:rPr>
          <w:rFonts w:hint="eastAsia" w:ascii="宋体" w:hAnsi="宋体"/>
          <w:color w:val="auto"/>
          <w:szCs w:val="21"/>
        </w:rPr>
      </w:pPr>
    </w:p>
    <w:p>
      <w:pPr>
        <w:pageBreakBefore/>
        <w:adjustRightInd w:val="0"/>
        <w:snapToGrid w:val="0"/>
        <w:spacing w:line="360" w:lineRule="auto"/>
        <w:ind w:left="-88" w:leftChars="-42"/>
        <w:jc w:val="center"/>
        <w:outlineLvl w:val="2"/>
        <w:rPr>
          <w:rFonts w:hint="eastAsia" w:ascii="宋体" w:hAnsi="宋体" w:cs="宋体"/>
          <w:b/>
          <w:color w:val="auto"/>
          <w:sz w:val="32"/>
          <w:szCs w:val="32"/>
        </w:rPr>
      </w:pPr>
      <w:bookmarkStart w:id="100" w:name="_Toc16449"/>
      <w:r>
        <w:rPr>
          <w:rFonts w:hint="eastAsia" w:ascii="宋体" w:hAnsi="宋体" w:cs="宋体"/>
          <w:b/>
          <w:color w:val="auto"/>
          <w:sz w:val="32"/>
          <w:szCs w:val="32"/>
        </w:rPr>
        <w:t>十、最后报价</w:t>
      </w:r>
      <w:bookmarkEnd w:id="100"/>
    </w:p>
    <w:p>
      <w:pPr>
        <w:spacing w:line="360" w:lineRule="exact"/>
        <w:rPr>
          <w:rFonts w:hint="eastAsia" w:ascii="宋体" w:hAnsi="宋体" w:cs="宋体"/>
          <w:color w:val="auto"/>
          <w:szCs w:val="21"/>
        </w:rPr>
      </w:pPr>
    </w:p>
    <w:p>
      <w:pPr>
        <w:pStyle w:val="2"/>
        <w:ind w:firstLine="400"/>
        <w:rPr>
          <w:rFonts w:hint="eastAsia" w:ascii="宋体" w:hAnsi="宋体" w:cs="宋体"/>
          <w:color w:val="auto"/>
        </w:rPr>
      </w:pPr>
    </w:p>
    <w:p>
      <w:pPr>
        <w:adjustRightInd w:val="0"/>
        <w:snapToGrid w:val="0"/>
        <w:ind w:left="-88" w:leftChars="-42"/>
        <w:rPr>
          <w:rFonts w:hint="eastAsia" w:ascii="宋体" w:hAnsi="宋体" w:cs="宋体"/>
          <w:color w:val="auto"/>
          <w:szCs w:val="21"/>
        </w:rPr>
      </w:pPr>
    </w:p>
    <w:p>
      <w:pPr>
        <w:rPr>
          <w:rFonts w:hint="eastAsia" w:ascii="宋体" w:hAnsi="宋体" w:cs="宋体"/>
          <w:color w:val="auto"/>
          <w:szCs w:val="21"/>
        </w:rPr>
      </w:pPr>
    </w:p>
    <w:p>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说明：最后报价按第二章蹉商须知正文第</w:t>
      </w:r>
      <w:r>
        <w:rPr>
          <w:rFonts w:hint="eastAsia" w:ascii="宋体" w:hAnsi="宋体" w:cs="宋体"/>
          <w:b/>
          <w:bCs/>
          <w:color w:val="auto"/>
          <w:sz w:val="24"/>
        </w:rPr>
        <w:t>28</w:t>
      </w:r>
      <w:r>
        <w:rPr>
          <w:rFonts w:hint="eastAsia" w:ascii="宋体" w:hAnsi="宋体" w:cs="宋体"/>
          <w:color w:val="auto"/>
          <w:sz w:val="24"/>
        </w:rPr>
        <w:t>条规定提供，格式按本章响应文件组成“报价一览表及报价文件”格式。</w:t>
      </w:r>
    </w:p>
    <w:p>
      <w:pPr>
        <w:adjustRightInd w:val="0"/>
        <w:snapToGrid w:val="0"/>
        <w:spacing w:line="360" w:lineRule="auto"/>
        <w:rPr>
          <w:rFonts w:ascii="宋体" w:hAnsi="宋体" w:cs="宋体"/>
          <w:b/>
          <w:color w:val="auto"/>
          <w:sz w:val="28"/>
          <w:szCs w:val="28"/>
        </w:rPr>
      </w:pPr>
    </w:p>
    <w:p>
      <w:pPr>
        <w:adjustRightInd w:val="0"/>
        <w:snapToGrid w:val="0"/>
        <w:spacing w:line="360" w:lineRule="auto"/>
        <w:rPr>
          <w:rFonts w:hint="eastAsia" w:ascii="宋体" w:hAnsi="宋体" w:cs="宋体"/>
          <w:b/>
          <w:color w:val="auto"/>
          <w:sz w:val="24"/>
        </w:rPr>
      </w:pPr>
      <w:r>
        <w:rPr>
          <w:rFonts w:hint="eastAsia" w:ascii="宋体" w:hAnsi="宋体" w:cs="宋体"/>
          <w:b/>
          <w:color w:val="auto"/>
          <w:sz w:val="24"/>
        </w:rPr>
        <w:t>（最后报价一份，需单独密封递交，不得装订在响应文件中。）</w:t>
      </w:r>
    </w:p>
    <w:p>
      <w:pPr>
        <w:pStyle w:val="35"/>
        <w:rPr>
          <w:rFonts w:hint="eastAsia" w:asciiTheme="majorEastAsia" w:hAnsiTheme="majorEastAsia" w:eastAsiaTheme="majorEastAsia" w:cstheme="majorEastAsia"/>
          <w:color w:val="auto"/>
          <w:kern w:val="0"/>
          <w:szCs w:val="21"/>
        </w:rPr>
      </w:pPr>
    </w:p>
    <w:p>
      <w:pPr>
        <w:pStyle w:val="35"/>
        <w:rPr>
          <w:rFonts w:hint="eastAsia" w:asciiTheme="majorEastAsia" w:hAnsiTheme="majorEastAsia" w:eastAsiaTheme="majorEastAsia" w:cstheme="majorEastAsia"/>
          <w:color w:val="auto"/>
          <w:kern w:val="0"/>
          <w:szCs w:val="21"/>
        </w:rPr>
      </w:pPr>
    </w:p>
    <w:p>
      <w:pPr>
        <w:pStyle w:val="35"/>
        <w:rPr>
          <w:rFonts w:hint="eastAsia" w:asciiTheme="majorEastAsia" w:hAnsiTheme="majorEastAsia" w:eastAsiaTheme="majorEastAsia" w:cstheme="majorEastAsia"/>
          <w:color w:val="auto"/>
          <w:kern w:val="0"/>
          <w:szCs w:val="21"/>
        </w:rPr>
      </w:pPr>
    </w:p>
    <w:p>
      <w:pPr>
        <w:pStyle w:val="35"/>
        <w:rPr>
          <w:rFonts w:hint="eastAsia" w:asciiTheme="majorEastAsia" w:hAnsiTheme="majorEastAsia" w:eastAsiaTheme="majorEastAsia" w:cstheme="majorEastAsia"/>
          <w:color w:val="auto"/>
          <w:kern w:val="0"/>
          <w:szCs w:val="21"/>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rPr>
          <w:rFonts w:hint="eastAsia" w:asciiTheme="majorEastAsia" w:hAnsiTheme="majorEastAsia" w:eastAsiaTheme="majorEastAsia" w:cstheme="majorEastAsia"/>
          <w:color w:val="auto"/>
        </w:rPr>
      </w:pPr>
    </w:p>
    <w:p>
      <w:pPr>
        <w:pStyle w:val="2"/>
        <w:rPr>
          <w:rFonts w:hint="eastAsia" w:asciiTheme="majorEastAsia" w:hAnsiTheme="majorEastAsia" w:eastAsiaTheme="majorEastAsia" w:cstheme="majorEastAsia"/>
          <w:color w:val="auto"/>
        </w:rPr>
      </w:pPr>
    </w:p>
    <w:p>
      <w:pPr>
        <w:pStyle w:val="2"/>
        <w:ind w:left="0" w:leftChars="0" w:firstLine="0" w:firstLineChars="0"/>
        <w:rPr>
          <w:rFonts w:hint="eastAsia"/>
          <w:color w:val="auto"/>
        </w:rPr>
      </w:pPr>
    </w:p>
    <w:sectPr>
      <w:footerReference r:id="rId10" w:type="default"/>
      <w:pgSz w:w="11906" w:h="16838"/>
      <w:pgMar w:top="1440" w:right="1800" w:bottom="1440" w:left="1800"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 Sun">
    <w:altName w:val="宋体"/>
    <w:panose1 w:val="00000000000000000000"/>
    <w:charset w:val="00"/>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ind w:right="744"/>
      <w:rPr>
        <w:rFonts w:hint="eastAsia" w:ascii="仿宋_GB2312" w:eastAsia="仿宋_GB2312"/>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ordWrap w:val="0"/>
      <w:ind w:right="744"/>
      <w:rPr>
        <w:rFonts w:hint="eastAsia" w:ascii="仿宋_GB2312" w:eastAsia="仿宋_GB2312"/>
        <w:sz w:val="30"/>
        <w:szCs w:val="3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5784"/>
        <w:tab w:val="clear" w:pos="4153"/>
      </w:tabs>
      <w:spacing w:before="76" w:beforeLines="32"/>
      <w:ind w:firstLine="480" w:firstLineChars="200"/>
      <w:rPr>
        <w:rFonts w:hint="eastAsia" w:eastAsia="华文新魏"/>
        <w:lang w:eastAsia="zh-CN"/>
      </w:rPr>
    </w:pPr>
    <w:r>
      <w:rPr>
        <w:rFonts w:hint="eastAsia" w:ascii="华文新魏" w:hAnsi="宋体" w:eastAsia="华文新魏"/>
        <w:i/>
        <w:sz w:val="24"/>
        <w:szCs w:val="24"/>
      </w:rPr>
      <w:t xml:space="preserve">              </w:t>
    </w:r>
    <w:r>
      <w:rPr>
        <w:rFonts w:hint="eastAsia" w:ascii="华文新魏" w:hAnsi="宋体" w:eastAsia="华文新魏"/>
        <w:i/>
        <w:sz w:val="24"/>
        <w:szCs w:val="24"/>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76" w:beforeLines="32"/>
      <w:ind w:firstLine="480" w:firstLineChars="20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p>
                </w:txbxContent>
              </v:textbox>
            </v:shape>
          </w:pict>
        </mc:Fallback>
      </mc:AlternateContent>
    </w:r>
    <w:r>
      <w:rPr>
        <w:rFonts w:hint="eastAsia" w:ascii="华文新魏" w:hAnsi="宋体" w:eastAsia="华文新魏"/>
        <w:i/>
        <w:sz w:val="24"/>
        <w:szCs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76" w:beforeLines="32"/>
      <w:ind w:firstLine="480" w:firstLineChars="200"/>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p>
                </w:txbxContent>
              </v:textbox>
            </v:shape>
          </w:pict>
        </mc:Fallback>
      </mc:AlternateContent>
    </w:r>
    <w:r>
      <w:rPr>
        <w:rFonts w:hint="eastAsia" w:ascii="华文新魏" w:hAnsi="宋体" w:eastAsia="华文新魏"/>
        <w:i/>
        <w:sz w:val="24"/>
        <w:szCs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76" w:beforeLines="32"/>
      <w:ind w:firstLine="480" w:firstLineChars="200"/>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16</w:t>
                    </w:r>
                    <w:r>
                      <w:fldChar w:fldCharType="end"/>
                    </w:r>
                  </w:p>
                </w:txbxContent>
              </v:textbox>
            </v:shape>
          </w:pict>
        </mc:Fallback>
      </mc:AlternateContent>
    </w:r>
    <w:r>
      <w:rPr>
        <w:rFonts w:hint="eastAsia" w:ascii="华文新魏" w:hAnsi="宋体" w:eastAsia="华文新魏"/>
        <w:i/>
        <w:sz w:val="24"/>
        <w:szCs w:val="24"/>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76" w:beforeLines="32"/>
      <w:ind w:firstLine="480" w:firstLineChars="200"/>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61</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p>
                </w:txbxContent>
              </v:textbox>
            </v:shape>
          </w:pict>
        </mc:Fallback>
      </mc:AlternateContent>
    </w:r>
    <w:r>
      <w:rPr>
        <w:rFonts w:hint="eastAsia" w:ascii="华文新魏" w:hAnsi="宋体" w:eastAsia="华文新魏"/>
        <w:i/>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810DA"/>
    <w:multiLevelType w:val="singleLevel"/>
    <w:tmpl w:val="8DC810DA"/>
    <w:lvl w:ilvl="0" w:tentative="0">
      <w:start w:val="1"/>
      <w:numFmt w:val="decimal"/>
      <w:suff w:val="nothing"/>
      <w:lvlText w:val="%1、"/>
      <w:lvlJc w:val="left"/>
    </w:lvl>
  </w:abstractNum>
  <w:abstractNum w:abstractNumId="1">
    <w:nsid w:val="09533F11"/>
    <w:multiLevelType w:val="singleLevel"/>
    <w:tmpl w:val="09533F1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C37A1"/>
    <w:rsid w:val="00763E80"/>
    <w:rsid w:val="00D61F88"/>
    <w:rsid w:val="00DC5BF0"/>
    <w:rsid w:val="01707E2F"/>
    <w:rsid w:val="023E5BE1"/>
    <w:rsid w:val="024E7E9E"/>
    <w:rsid w:val="02606B1F"/>
    <w:rsid w:val="02753794"/>
    <w:rsid w:val="02BC1D9E"/>
    <w:rsid w:val="032D4760"/>
    <w:rsid w:val="039C23ED"/>
    <w:rsid w:val="03C87720"/>
    <w:rsid w:val="03CF188E"/>
    <w:rsid w:val="04237AD3"/>
    <w:rsid w:val="0469300A"/>
    <w:rsid w:val="04727FD3"/>
    <w:rsid w:val="047E5460"/>
    <w:rsid w:val="047F30F8"/>
    <w:rsid w:val="04BE4060"/>
    <w:rsid w:val="04DE5894"/>
    <w:rsid w:val="04FC4834"/>
    <w:rsid w:val="050B283A"/>
    <w:rsid w:val="054A7A6B"/>
    <w:rsid w:val="054C5BD6"/>
    <w:rsid w:val="0556336B"/>
    <w:rsid w:val="05BB35B3"/>
    <w:rsid w:val="05C363CA"/>
    <w:rsid w:val="05C432BD"/>
    <w:rsid w:val="06523955"/>
    <w:rsid w:val="06632291"/>
    <w:rsid w:val="06BF3548"/>
    <w:rsid w:val="06D12D1E"/>
    <w:rsid w:val="077B6045"/>
    <w:rsid w:val="07AD59C3"/>
    <w:rsid w:val="07BC0082"/>
    <w:rsid w:val="07C75218"/>
    <w:rsid w:val="07F67BF4"/>
    <w:rsid w:val="08D01562"/>
    <w:rsid w:val="08DE3AE1"/>
    <w:rsid w:val="08E2171F"/>
    <w:rsid w:val="08FA2F54"/>
    <w:rsid w:val="0939710A"/>
    <w:rsid w:val="09602655"/>
    <w:rsid w:val="097457E0"/>
    <w:rsid w:val="09843306"/>
    <w:rsid w:val="09A32DE6"/>
    <w:rsid w:val="0A2E21AF"/>
    <w:rsid w:val="0A684A47"/>
    <w:rsid w:val="0AC92FC0"/>
    <w:rsid w:val="0BFE6289"/>
    <w:rsid w:val="0C0A5EB3"/>
    <w:rsid w:val="0C67779F"/>
    <w:rsid w:val="0CCD0C73"/>
    <w:rsid w:val="0CD86997"/>
    <w:rsid w:val="0CFC4B87"/>
    <w:rsid w:val="0D115CF5"/>
    <w:rsid w:val="0D505AA2"/>
    <w:rsid w:val="0D5807AF"/>
    <w:rsid w:val="0D673BD4"/>
    <w:rsid w:val="0D6A6DD8"/>
    <w:rsid w:val="0D824925"/>
    <w:rsid w:val="0D8432AF"/>
    <w:rsid w:val="0DDA504E"/>
    <w:rsid w:val="0DF807A6"/>
    <w:rsid w:val="0E1B6AE3"/>
    <w:rsid w:val="0E581AC8"/>
    <w:rsid w:val="0E655FF0"/>
    <w:rsid w:val="0E8B7F3F"/>
    <w:rsid w:val="0EA812D6"/>
    <w:rsid w:val="0ED66691"/>
    <w:rsid w:val="0F493747"/>
    <w:rsid w:val="0F570825"/>
    <w:rsid w:val="0F5B05D1"/>
    <w:rsid w:val="0F6549E5"/>
    <w:rsid w:val="0F997350"/>
    <w:rsid w:val="0FCB6194"/>
    <w:rsid w:val="10103FAB"/>
    <w:rsid w:val="10262E9B"/>
    <w:rsid w:val="10743B9C"/>
    <w:rsid w:val="10A77FD5"/>
    <w:rsid w:val="10EA30ED"/>
    <w:rsid w:val="1106692E"/>
    <w:rsid w:val="11336D7C"/>
    <w:rsid w:val="11624649"/>
    <w:rsid w:val="1168094A"/>
    <w:rsid w:val="116E2B17"/>
    <w:rsid w:val="117C6438"/>
    <w:rsid w:val="1184707D"/>
    <w:rsid w:val="119A4566"/>
    <w:rsid w:val="11A426F2"/>
    <w:rsid w:val="11FC011F"/>
    <w:rsid w:val="12386C7D"/>
    <w:rsid w:val="124F13F0"/>
    <w:rsid w:val="126E03CD"/>
    <w:rsid w:val="127A12BD"/>
    <w:rsid w:val="127C1247"/>
    <w:rsid w:val="128A3B95"/>
    <w:rsid w:val="13121046"/>
    <w:rsid w:val="13263F3D"/>
    <w:rsid w:val="138E31E0"/>
    <w:rsid w:val="13B264DF"/>
    <w:rsid w:val="14357A15"/>
    <w:rsid w:val="14480B2F"/>
    <w:rsid w:val="146401FE"/>
    <w:rsid w:val="14B04102"/>
    <w:rsid w:val="14D91712"/>
    <w:rsid w:val="154811D4"/>
    <w:rsid w:val="15752595"/>
    <w:rsid w:val="15D66ED9"/>
    <w:rsid w:val="16451175"/>
    <w:rsid w:val="169A0D9D"/>
    <w:rsid w:val="16C758CF"/>
    <w:rsid w:val="173E20C2"/>
    <w:rsid w:val="18605936"/>
    <w:rsid w:val="18782EDE"/>
    <w:rsid w:val="188957B7"/>
    <w:rsid w:val="18C2272F"/>
    <w:rsid w:val="19376DFA"/>
    <w:rsid w:val="198B15B8"/>
    <w:rsid w:val="19B579EB"/>
    <w:rsid w:val="19EC3F26"/>
    <w:rsid w:val="19F62B1A"/>
    <w:rsid w:val="1A082B2E"/>
    <w:rsid w:val="1A3C2975"/>
    <w:rsid w:val="1A571C36"/>
    <w:rsid w:val="1A715C66"/>
    <w:rsid w:val="1A942BD1"/>
    <w:rsid w:val="1ACE35B6"/>
    <w:rsid w:val="1BB809A2"/>
    <w:rsid w:val="1BCE0168"/>
    <w:rsid w:val="1C087EC3"/>
    <w:rsid w:val="1C3B4971"/>
    <w:rsid w:val="1C3F3F5C"/>
    <w:rsid w:val="1C977FED"/>
    <w:rsid w:val="1CA311A4"/>
    <w:rsid w:val="1CA52F9C"/>
    <w:rsid w:val="1CF85DAD"/>
    <w:rsid w:val="1E4522A0"/>
    <w:rsid w:val="1E9B18EE"/>
    <w:rsid w:val="1EA22125"/>
    <w:rsid w:val="1F007662"/>
    <w:rsid w:val="1F046068"/>
    <w:rsid w:val="1F413279"/>
    <w:rsid w:val="1F4F4927"/>
    <w:rsid w:val="1F7F74BC"/>
    <w:rsid w:val="1F8D76B1"/>
    <w:rsid w:val="1FD13B04"/>
    <w:rsid w:val="202310AB"/>
    <w:rsid w:val="20797217"/>
    <w:rsid w:val="2083395E"/>
    <w:rsid w:val="20994D8B"/>
    <w:rsid w:val="20CB4D43"/>
    <w:rsid w:val="20F46152"/>
    <w:rsid w:val="21E54BC4"/>
    <w:rsid w:val="221D4703"/>
    <w:rsid w:val="222D4CBF"/>
    <w:rsid w:val="22584B5E"/>
    <w:rsid w:val="22590859"/>
    <w:rsid w:val="22663C13"/>
    <w:rsid w:val="227E0277"/>
    <w:rsid w:val="228C2F80"/>
    <w:rsid w:val="23071758"/>
    <w:rsid w:val="23624C0E"/>
    <w:rsid w:val="23B4151F"/>
    <w:rsid w:val="23F3798A"/>
    <w:rsid w:val="24066EE1"/>
    <w:rsid w:val="242E69F5"/>
    <w:rsid w:val="24341478"/>
    <w:rsid w:val="24897785"/>
    <w:rsid w:val="24C771BB"/>
    <w:rsid w:val="25611471"/>
    <w:rsid w:val="25650CBA"/>
    <w:rsid w:val="2573330C"/>
    <w:rsid w:val="258952D4"/>
    <w:rsid w:val="25BD776E"/>
    <w:rsid w:val="25E300EC"/>
    <w:rsid w:val="25FB3DA5"/>
    <w:rsid w:val="261012B0"/>
    <w:rsid w:val="26262BE2"/>
    <w:rsid w:val="262F35CA"/>
    <w:rsid w:val="268C4A44"/>
    <w:rsid w:val="26D52390"/>
    <w:rsid w:val="27097D38"/>
    <w:rsid w:val="27383550"/>
    <w:rsid w:val="274E5504"/>
    <w:rsid w:val="276946A9"/>
    <w:rsid w:val="27C67467"/>
    <w:rsid w:val="27E671DD"/>
    <w:rsid w:val="28106314"/>
    <w:rsid w:val="284D08B9"/>
    <w:rsid w:val="285A12A4"/>
    <w:rsid w:val="2875576B"/>
    <w:rsid w:val="29120000"/>
    <w:rsid w:val="298C5643"/>
    <w:rsid w:val="299C3679"/>
    <w:rsid w:val="29B10750"/>
    <w:rsid w:val="29B20F42"/>
    <w:rsid w:val="29D47848"/>
    <w:rsid w:val="29FA4AFA"/>
    <w:rsid w:val="2A0452FF"/>
    <w:rsid w:val="2A2606C1"/>
    <w:rsid w:val="2A261554"/>
    <w:rsid w:val="2A6837B6"/>
    <w:rsid w:val="2A6D2D98"/>
    <w:rsid w:val="2AA72BDB"/>
    <w:rsid w:val="2AB23B55"/>
    <w:rsid w:val="2AB37D31"/>
    <w:rsid w:val="2AE4759C"/>
    <w:rsid w:val="2B367A41"/>
    <w:rsid w:val="2B393906"/>
    <w:rsid w:val="2B41466F"/>
    <w:rsid w:val="2B4D208A"/>
    <w:rsid w:val="2B5A3734"/>
    <w:rsid w:val="2BAA5F4C"/>
    <w:rsid w:val="2C185071"/>
    <w:rsid w:val="2CC04C01"/>
    <w:rsid w:val="2D2105E2"/>
    <w:rsid w:val="2D227644"/>
    <w:rsid w:val="2D347007"/>
    <w:rsid w:val="2D8D7104"/>
    <w:rsid w:val="2DA139D2"/>
    <w:rsid w:val="2DCF44E2"/>
    <w:rsid w:val="2DDF6A57"/>
    <w:rsid w:val="2E1656D2"/>
    <w:rsid w:val="2E3E3297"/>
    <w:rsid w:val="2E71285C"/>
    <w:rsid w:val="2EE10EF8"/>
    <w:rsid w:val="2F4F5A97"/>
    <w:rsid w:val="2FF32C47"/>
    <w:rsid w:val="300C46E3"/>
    <w:rsid w:val="303A175E"/>
    <w:rsid w:val="30734AEB"/>
    <w:rsid w:val="307671B7"/>
    <w:rsid w:val="308F4F32"/>
    <w:rsid w:val="309D4CBE"/>
    <w:rsid w:val="30BE79A7"/>
    <w:rsid w:val="30DF6AEC"/>
    <w:rsid w:val="313B4156"/>
    <w:rsid w:val="31780267"/>
    <w:rsid w:val="31B07DDD"/>
    <w:rsid w:val="31E4547D"/>
    <w:rsid w:val="32075013"/>
    <w:rsid w:val="32AB61EC"/>
    <w:rsid w:val="32C342A4"/>
    <w:rsid w:val="32E7737B"/>
    <w:rsid w:val="32F13750"/>
    <w:rsid w:val="33024A12"/>
    <w:rsid w:val="333A3EC5"/>
    <w:rsid w:val="337C2F0A"/>
    <w:rsid w:val="33EB7896"/>
    <w:rsid w:val="33F33F1C"/>
    <w:rsid w:val="33F75303"/>
    <w:rsid w:val="33F83B74"/>
    <w:rsid w:val="34594A5F"/>
    <w:rsid w:val="34943D90"/>
    <w:rsid w:val="34BA5E99"/>
    <w:rsid w:val="34C80307"/>
    <w:rsid w:val="352934B8"/>
    <w:rsid w:val="367C457C"/>
    <w:rsid w:val="36B67EE0"/>
    <w:rsid w:val="37034DCF"/>
    <w:rsid w:val="375C234D"/>
    <w:rsid w:val="37665CAB"/>
    <w:rsid w:val="377E49EE"/>
    <w:rsid w:val="382001E8"/>
    <w:rsid w:val="383639E0"/>
    <w:rsid w:val="38507167"/>
    <w:rsid w:val="38A36544"/>
    <w:rsid w:val="38C9221C"/>
    <w:rsid w:val="38EA4278"/>
    <w:rsid w:val="39093111"/>
    <w:rsid w:val="39214A04"/>
    <w:rsid w:val="393022D9"/>
    <w:rsid w:val="394D756C"/>
    <w:rsid w:val="395E568E"/>
    <w:rsid w:val="39753A69"/>
    <w:rsid w:val="39A83A6A"/>
    <w:rsid w:val="39AA6613"/>
    <w:rsid w:val="39B81498"/>
    <w:rsid w:val="39F94C35"/>
    <w:rsid w:val="3A5F2998"/>
    <w:rsid w:val="3A8B6B21"/>
    <w:rsid w:val="3AB91E94"/>
    <w:rsid w:val="3B1B0E45"/>
    <w:rsid w:val="3B2704DC"/>
    <w:rsid w:val="3B4E56FA"/>
    <w:rsid w:val="3B6B3F5A"/>
    <w:rsid w:val="3B8A130B"/>
    <w:rsid w:val="3B8B12FB"/>
    <w:rsid w:val="3BE60A54"/>
    <w:rsid w:val="3C0203FD"/>
    <w:rsid w:val="3C391AD3"/>
    <w:rsid w:val="3C40055F"/>
    <w:rsid w:val="3C5D67EC"/>
    <w:rsid w:val="3C671E43"/>
    <w:rsid w:val="3CB64699"/>
    <w:rsid w:val="3CD33640"/>
    <w:rsid w:val="3CF92D75"/>
    <w:rsid w:val="3D0D701A"/>
    <w:rsid w:val="3D491B5B"/>
    <w:rsid w:val="3DA312D4"/>
    <w:rsid w:val="3DF805BB"/>
    <w:rsid w:val="3E483C21"/>
    <w:rsid w:val="3E861854"/>
    <w:rsid w:val="3E8B0245"/>
    <w:rsid w:val="3E980E83"/>
    <w:rsid w:val="3EA0344F"/>
    <w:rsid w:val="3EC6346C"/>
    <w:rsid w:val="3ED43706"/>
    <w:rsid w:val="3ED50E9B"/>
    <w:rsid w:val="3F08287B"/>
    <w:rsid w:val="3F14769B"/>
    <w:rsid w:val="3F3B3785"/>
    <w:rsid w:val="3F9B00E0"/>
    <w:rsid w:val="3FBF43B6"/>
    <w:rsid w:val="3FE964AA"/>
    <w:rsid w:val="3FF47E4C"/>
    <w:rsid w:val="400C6ED0"/>
    <w:rsid w:val="402C0505"/>
    <w:rsid w:val="40321748"/>
    <w:rsid w:val="404222AD"/>
    <w:rsid w:val="406C2035"/>
    <w:rsid w:val="407409C1"/>
    <w:rsid w:val="40A32A39"/>
    <w:rsid w:val="40B73558"/>
    <w:rsid w:val="40E0585F"/>
    <w:rsid w:val="411C27CC"/>
    <w:rsid w:val="411D51FA"/>
    <w:rsid w:val="416B2C9C"/>
    <w:rsid w:val="41743F41"/>
    <w:rsid w:val="419A65CE"/>
    <w:rsid w:val="41C35FDC"/>
    <w:rsid w:val="423137F2"/>
    <w:rsid w:val="42665D77"/>
    <w:rsid w:val="4272498F"/>
    <w:rsid w:val="42756FAE"/>
    <w:rsid w:val="42F7798A"/>
    <w:rsid w:val="434B4938"/>
    <w:rsid w:val="436F78C7"/>
    <w:rsid w:val="43985EB7"/>
    <w:rsid w:val="43C86ECB"/>
    <w:rsid w:val="440D72FB"/>
    <w:rsid w:val="447318C0"/>
    <w:rsid w:val="44BA1B9C"/>
    <w:rsid w:val="44CB11D3"/>
    <w:rsid w:val="44D04259"/>
    <w:rsid w:val="44E06ABE"/>
    <w:rsid w:val="44F85C75"/>
    <w:rsid w:val="4531239C"/>
    <w:rsid w:val="4572153E"/>
    <w:rsid w:val="45973D30"/>
    <w:rsid w:val="462336A1"/>
    <w:rsid w:val="468C05FF"/>
    <w:rsid w:val="46A11EED"/>
    <w:rsid w:val="46B95A7E"/>
    <w:rsid w:val="46DE4766"/>
    <w:rsid w:val="4761507B"/>
    <w:rsid w:val="478F5870"/>
    <w:rsid w:val="47A541B9"/>
    <w:rsid w:val="47B97933"/>
    <w:rsid w:val="47C676DD"/>
    <w:rsid w:val="47E332FF"/>
    <w:rsid w:val="47E930A3"/>
    <w:rsid w:val="47F00504"/>
    <w:rsid w:val="48015706"/>
    <w:rsid w:val="480C77EB"/>
    <w:rsid w:val="48644309"/>
    <w:rsid w:val="487D7E31"/>
    <w:rsid w:val="4881538B"/>
    <w:rsid w:val="48D85661"/>
    <w:rsid w:val="490E075B"/>
    <w:rsid w:val="49582082"/>
    <w:rsid w:val="49610849"/>
    <w:rsid w:val="49C361D6"/>
    <w:rsid w:val="4A1C7F7D"/>
    <w:rsid w:val="4A1F3E0A"/>
    <w:rsid w:val="4A53745D"/>
    <w:rsid w:val="4A850178"/>
    <w:rsid w:val="4A9B3FFD"/>
    <w:rsid w:val="4AE7620F"/>
    <w:rsid w:val="4AFC5EC4"/>
    <w:rsid w:val="4B094632"/>
    <w:rsid w:val="4B1915D3"/>
    <w:rsid w:val="4B4F4FAB"/>
    <w:rsid w:val="4B56791C"/>
    <w:rsid w:val="4B8072C1"/>
    <w:rsid w:val="4B995438"/>
    <w:rsid w:val="4BE60EC8"/>
    <w:rsid w:val="4BF976BC"/>
    <w:rsid w:val="4C2A1CA5"/>
    <w:rsid w:val="4C2A4C4B"/>
    <w:rsid w:val="4C7E5333"/>
    <w:rsid w:val="4CE2339D"/>
    <w:rsid w:val="4CE330E8"/>
    <w:rsid w:val="4CEE4585"/>
    <w:rsid w:val="4D0C3AA6"/>
    <w:rsid w:val="4D201A26"/>
    <w:rsid w:val="4D5E3016"/>
    <w:rsid w:val="4D854925"/>
    <w:rsid w:val="4DC45D21"/>
    <w:rsid w:val="4DD12EB6"/>
    <w:rsid w:val="4E3249A5"/>
    <w:rsid w:val="4E58330E"/>
    <w:rsid w:val="4EDE6801"/>
    <w:rsid w:val="4EE6268A"/>
    <w:rsid w:val="4F9639BD"/>
    <w:rsid w:val="4FD77FF5"/>
    <w:rsid w:val="4FF65E35"/>
    <w:rsid w:val="50275872"/>
    <w:rsid w:val="50BA7B06"/>
    <w:rsid w:val="50BC58A9"/>
    <w:rsid w:val="50FB2D62"/>
    <w:rsid w:val="51671CDE"/>
    <w:rsid w:val="51CE7EF8"/>
    <w:rsid w:val="51EF1810"/>
    <w:rsid w:val="51F00B07"/>
    <w:rsid w:val="51F2437A"/>
    <w:rsid w:val="523A0CDA"/>
    <w:rsid w:val="525657E4"/>
    <w:rsid w:val="52764C77"/>
    <w:rsid w:val="528701EE"/>
    <w:rsid w:val="528B54ED"/>
    <w:rsid w:val="52971E70"/>
    <w:rsid w:val="52A22328"/>
    <w:rsid w:val="52B95A62"/>
    <w:rsid w:val="52C953A3"/>
    <w:rsid w:val="53123679"/>
    <w:rsid w:val="532C6C52"/>
    <w:rsid w:val="533643EC"/>
    <w:rsid w:val="536C5C25"/>
    <w:rsid w:val="53794425"/>
    <w:rsid w:val="53E32F3B"/>
    <w:rsid w:val="54354A85"/>
    <w:rsid w:val="543568AE"/>
    <w:rsid w:val="543662C2"/>
    <w:rsid w:val="5441087B"/>
    <w:rsid w:val="549237C8"/>
    <w:rsid w:val="54ED111B"/>
    <w:rsid w:val="55426B58"/>
    <w:rsid w:val="556F1693"/>
    <w:rsid w:val="55854859"/>
    <w:rsid w:val="55F02712"/>
    <w:rsid w:val="5603716D"/>
    <w:rsid w:val="562E4CC9"/>
    <w:rsid w:val="564F1634"/>
    <w:rsid w:val="568E358B"/>
    <w:rsid w:val="56CB4FC7"/>
    <w:rsid w:val="56EA64E7"/>
    <w:rsid w:val="57AD5826"/>
    <w:rsid w:val="57C26613"/>
    <w:rsid w:val="580C3C9C"/>
    <w:rsid w:val="587A5253"/>
    <w:rsid w:val="58886C31"/>
    <w:rsid w:val="58DF774F"/>
    <w:rsid w:val="58E54A88"/>
    <w:rsid w:val="595B16BA"/>
    <w:rsid w:val="59774D17"/>
    <w:rsid w:val="59883FD7"/>
    <w:rsid w:val="59A8498A"/>
    <w:rsid w:val="59B87E99"/>
    <w:rsid w:val="5A5F55CC"/>
    <w:rsid w:val="5A837373"/>
    <w:rsid w:val="5A9C29C1"/>
    <w:rsid w:val="5ACE0565"/>
    <w:rsid w:val="5AD83919"/>
    <w:rsid w:val="5AE87514"/>
    <w:rsid w:val="5B134FF5"/>
    <w:rsid w:val="5B2F203A"/>
    <w:rsid w:val="5B9B0EA1"/>
    <w:rsid w:val="5BA70608"/>
    <w:rsid w:val="5BBB4C9C"/>
    <w:rsid w:val="5BCE3D67"/>
    <w:rsid w:val="5C513AC2"/>
    <w:rsid w:val="5C6550DA"/>
    <w:rsid w:val="5CD903E3"/>
    <w:rsid w:val="5CFC0A4B"/>
    <w:rsid w:val="5D32363C"/>
    <w:rsid w:val="5D5A3007"/>
    <w:rsid w:val="5D6D6DA8"/>
    <w:rsid w:val="5D766E8F"/>
    <w:rsid w:val="5E180211"/>
    <w:rsid w:val="5E550110"/>
    <w:rsid w:val="5E6E52AB"/>
    <w:rsid w:val="5E72358C"/>
    <w:rsid w:val="5FF70CE7"/>
    <w:rsid w:val="602E3966"/>
    <w:rsid w:val="60837D19"/>
    <w:rsid w:val="60C02F86"/>
    <w:rsid w:val="61395986"/>
    <w:rsid w:val="61712E45"/>
    <w:rsid w:val="61782076"/>
    <w:rsid w:val="61A94D34"/>
    <w:rsid w:val="61AF6C97"/>
    <w:rsid w:val="61D63E53"/>
    <w:rsid w:val="61FC28CE"/>
    <w:rsid w:val="62394BD0"/>
    <w:rsid w:val="629E40AB"/>
    <w:rsid w:val="62BE2099"/>
    <w:rsid w:val="62D969DD"/>
    <w:rsid w:val="62DC72BB"/>
    <w:rsid w:val="62E26FE2"/>
    <w:rsid w:val="62E73159"/>
    <w:rsid w:val="63060E25"/>
    <w:rsid w:val="631E2BB6"/>
    <w:rsid w:val="63740504"/>
    <w:rsid w:val="63965945"/>
    <w:rsid w:val="639E1188"/>
    <w:rsid w:val="63D746A0"/>
    <w:rsid w:val="63F00D9F"/>
    <w:rsid w:val="64501859"/>
    <w:rsid w:val="647D6B7D"/>
    <w:rsid w:val="64820701"/>
    <w:rsid w:val="64880BE5"/>
    <w:rsid w:val="64BC3E79"/>
    <w:rsid w:val="64DF0CA2"/>
    <w:rsid w:val="64E95D39"/>
    <w:rsid w:val="64EA42D5"/>
    <w:rsid w:val="64FD2310"/>
    <w:rsid w:val="64FF07B5"/>
    <w:rsid w:val="651A7F2E"/>
    <w:rsid w:val="654E13BA"/>
    <w:rsid w:val="655B1BDC"/>
    <w:rsid w:val="65617F5E"/>
    <w:rsid w:val="6582643C"/>
    <w:rsid w:val="65E60947"/>
    <w:rsid w:val="662A3E1A"/>
    <w:rsid w:val="664F702B"/>
    <w:rsid w:val="666F2F2C"/>
    <w:rsid w:val="673319D2"/>
    <w:rsid w:val="674B31F9"/>
    <w:rsid w:val="680440F4"/>
    <w:rsid w:val="680C64B6"/>
    <w:rsid w:val="68460921"/>
    <w:rsid w:val="687B01F9"/>
    <w:rsid w:val="68DF7DB2"/>
    <w:rsid w:val="691F49B5"/>
    <w:rsid w:val="693B41FE"/>
    <w:rsid w:val="693D28E5"/>
    <w:rsid w:val="69BA1D6B"/>
    <w:rsid w:val="69C0049D"/>
    <w:rsid w:val="69CF7078"/>
    <w:rsid w:val="69E66E70"/>
    <w:rsid w:val="6A104169"/>
    <w:rsid w:val="6A5A14F5"/>
    <w:rsid w:val="6ABD73F6"/>
    <w:rsid w:val="6AD42215"/>
    <w:rsid w:val="6B8360FC"/>
    <w:rsid w:val="6B947BF6"/>
    <w:rsid w:val="6BED4DB0"/>
    <w:rsid w:val="6C0C4C3A"/>
    <w:rsid w:val="6C1B24A9"/>
    <w:rsid w:val="6C1F4968"/>
    <w:rsid w:val="6C2010A2"/>
    <w:rsid w:val="6C5519CC"/>
    <w:rsid w:val="6C5A4159"/>
    <w:rsid w:val="6C682835"/>
    <w:rsid w:val="6C9807E5"/>
    <w:rsid w:val="6CAB2873"/>
    <w:rsid w:val="6CF2505D"/>
    <w:rsid w:val="6D2F5E56"/>
    <w:rsid w:val="6D981F9A"/>
    <w:rsid w:val="6DAB36B8"/>
    <w:rsid w:val="6DAF13CD"/>
    <w:rsid w:val="6DBF3EF8"/>
    <w:rsid w:val="6DD653EC"/>
    <w:rsid w:val="6E036A69"/>
    <w:rsid w:val="6E0F17B6"/>
    <w:rsid w:val="6E583573"/>
    <w:rsid w:val="6E961F94"/>
    <w:rsid w:val="6EC5054D"/>
    <w:rsid w:val="6ED76CB1"/>
    <w:rsid w:val="6EDF3802"/>
    <w:rsid w:val="6EF96AA9"/>
    <w:rsid w:val="6EFE43F7"/>
    <w:rsid w:val="6F4431FA"/>
    <w:rsid w:val="6FC56742"/>
    <w:rsid w:val="6FD96EFF"/>
    <w:rsid w:val="70274199"/>
    <w:rsid w:val="70346664"/>
    <w:rsid w:val="707B4DF7"/>
    <w:rsid w:val="70910B4A"/>
    <w:rsid w:val="71260CC9"/>
    <w:rsid w:val="71644BEB"/>
    <w:rsid w:val="716E3B64"/>
    <w:rsid w:val="718C7F53"/>
    <w:rsid w:val="71BE47B9"/>
    <w:rsid w:val="71BE59CD"/>
    <w:rsid w:val="71D829D0"/>
    <w:rsid w:val="721A50B9"/>
    <w:rsid w:val="723F351E"/>
    <w:rsid w:val="727A12EB"/>
    <w:rsid w:val="72886457"/>
    <w:rsid w:val="73537A79"/>
    <w:rsid w:val="739F463C"/>
    <w:rsid w:val="73AB1B86"/>
    <w:rsid w:val="740D6797"/>
    <w:rsid w:val="747A2D09"/>
    <w:rsid w:val="74895276"/>
    <w:rsid w:val="74CD42A5"/>
    <w:rsid w:val="74EC3A13"/>
    <w:rsid w:val="74FD2425"/>
    <w:rsid w:val="75082254"/>
    <w:rsid w:val="757A0B4B"/>
    <w:rsid w:val="757E794D"/>
    <w:rsid w:val="759A740E"/>
    <w:rsid w:val="764B00D8"/>
    <w:rsid w:val="765C663B"/>
    <w:rsid w:val="76A25041"/>
    <w:rsid w:val="76A86D72"/>
    <w:rsid w:val="76BA1D04"/>
    <w:rsid w:val="77223349"/>
    <w:rsid w:val="77224B11"/>
    <w:rsid w:val="772A26FB"/>
    <w:rsid w:val="77975FC2"/>
    <w:rsid w:val="77FD36B1"/>
    <w:rsid w:val="783B0DF8"/>
    <w:rsid w:val="785B03C8"/>
    <w:rsid w:val="786853C9"/>
    <w:rsid w:val="78A009CD"/>
    <w:rsid w:val="78A81A48"/>
    <w:rsid w:val="78B04753"/>
    <w:rsid w:val="78FB261B"/>
    <w:rsid w:val="79523FF8"/>
    <w:rsid w:val="79672119"/>
    <w:rsid w:val="796E208D"/>
    <w:rsid w:val="79BB495E"/>
    <w:rsid w:val="79CF3FC2"/>
    <w:rsid w:val="7A8E2831"/>
    <w:rsid w:val="7AEF325D"/>
    <w:rsid w:val="7B2C2890"/>
    <w:rsid w:val="7BE21FC1"/>
    <w:rsid w:val="7BE607DE"/>
    <w:rsid w:val="7BF16B12"/>
    <w:rsid w:val="7C2403C0"/>
    <w:rsid w:val="7C4C37A1"/>
    <w:rsid w:val="7C681EE3"/>
    <w:rsid w:val="7C7A363E"/>
    <w:rsid w:val="7CAD4EF2"/>
    <w:rsid w:val="7CBF67C6"/>
    <w:rsid w:val="7CFB4BAC"/>
    <w:rsid w:val="7D136DE4"/>
    <w:rsid w:val="7D3A72D7"/>
    <w:rsid w:val="7D796F39"/>
    <w:rsid w:val="7DBC48A5"/>
    <w:rsid w:val="7DD2575F"/>
    <w:rsid w:val="7DF62BCA"/>
    <w:rsid w:val="7E147F9B"/>
    <w:rsid w:val="7E2C5F91"/>
    <w:rsid w:val="7E6A7ECD"/>
    <w:rsid w:val="7E8E4D67"/>
    <w:rsid w:val="7EA26E23"/>
    <w:rsid w:val="7EA92EEE"/>
    <w:rsid w:val="7EC40D73"/>
    <w:rsid w:val="7ED12548"/>
    <w:rsid w:val="7EE6584E"/>
    <w:rsid w:val="7F425813"/>
    <w:rsid w:val="7F88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qFormat/>
    <w:uiPriority w:val="0"/>
    <w:pPr>
      <w:keepNext/>
      <w:spacing w:before="240" w:after="60"/>
      <w:outlineLvl w:val="0"/>
    </w:pPr>
    <w:rPr>
      <w:bCs/>
      <w:kern w:val="32"/>
      <w:szCs w:val="32"/>
    </w:rPr>
  </w:style>
  <w:style w:type="paragraph" w:styleId="7">
    <w:name w:val="heading 2"/>
    <w:basedOn w:val="1"/>
    <w:next w:val="1"/>
    <w:qFormat/>
    <w:uiPriority w:val="9"/>
    <w:pPr>
      <w:keepNext/>
      <w:keepLines/>
      <w:spacing w:line="360" w:lineRule="auto"/>
      <w:outlineLvl w:val="1"/>
    </w:pPr>
    <w:rPr>
      <w:rFonts w:ascii="Arial" w:hAnsi="Arial"/>
      <w:b/>
      <w:kern w:val="0"/>
      <w:sz w:val="32"/>
      <w:szCs w:val="20"/>
    </w:rPr>
  </w:style>
  <w:style w:type="paragraph" w:styleId="8">
    <w:name w:val="heading 3"/>
    <w:basedOn w:val="1"/>
    <w:next w:val="1"/>
    <w:qFormat/>
    <w:uiPriority w:val="0"/>
    <w:pPr>
      <w:keepNext/>
      <w:keepLines/>
      <w:spacing w:before="260" w:after="260" w:line="416" w:lineRule="auto"/>
      <w:outlineLvl w:val="2"/>
    </w:pPr>
    <w:rPr>
      <w:b/>
      <w:bCs/>
      <w:kern w:val="0"/>
      <w:sz w:val="32"/>
      <w:szCs w:val="32"/>
    </w:rPr>
  </w:style>
  <w:style w:type="paragraph" w:styleId="9">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ind w:left="420" w:leftChars="200"/>
    </w:pPr>
    <w:rPr>
      <w:kern w:val="0"/>
      <w:sz w:val="20"/>
    </w:rPr>
  </w:style>
  <w:style w:type="paragraph" w:styleId="4">
    <w:name w:val="Body Text Indent 2"/>
    <w:basedOn w:val="1"/>
    <w:qFormat/>
    <w:uiPriority w:val="0"/>
    <w:pPr>
      <w:spacing w:after="120" w:line="480" w:lineRule="auto"/>
      <w:ind w:left="420" w:leftChars="200"/>
    </w:pPr>
    <w:rPr>
      <w:kern w:val="0"/>
      <w:sz w:val="20"/>
    </w:rPr>
  </w:style>
  <w:style w:type="paragraph" w:styleId="6">
    <w:name w:val="Title"/>
    <w:basedOn w:val="1"/>
    <w:next w:val="1"/>
    <w:qFormat/>
    <w:uiPriority w:val="0"/>
    <w:pPr>
      <w:spacing w:before="240" w:after="60"/>
      <w:jc w:val="center"/>
      <w:outlineLvl w:val="0"/>
    </w:pPr>
    <w:rPr>
      <w:rFonts w:ascii="Cambria" w:hAnsi="Cambria"/>
      <w:b/>
      <w:kern w:val="0"/>
      <w:sz w:val="32"/>
    </w:rPr>
  </w:style>
  <w:style w:type="paragraph" w:styleId="10">
    <w:name w:val="Normal Indent"/>
    <w:basedOn w:val="1"/>
    <w:qFormat/>
    <w:uiPriority w:val="0"/>
    <w:pPr>
      <w:widowControl/>
      <w:ind w:firstLine="420"/>
      <w:jc w:val="left"/>
    </w:pPr>
    <w:rPr>
      <w:kern w:val="0"/>
      <w:sz w:val="20"/>
      <w:szCs w:val="20"/>
    </w:rPr>
  </w:style>
  <w:style w:type="paragraph" w:styleId="11">
    <w:name w:val="Body Text"/>
    <w:basedOn w:val="1"/>
    <w:next w:val="1"/>
    <w:qFormat/>
    <w:uiPriority w:val="0"/>
    <w:pPr>
      <w:spacing w:after="120"/>
    </w:pPr>
    <w:rPr>
      <w:kern w:val="0"/>
      <w:sz w:val="20"/>
    </w:rPr>
  </w:style>
  <w:style w:type="paragraph" w:styleId="12">
    <w:name w:val="Plain Text"/>
    <w:basedOn w:val="1"/>
    <w:next w:val="1"/>
    <w:qFormat/>
    <w:uiPriority w:val="0"/>
    <w:rPr>
      <w:rFonts w:ascii="宋体" w:hAnsi="Courier New"/>
      <w:kern w:val="0"/>
      <w:sz w:val="20"/>
      <w:szCs w:val="21"/>
    </w:rPr>
  </w:style>
  <w:style w:type="paragraph" w:styleId="13">
    <w:name w:val="Date"/>
    <w:basedOn w:val="1"/>
    <w:next w:val="1"/>
    <w:qFormat/>
    <w:uiPriority w:val="0"/>
    <w:rPr>
      <w:kern w:val="0"/>
      <w:sz w:val="24"/>
      <w:szCs w:val="20"/>
    </w:rPr>
  </w:style>
  <w:style w:type="paragraph" w:styleId="14">
    <w:name w:val="footer"/>
    <w:basedOn w:val="1"/>
    <w:qFormat/>
    <w:uiPriority w:val="99"/>
    <w:pPr>
      <w:tabs>
        <w:tab w:val="center" w:pos="4153"/>
        <w:tab w:val="right" w:pos="8306"/>
      </w:tabs>
      <w:snapToGrid w:val="0"/>
      <w:jc w:val="left"/>
    </w:pPr>
    <w:rPr>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basedOn w:val="1"/>
    <w:qFormat/>
    <w:uiPriority w:val="0"/>
    <w:pPr>
      <w:spacing w:after="120" w:line="480" w:lineRule="auto"/>
    </w:pPr>
    <w:rPr>
      <w:kern w:val="0"/>
      <w:sz w:val="20"/>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FollowedHyperlink"/>
    <w:basedOn w:val="22"/>
    <w:qFormat/>
    <w:uiPriority w:val="0"/>
    <w:rPr>
      <w:color w:val="800080"/>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hint="default"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ascii="monospace" w:hAnsi="monospace" w:eastAsia="monospace" w:cs="monospace"/>
    </w:rPr>
  </w:style>
  <w:style w:type="paragraph" w:customStyle="1" w:styleId="35">
    <w:name w:val="首行缩进"/>
    <w:basedOn w:val="1"/>
    <w:qFormat/>
    <w:uiPriority w:val="0"/>
    <w:pPr>
      <w:ind w:firstLine="720"/>
      <w:jc w:val="left"/>
    </w:pPr>
    <w:rPr>
      <w:sz w:val="24"/>
    </w:rPr>
  </w:style>
  <w:style w:type="paragraph" w:customStyle="1" w:styleId="3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customStyle="1" w:styleId="37">
    <w:name w:val="样式2"/>
    <w:basedOn w:val="15"/>
    <w:next w:val="1"/>
    <w:qFormat/>
    <w:uiPriority w:val="0"/>
  </w:style>
  <w:style w:type="paragraph" w:customStyle="1" w:styleId="38">
    <w:name w:val="List Paragraph"/>
    <w:basedOn w:val="1"/>
    <w:qFormat/>
    <w:uiPriority w:val="99"/>
    <w:pPr>
      <w:ind w:firstLine="420" w:firstLineChars="200"/>
    </w:pPr>
  </w:style>
  <w:style w:type="paragraph" w:customStyle="1" w:styleId="39">
    <w:name w:val="表格文字"/>
    <w:basedOn w:val="1"/>
    <w:qFormat/>
    <w:uiPriority w:val="0"/>
    <w:pPr>
      <w:jc w:val="left"/>
    </w:pPr>
    <w:rPr>
      <w:bCs/>
      <w:spacing w:val="10"/>
      <w:kern w:val="0"/>
      <w:sz w:val="24"/>
    </w:rPr>
  </w:style>
  <w:style w:type="paragraph" w:customStyle="1" w:styleId="40">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1">
    <w:name w:val="p0"/>
    <w:basedOn w:val="1"/>
    <w:qFormat/>
    <w:uiPriority w:val="0"/>
    <w:pPr>
      <w:widowControl/>
    </w:pPr>
    <w:rPr>
      <w:kern w:val="0"/>
      <w:sz w:val="20"/>
      <w:szCs w:val="21"/>
    </w:rPr>
  </w:style>
  <w:style w:type="character" w:customStyle="1" w:styleId="42">
    <w:name w:val="Chapter head"/>
    <w:basedOn w:val="22"/>
    <w:qFormat/>
    <w:uiPriority w:val="0"/>
    <w:rPr>
      <w:rFonts w:cs="Times New Roman"/>
      <w:b/>
      <w:sz w:val="36"/>
    </w:rPr>
  </w:style>
  <w:style w:type="paragraph" w:customStyle="1" w:styleId="43">
    <w:name w:val="样式"/>
    <w:basedOn w:val="1"/>
    <w:next w:val="19"/>
    <w:qFormat/>
    <w:uiPriority w:val="0"/>
    <w:pPr>
      <w:widowControl/>
      <w:spacing w:line="360" w:lineRule="auto"/>
      <w:ind w:firstLine="480" w:firstLineChars="200"/>
      <w:jc w:val="left"/>
    </w:pPr>
    <w:rPr>
      <w:rFonts w:ascii="宋体" w:hAnsi="宋体"/>
      <w:kern w:val="0"/>
      <w:sz w:val="24"/>
      <w:szCs w:val="20"/>
    </w:rPr>
  </w:style>
  <w:style w:type="paragraph" w:customStyle="1" w:styleId="44">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45">
    <w:name w:val="WPSOffice手动目录 1"/>
    <w:qFormat/>
    <w:uiPriority w:val="0"/>
    <w:pPr>
      <w:ind w:leftChars="0"/>
    </w:pPr>
    <w:rPr>
      <w:rFonts w:ascii="Times New Roman" w:hAnsi="Times New Roman" w:eastAsia="宋体" w:cs="Times New Roman"/>
      <w:sz w:val="20"/>
      <w:szCs w:val="20"/>
    </w:rPr>
  </w:style>
  <w:style w:type="paragraph" w:customStyle="1" w:styleId="46">
    <w:name w:val="WPSOffice手动目录 2"/>
    <w:qFormat/>
    <w:uiPriority w:val="0"/>
    <w:pPr>
      <w:ind w:leftChars="200"/>
    </w:pPr>
    <w:rPr>
      <w:rFonts w:ascii="Times New Roman" w:hAnsi="Times New Roman" w:eastAsia="宋体" w:cs="Times New Roman"/>
      <w:sz w:val="20"/>
      <w:szCs w:val="20"/>
    </w:rPr>
  </w:style>
  <w:style w:type="paragraph" w:customStyle="1" w:styleId="47">
    <w:name w:val="Table Paragraph"/>
    <w:basedOn w:val="1"/>
    <w:qFormat/>
    <w:uiPriority w:val="1"/>
    <w:rPr>
      <w:rFonts w:ascii="宋体" w:hAnsi="宋体" w:eastAsia="宋体" w:cs="宋体"/>
      <w:lang w:val="zh-CN" w:eastAsia="zh-CN" w:bidi="zh-CN"/>
    </w:rPr>
  </w:style>
  <w:style w:type="paragraph" w:customStyle="1" w:styleId="48">
    <w:name w:val="列出段落1"/>
    <w:basedOn w:val="1"/>
    <w:qFormat/>
    <w:uiPriority w:val="34"/>
    <w:pPr>
      <w:ind w:firstLine="420" w:firstLineChars="200"/>
    </w:pPr>
    <w:rPr>
      <w:rFonts w:ascii="Calibri" w:hAnsi="Calibri" w:cs="Calibri"/>
      <w:szCs w:val="21"/>
    </w:rPr>
  </w:style>
  <w:style w:type="character" w:customStyle="1" w:styleId="49">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35360</Words>
  <Characters>37304</Characters>
  <Lines>0</Lines>
  <Paragraphs>0</Paragraphs>
  <TotalTime>19</TotalTime>
  <ScaleCrop>false</ScaleCrop>
  <LinksUpToDate>false</LinksUpToDate>
  <CharactersWithSpaces>41905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2020-11-23T09:17:00Z</dcterms:created>
  <dc:creator>Greatwall</dc:creator>
  <cp:lastModifiedBy>昊坤茶陵分公司</cp:lastModifiedBy>
  <cp:lastPrinted>2022-03-29T00:59:21Z</cp:lastPrinted>
  <dcterms:modified xsi:type="dcterms:W3CDTF">2022-03-29T01:10:08Z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AC6BE0C42E8746029D60CEAC246D499F</vt:lpwstr>
  </property>
</Properties>
</file>