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pPr>
      <w:bookmarkStart w:id="0" w:name="_GoBack"/>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株洲市</w:t>
      </w:r>
      <w:r>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t>农业农村局</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t>2021</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年政府信息公开工作年度报告</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880" w:firstLineChars="200"/>
        <w:jc w:val="both"/>
        <w:textAlignment w:val="auto"/>
        <w:outlineLvl w:val="9"/>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fill="FFFFFF"/>
          <w14:textFill>
            <w14:solidFill>
              <w14:schemeClr w14:val="tx1"/>
            </w14:solidFill>
          </w14:textFill>
        </w:rPr>
        <w:t>本年度工作报告根据国务院办公厅政府信息与政务公开办公室关于印发《中华人民共和国政府信息公开工作年度报告格式》的通知</w:t>
      </w:r>
      <w:r>
        <w:rPr>
          <w:rFonts w:hint="eastAsia" w:ascii="仿宋" w:hAnsi="仿宋" w:eastAsia="仿宋" w:cs="仿宋"/>
          <w:color w:val="000000" w:themeColor="text1"/>
          <w:sz w:val="32"/>
          <w:szCs w:val="32"/>
          <w:shd w:val="clear" w:fill="FFFFFF"/>
          <w:lang w:eastAsia="zh-CN"/>
          <w14:textFill>
            <w14:solidFill>
              <w14:schemeClr w14:val="tx1"/>
            </w14:solidFill>
          </w14:textFill>
        </w:rPr>
        <w:t>（</w:t>
      </w:r>
      <w:r>
        <w:rPr>
          <w:rFonts w:hint="eastAsia" w:ascii="仿宋" w:hAnsi="仿宋" w:eastAsia="仿宋" w:cs="仿宋"/>
          <w:color w:val="000000" w:themeColor="text1"/>
          <w:sz w:val="32"/>
          <w:szCs w:val="32"/>
          <w:shd w:val="clear" w:fill="FFFFFF"/>
          <w14:textFill>
            <w14:solidFill>
              <w14:schemeClr w14:val="tx1"/>
            </w14:solidFill>
          </w14:textFill>
        </w:rPr>
        <w:t>国办公开办函〔2021〕30号</w:t>
      </w:r>
      <w:r>
        <w:rPr>
          <w:rFonts w:hint="eastAsia" w:ascii="仿宋" w:hAnsi="仿宋" w:eastAsia="仿宋" w:cs="仿宋"/>
          <w:color w:val="000000" w:themeColor="text1"/>
          <w:sz w:val="32"/>
          <w:szCs w:val="32"/>
          <w:shd w:val="clear" w:fill="FFFFFF"/>
          <w:lang w:eastAsia="zh-CN"/>
          <w14:textFill>
            <w14:solidFill>
              <w14:schemeClr w14:val="tx1"/>
            </w14:solidFill>
          </w14:textFill>
        </w:rPr>
        <w:t>）</w:t>
      </w:r>
      <w:r>
        <w:rPr>
          <w:rFonts w:hint="eastAsia" w:ascii="仿宋" w:hAnsi="仿宋" w:eastAsia="仿宋" w:cs="仿宋"/>
          <w:color w:val="000000" w:themeColor="text1"/>
          <w:sz w:val="32"/>
          <w:szCs w:val="32"/>
          <w:shd w:val="clear" w:fill="FFFFFF"/>
          <w14:textFill>
            <w14:solidFill>
              <w14:schemeClr w14:val="tx1"/>
            </w14:solidFill>
          </w14:textFill>
        </w:rPr>
        <w:t>的要求</w:t>
      </w:r>
      <w:r>
        <w:rPr>
          <w:rFonts w:hint="eastAsia" w:ascii="仿宋" w:hAnsi="仿宋" w:eastAsia="仿宋" w:cs="仿宋"/>
          <w:color w:val="000000" w:themeColor="text1"/>
          <w:sz w:val="32"/>
          <w:szCs w:val="32"/>
          <w:shd w:val="clear" w:fill="FFFFFF"/>
          <w:lang w:eastAsia="zh-CN"/>
          <w14:textFill>
            <w14:solidFill>
              <w14:schemeClr w14:val="tx1"/>
            </w14:solidFill>
          </w14:textFill>
        </w:rPr>
        <w:t>编制。</w:t>
      </w:r>
      <w:r>
        <w:rPr>
          <w:rFonts w:hint="eastAsia" w:ascii="仿宋" w:hAnsi="仿宋" w:eastAsia="仿宋" w:cs="仿宋"/>
          <w:color w:val="000000" w:themeColor="text1"/>
          <w:sz w:val="32"/>
          <w:szCs w:val="32"/>
          <w:shd w:val="clear" w:fill="FFFFFF"/>
          <w14:textFill>
            <w14:solidFill>
              <w14:schemeClr w14:val="tx1"/>
            </w14:solidFill>
          </w14:textFill>
        </w:rPr>
        <w:t>全文包括总体情况、行政机关主动公开政府信息情况、行政机关收到和处理政府信息公开申请情况、因政府信息公开工作被申请行政复议、提起行政诉讼情况、政府信息公开工作存在的主要问题及改进情况、其他需要报告的事项</w:t>
      </w:r>
      <w:r>
        <w:rPr>
          <w:rFonts w:hint="eastAsia" w:ascii="仿宋" w:hAnsi="仿宋" w:eastAsia="仿宋" w:cs="仿宋"/>
          <w:color w:val="000000" w:themeColor="text1"/>
          <w:sz w:val="32"/>
          <w:szCs w:val="32"/>
          <w:shd w:val="clear" w:fill="FFFFFF"/>
          <w:lang w:eastAsia="zh-CN"/>
          <w14:textFill>
            <w14:solidFill>
              <w14:schemeClr w14:val="tx1"/>
            </w14:solidFill>
          </w14:textFill>
        </w:rPr>
        <w:t>六个部分</w:t>
      </w:r>
      <w:r>
        <w:rPr>
          <w:rFonts w:hint="eastAsia" w:ascii="仿宋" w:hAnsi="仿宋" w:eastAsia="仿宋" w:cs="仿宋"/>
          <w:color w:val="000000" w:themeColor="text1"/>
          <w:sz w:val="32"/>
          <w:szCs w:val="32"/>
          <w:shd w:val="clear" w:fill="FFFFFF"/>
          <w14:textFill>
            <w14:solidFill>
              <w14:schemeClr w14:val="tx1"/>
            </w14:solidFill>
          </w14:textFill>
        </w:rPr>
        <w:t>。本年度报告中所列数据的统计期限自</w:t>
      </w:r>
      <w:r>
        <w:rPr>
          <w:rFonts w:hint="eastAsia" w:ascii="仿宋" w:hAnsi="仿宋" w:eastAsia="仿宋" w:cs="仿宋"/>
          <w:color w:val="000000" w:themeColor="text1"/>
          <w:sz w:val="32"/>
          <w:szCs w:val="32"/>
          <w:shd w:val="clear" w:fill="FFFFFF"/>
          <w:lang w:eastAsia="zh-CN"/>
          <w14:textFill>
            <w14:solidFill>
              <w14:schemeClr w14:val="tx1"/>
            </w14:solidFill>
          </w14:textFill>
        </w:rPr>
        <w:t>2021</w:t>
      </w:r>
      <w:r>
        <w:rPr>
          <w:rFonts w:hint="eastAsia" w:ascii="仿宋" w:hAnsi="仿宋" w:eastAsia="仿宋" w:cs="仿宋"/>
          <w:color w:val="000000" w:themeColor="text1"/>
          <w:sz w:val="32"/>
          <w:szCs w:val="32"/>
          <w:shd w:val="clear" w:fill="FFFFFF"/>
          <w14:textFill>
            <w14:solidFill>
              <w14:schemeClr w14:val="tx1"/>
            </w14:solidFill>
          </w14:textFill>
        </w:rPr>
        <w:t>年1月1日起至12月31日止。报告的电子版可以在“中国·株洲”政府门户网站（</w:t>
      </w:r>
      <w:r>
        <w:rPr>
          <w:rFonts w:hint="eastAsia" w:ascii="仿宋" w:hAnsi="仿宋" w:eastAsia="仿宋" w:cs="仿宋"/>
          <w:color w:val="000000" w:themeColor="text1"/>
          <w:sz w:val="32"/>
          <w:szCs w:val="32"/>
          <w:shd w:val="clear" w:fill="FFFFFF"/>
          <w14:textFill>
            <w14:solidFill>
              <w14:schemeClr w14:val="tx1"/>
            </w14:solidFill>
          </w14:textFill>
        </w:rPr>
        <w:fldChar w:fldCharType="begin"/>
      </w:r>
      <w:r>
        <w:rPr>
          <w:rFonts w:hint="eastAsia" w:ascii="仿宋" w:hAnsi="仿宋" w:eastAsia="仿宋" w:cs="仿宋"/>
          <w:color w:val="000000" w:themeColor="text1"/>
          <w:sz w:val="32"/>
          <w:szCs w:val="32"/>
          <w:shd w:val="clear" w:fill="FFFFFF"/>
          <w14:textFill>
            <w14:solidFill>
              <w14:schemeClr w14:val="tx1"/>
            </w14:solidFill>
          </w14:textFill>
        </w:rPr>
        <w:instrText xml:space="preserve"> HYPERLINK "http://www.zhuzhou.gov.xn--cn)-cj4e/%E2%80%9C%E6%A0%AA%E6%B4%B2%E5%B8%82%E5%86%9C%E4%B8%9A%E5%86%9C%E6%9D%91%E5%B1%80/%E2%80%9D%E9%97%A8%E6%88%B7%E7%BD%91%E7%AB%99%EF%BC%88http://nyncj.zhuzhou.gov.cn/" \t "http://www.zhuzhou.gov.cn/c21691/20210301/_blank" </w:instrText>
      </w:r>
      <w:r>
        <w:rPr>
          <w:rFonts w:hint="eastAsia" w:ascii="仿宋" w:hAnsi="仿宋" w:eastAsia="仿宋" w:cs="仿宋"/>
          <w:color w:val="000000" w:themeColor="text1"/>
          <w:sz w:val="32"/>
          <w:szCs w:val="32"/>
          <w:shd w:val="clear" w:fill="FFFFFF"/>
          <w14:textFill>
            <w14:solidFill>
              <w14:schemeClr w14:val="tx1"/>
            </w14:solidFill>
          </w14:textFill>
        </w:rPr>
        <w:fldChar w:fldCharType="separate"/>
      </w:r>
      <w:r>
        <w:rPr>
          <w:rFonts w:hint="eastAsia" w:ascii="仿宋" w:hAnsi="仿宋" w:eastAsia="仿宋" w:cs="仿宋"/>
          <w:color w:val="000000" w:themeColor="text1"/>
          <w:sz w:val="32"/>
          <w:szCs w:val="32"/>
          <w:shd w:val="clear" w:fill="FFFFFF"/>
          <w14:textFill>
            <w14:solidFill>
              <w14:schemeClr w14:val="tx1"/>
            </w14:solidFill>
          </w14:textFill>
        </w:rPr>
        <w:t>www.zhuzhou.gov.cn）和“株洲市农业农村局”门户网站（nyncj.zhuzhou.gov.cn</w:t>
      </w:r>
      <w:r>
        <w:rPr>
          <w:rFonts w:hint="eastAsia" w:ascii="仿宋" w:hAnsi="仿宋" w:eastAsia="仿宋" w:cs="仿宋"/>
          <w:color w:val="000000" w:themeColor="text1"/>
          <w:sz w:val="32"/>
          <w:szCs w:val="32"/>
          <w:shd w:val="clear" w:fill="FFFFFF"/>
          <w14:textFill>
            <w14:solidFill>
              <w14:schemeClr w14:val="tx1"/>
            </w14:solidFill>
          </w14:textFill>
        </w:rPr>
        <w:fldChar w:fldCharType="end"/>
      </w:r>
      <w:r>
        <w:rPr>
          <w:rFonts w:hint="eastAsia" w:ascii="仿宋" w:hAnsi="仿宋" w:eastAsia="仿宋" w:cs="仿宋"/>
          <w:color w:val="000000" w:themeColor="text1"/>
          <w:sz w:val="32"/>
          <w:szCs w:val="32"/>
          <w:shd w:val="clear" w:fill="FFFFFF"/>
          <w14:textFill>
            <w14:solidFill>
              <w14:schemeClr w14:val="tx1"/>
            </w14:solidFill>
          </w14:textFill>
        </w:rPr>
        <w:t>）上下载。如对本报告有任何疑问，请与市农业农村局办公室联系（地址：株洲市天元区泰山路153号，邮编：412007，电话：0731－28681987，电子邮箱：zznyjbgs@126.com）。</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pPr>
      <w:r>
        <w:rPr>
          <w:rFonts w:hint="eastAsia" w:ascii="黑体" w:hAnsi="黑体" w:eastAsia="黑体" w:cs="黑体"/>
          <w:color w:val="000000" w:themeColor="text1"/>
          <w:sz w:val="32"/>
          <w:szCs w:val="32"/>
          <w:shd w:val="clear" w:fill="FFFFFF"/>
          <w:lang w:eastAsia="zh-CN"/>
          <w14:textFill>
            <w14:solidFill>
              <w14:schemeClr w14:val="tx1"/>
            </w14:solidFill>
          </w14:textFill>
        </w:rPr>
        <w:t>一、</w:t>
      </w:r>
      <w:r>
        <w:rPr>
          <w:rFonts w:hint="eastAsia" w:ascii="黑体" w:hAnsi="黑体" w:eastAsia="黑体" w:cs="黑体"/>
          <w:color w:val="000000" w:themeColor="text1"/>
          <w:sz w:val="32"/>
          <w:szCs w:val="32"/>
          <w:shd w:val="clear" w:fill="FFFFFF"/>
          <w14:textFill>
            <w14:solidFill>
              <w14:schemeClr w14:val="tx1"/>
            </w14:solidFill>
          </w14:textFill>
        </w:rPr>
        <w:t>总体情况</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br w:type="textWrapping"/>
      </w: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　　</w:t>
      </w:r>
      <w:r>
        <w:rPr>
          <w:rStyle w:val="20"/>
          <w:rFonts w:hint="eastAsia" w:ascii="仿宋_GB2312" w:hAnsi="仿宋_GB2312" w:eastAsia="仿宋_GB2312" w:cs="仿宋_GB2312"/>
          <w:b w:val="0"/>
          <w:bCs w:val="0"/>
          <w:color w:val="000000" w:themeColor="text1"/>
          <w:sz w:val="32"/>
          <w:szCs w:val="32"/>
          <w14:textFill>
            <w14:solidFill>
              <w14:schemeClr w14:val="tx1"/>
            </w14:solidFill>
          </w14:textFill>
        </w:rPr>
        <w:t>2021年，我局</w:t>
      </w:r>
      <w:r>
        <w:rPr>
          <w:rFonts w:hint="eastAsia" w:ascii="仿宋_GB2312" w:hAnsi="仿宋_GB2312" w:eastAsia="仿宋_GB2312" w:cs="仿宋_GB2312"/>
          <w:b w:val="0"/>
          <w:bCs w:val="0"/>
          <w:color w:val="000000" w:themeColor="text1"/>
          <w:sz w:val="32"/>
          <w:szCs w:val="32"/>
          <w14:textFill>
            <w14:solidFill>
              <w14:schemeClr w14:val="tx1"/>
            </w14:solidFill>
          </w14:textFill>
        </w:rPr>
        <w:t>坚持以习近平新时代中国特色社会主义思想为指导，深入贯彻落实中央、省委、市委决策部署，以建设湘赣边区乡村振兴示范区为引领，以实施“乡村振兴战略”为总抓手，坚持稳中求进、进中争先工作总基调，坚持新发展理念，以供给侧结构性改革为主线，</w:t>
      </w:r>
      <w:r>
        <w:rPr>
          <w:rStyle w:val="22"/>
          <w:rFonts w:hint="eastAsia" w:ascii="仿宋_GB2312" w:hAnsi="仿宋_GB2312" w:eastAsia="仿宋_GB2312" w:cs="仿宋_GB2312"/>
          <w:b w:val="0"/>
          <w:bCs w:val="0"/>
          <w:color w:val="000000" w:themeColor="text1"/>
          <w:sz w:val="32"/>
          <w:szCs w:val="32"/>
          <w14:textFill>
            <w14:solidFill>
              <w14:schemeClr w14:val="tx1"/>
            </w14:solidFill>
          </w14:textFill>
        </w:rPr>
        <w:t>深入实施“六大强农”行动，大力发展精细农业，</w:t>
      </w:r>
      <w:r>
        <w:rPr>
          <w:rFonts w:hint="eastAsia" w:ascii="仿宋_GB2312" w:hAnsi="仿宋_GB2312" w:eastAsia="仿宋_GB2312" w:cs="仿宋_GB2312"/>
          <w:b w:val="0"/>
          <w:bCs w:val="0"/>
          <w:color w:val="000000" w:themeColor="text1"/>
          <w:sz w:val="32"/>
          <w:szCs w:val="32"/>
          <w14:textFill>
            <w14:solidFill>
              <w14:schemeClr w14:val="tx1"/>
            </w14:solidFill>
          </w14:textFill>
        </w:rPr>
        <w:t>全市农业农村经济持续向好，开创了农业农村发展新局面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shd w:val="clear" w:fill="FFFFFF"/>
          <w:lang w:val="en-US" w:eastAsia="zh-CN" w:bidi="ar-SA"/>
          <w14:textFill>
            <w14:solidFill>
              <w14:schemeClr w14:val="tx1"/>
            </w14:solidFill>
          </w14:textFill>
        </w:rPr>
        <w:t>全面贯彻落实《中华人民共和国政府信息公开条例》，加强</w:t>
      </w:r>
      <w:r>
        <w:rPr>
          <w:rFonts w:hint="eastAsia" w:ascii="仿宋_GB2312" w:hAnsi="仿宋_GB2312" w:eastAsia="仿宋_GB2312" w:cs="仿宋_GB2312"/>
          <w:b w:val="0"/>
          <w:bCs w:val="0"/>
          <w:color w:val="000000" w:themeColor="text1"/>
          <w:sz w:val="32"/>
          <w:szCs w:val="32"/>
          <w14:textFill>
            <w14:solidFill>
              <w14:schemeClr w14:val="tx1"/>
            </w14:solidFill>
          </w14:textFill>
        </w:rPr>
        <w:t>全市农业农村</w:t>
      </w:r>
      <w:r>
        <w:rPr>
          <w:rFonts w:hint="eastAsia" w:ascii="仿宋_GB2312" w:hAnsi="仿宋_GB2312" w:eastAsia="仿宋_GB2312" w:cs="仿宋_GB2312"/>
          <w:b w:val="0"/>
          <w:bCs w:val="0"/>
          <w:color w:val="000000" w:themeColor="text1"/>
          <w:kern w:val="2"/>
          <w:sz w:val="32"/>
          <w:szCs w:val="32"/>
          <w:shd w:val="clear" w:fill="FFFFFF"/>
          <w:lang w:val="en-US" w:eastAsia="zh-CN" w:bidi="ar-SA"/>
          <w14:textFill>
            <w14:solidFill>
              <w14:schemeClr w14:val="tx1"/>
            </w14:solidFill>
          </w14:textFill>
        </w:rPr>
        <w:t>政策解读，回应社会关切，规范信息管理，强化平台建设，完善制度体系，为保障公民、法人和其他组织依法获取政府信息，提高政府工作透明度，建设法治政府发挥了积极作用。一是加强主动公开。</w:t>
      </w:r>
      <w:r>
        <w:rPr>
          <w:rFonts w:hint="eastAsia" w:ascii="仿宋_GB2312" w:hAnsi="仿宋_GB2312" w:eastAsia="仿宋_GB2312" w:cs="仿宋_GB2312"/>
          <w:b w:val="0"/>
          <w:bCs w:val="0"/>
          <w:color w:val="000000" w:themeColor="text1"/>
          <w:sz w:val="32"/>
          <w:szCs w:val="32"/>
          <w14:textFill>
            <w14:solidFill>
              <w14:schemeClr w14:val="tx1"/>
            </w14:solidFill>
          </w14:textFill>
        </w:rPr>
        <w:t>积极做好“株洲市农业农村局网站”的维护和更新工作，对13个主栏目30个子栏目及时进行更新、完善与公开。做到重大政策出台的及时解读，打好宣传主动仗，抢占意识形态高地。在局官网发布工作信息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285</w:t>
      </w:r>
      <w:r>
        <w:rPr>
          <w:rFonts w:hint="eastAsia" w:ascii="仿宋_GB2312" w:hAnsi="仿宋_GB2312" w:eastAsia="仿宋_GB2312" w:cs="仿宋_GB2312"/>
          <w:b w:val="0"/>
          <w:bCs w:val="0"/>
          <w:color w:val="000000" w:themeColor="text1"/>
          <w:sz w:val="32"/>
          <w:szCs w:val="32"/>
          <w14:textFill>
            <w14:solidFill>
              <w14:schemeClr w14:val="tx1"/>
            </w14:solidFill>
          </w14:textFill>
        </w:rPr>
        <w:t>篇，总点击量</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18599次，</w:t>
      </w:r>
      <w:r>
        <w:rPr>
          <w:rFonts w:hint="eastAsia" w:ascii="仿宋_GB2312" w:hAnsi="仿宋_GB2312" w:eastAsia="仿宋_GB2312" w:cs="仿宋_GB2312"/>
          <w:b w:val="0"/>
          <w:bCs w:val="0"/>
          <w:color w:val="000000" w:themeColor="text1"/>
          <w:sz w:val="32"/>
          <w:szCs w:val="32"/>
          <w14:textFill>
            <w14:solidFill>
              <w14:schemeClr w14:val="tx1"/>
            </w14:solidFill>
          </w14:textFill>
        </w:rPr>
        <w:t>在微信公众号发布文章158篇，总点击量79259</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次</w:t>
      </w:r>
      <w:r>
        <w:rPr>
          <w:rFonts w:hint="eastAsia" w:ascii="仿宋_GB2312" w:hAnsi="仿宋_GB2312" w:eastAsia="仿宋_GB2312" w:cs="仿宋_GB2312"/>
          <w:b w:val="0"/>
          <w:bCs w:val="0"/>
          <w:color w:val="000000" w:themeColor="text1"/>
          <w:sz w:val="32"/>
          <w:szCs w:val="32"/>
          <w14:textFill>
            <w14:solidFill>
              <w14:schemeClr w14:val="tx1"/>
            </w14:solidFill>
          </w14:textFill>
        </w:rPr>
        <w:t>。继续全面推进行政权力、政务服务、经济社会政策、重大建设项目和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农产品质量</w:t>
      </w:r>
      <w:r>
        <w:rPr>
          <w:rFonts w:hint="eastAsia" w:ascii="仿宋_GB2312" w:hAnsi="仿宋_GB2312" w:eastAsia="仿宋_GB2312" w:cs="仿宋_GB2312"/>
          <w:b w:val="0"/>
          <w:bCs w:val="0"/>
          <w:color w:val="000000" w:themeColor="text1"/>
          <w:sz w:val="32"/>
          <w:szCs w:val="32"/>
          <w14:textFill>
            <w14:solidFill>
              <w14:schemeClr w14:val="tx1"/>
            </w14:solidFill>
          </w14:textFill>
        </w:rPr>
        <w:t>安全信息，并做到及时更新。</w:t>
      </w:r>
      <w:r>
        <w:rPr>
          <w:rFonts w:hint="eastAsia" w:ascii="仿宋_GB2312" w:hAnsi="仿宋_GB2312" w:eastAsia="仿宋_GB2312" w:cs="仿宋_GB2312"/>
          <w:b w:val="0"/>
          <w:bCs w:val="0"/>
          <w:color w:val="000000" w:themeColor="text1"/>
          <w:kern w:val="2"/>
          <w:sz w:val="32"/>
          <w:szCs w:val="32"/>
          <w:shd w:val="clear" w:fill="FFFFFF"/>
          <w:lang w:val="en-US" w:eastAsia="zh-CN" w:bidi="ar-SA"/>
          <w14:textFill>
            <w14:solidFill>
              <w14:schemeClr w14:val="tx1"/>
            </w14:solidFill>
          </w14:textFill>
        </w:rPr>
        <w:t>二是办好依申请公开。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进一步</w:t>
      </w:r>
      <w:r>
        <w:rPr>
          <w:rFonts w:hint="eastAsia" w:ascii="仿宋_GB2312" w:hAnsi="仿宋_GB2312" w:eastAsia="仿宋_GB2312" w:cs="仿宋_GB2312"/>
          <w:b w:val="0"/>
          <w:bCs w:val="0"/>
          <w:color w:val="000000" w:themeColor="text1"/>
          <w:sz w:val="32"/>
          <w:szCs w:val="32"/>
          <w14:textFill>
            <w14:solidFill>
              <w14:schemeClr w14:val="tx1"/>
            </w14:solidFill>
          </w14:textFill>
        </w:rPr>
        <w:t>规范了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我局</w:t>
      </w:r>
      <w:r>
        <w:rPr>
          <w:rFonts w:hint="eastAsia" w:ascii="仿宋_GB2312" w:hAnsi="仿宋_GB2312" w:eastAsia="仿宋_GB2312" w:cs="仿宋_GB2312"/>
          <w:b w:val="0"/>
          <w:bCs w:val="0"/>
          <w:color w:val="000000" w:themeColor="text1"/>
          <w:sz w:val="32"/>
          <w:szCs w:val="32"/>
          <w14:textFill>
            <w14:solidFill>
              <w14:schemeClr w14:val="tx1"/>
            </w14:solidFill>
          </w14:textFill>
        </w:rPr>
        <w:t>依申请公开工作规程</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和处理</w:t>
      </w:r>
      <w:r>
        <w:rPr>
          <w:rFonts w:hint="eastAsia" w:ascii="仿宋_GB2312" w:hAnsi="仿宋_GB2312" w:eastAsia="仿宋_GB2312" w:cs="仿宋_GB2312"/>
          <w:b w:val="0"/>
          <w:bCs w:val="0"/>
          <w:color w:val="000000" w:themeColor="text1"/>
          <w:sz w:val="32"/>
          <w:szCs w:val="32"/>
          <w14:textFill>
            <w14:solidFill>
              <w14:schemeClr w14:val="tx1"/>
            </w14:solidFill>
          </w14:textFill>
        </w:rPr>
        <w:t>要求。</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2021年</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我局</w:t>
      </w:r>
      <w:r>
        <w:rPr>
          <w:rFonts w:hint="eastAsia" w:ascii="仿宋_GB2312" w:hAnsi="仿宋_GB2312" w:eastAsia="仿宋_GB2312" w:cs="仿宋_GB2312"/>
          <w:b w:val="0"/>
          <w:bCs w:val="0"/>
          <w:color w:val="000000" w:themeColor="text1"/>
          <w:sz w:val="32"/>
          <w:szCs w:val="32"/>
          <w14:textFill>
            <w14:solidFill>
              <w14:schemeClr w14:val="tx1"/>
            </w14:solidFill>
          </w14:textFill>
        </w:rPr>
        <w:t>共收到依申请公开事项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件，已全部按程序办结，回复率达到100％。</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全年未因政府信息公开被申请行政复议</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或被提起行政诉讼。</w:t>
      </w:r>
      <w:r>
        <w:rPr>
          <w:rFonts w:hint="eastAsia" w:ascii="仿宋_GB2312" w:hAnsi="仿宋_GB2312" w:eastAsia="仿宋_GB2312" w:cs="仿宋_GB2312"/>
          <w:b w:val="0"/>
          <w:bCs w:val="0"/>
          <w:color w:val="000000" w:themeColor="text1"/>
          <w:kern w:val="2"/>
          <w:sz w:val="32"/>
          <w:szCs w:val="32"/>
          <w:shd w:val="clear" w:fill="FFFFFF"/>
          <w:lang w:val="en-US" w:eastAsia="zh-CN" w:bidi="ar-SA"/>
          <w14:textFill>
            <w14:solidFill>
              <w14:schemeClr w14:val="tx1"/>
            </w14:solidFill>
          </w14:textFill>
        </w:rPr>
        <w:t>三是严格政府信息管理。</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围绕落实</w:t>
      </w:r>
      <w:r>
        <w:rPr>
          <w:rFonts w:hint="eastAsia" w:ascii="仿宋_GB2312" w:hAnsi="仿宋_GB2312" w:eastAsia="仿宋_GB2312" w:cs="仿宋_GB2312"/>
          <w:b w:val="0"/>
          <w:bCs w:val="0"/>
          <w:color w:val="000000" w:themeColor="text1"/>
          <w:kern w:val="2"/>
          <w:sz w:val="32"/>
          <w:szCs w:val="32"/>
          <w:shd w:val="clear" w:fill="FFFFFF"/>
          <w:lang w:val="en-US" w:eastAsia="zh-CN" w:bidi="ar-SA"/>
          <w14:textFill>
            <w14:solidFill>
              <w14:schemeClr w14:val="tx1"/>
            </w14:solidFill>
          </w14:textFill>
        </w:rPr>
        <w:t>《中华人民共和国政府信息公开条例》</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加强制度执行</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，传达学习</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主动公开新要求</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，扎实推进</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基层政务公开标准化规范化。对政务公开的范围、政务公开的内容、政务公开的形式、政务公开的制度等作了进一步的明确。按照组织健全、制度严密、标准统一、运作规范的要求,做好政务公开内容的补充以及已公开内容的删补。</w:t>
      </w:r>
      <w:r>
        <w:rPr>
          <w:rFonts w:hint="eastAsia" w:ascii="仿宋_GB2312" w:hAnsi="仿宋_GB2312" w:eastAsia="仿宋_GB2312" w:cs="仿宋_GB2312"/>
          <w:b w:val="0"/>
          <w:bCs w:val="0"/>
          <w:i w:val="0"/>
          <w:caps w:val="0"/>
          <w:color w:val="000000" w:themeColor="text1"/>
          <w:spacing w:val="0"/>
          <w:kern w:val="0"/>
          <w:sz w:val="32"/>
          <w:szCs w:val="32"/>
          <w:shd w:val="clear" w:fill="FFFFFF"/>
          <w:lang w:val="en-US" w:eastAsia="zh-CN" w:bidi="ar"/>
          <w14:textFill>
            <w14:solidFill>
              <w14:schemeClr w14:val="tx1"/>
            </w14:solidFill>
          </w14:textFill>
        </w:rPr>
        <w:t>四是强化政府信息公开平台建设。局官网新增“文明建设”专栏，发布34篇文章。清理整合我局政务新媒体。将机构合并组建之前的相关微信公众号、微信小程序、微博号整合，注销了无力维护或无法达到更新要求的政务新媒体，仅保留了“株洲三农”的微信公众号，并录入全国政务新媒体报送系统。与株洲电视台、日报社、红网等媒体签订了新媒体深度合作协议，开设平台号和视频号，进一步加大新媒体宣传的广度和深度。</w:t>
      </w:r>
      <w:r>
        <w:rPr>
          <w:rFonts w:hint="eastAsia" w:ascii="仿宋_GB2312" w:hAnsi="仿宋_GB2312" w:eastAsia="仿宋_GB2312" w:cs="仿宋_GB2312"/>
          <w:b w:val="0"/>
          <w:bCs w:val="0"/>
          <w:color w:val="000000" w:themeColor="text1"/>
          <w:sz w:val="32"/>
          <w:szCs w:val="32"/>
          <w:shd w:val="clear" w:fill="FFFFFF"/>
          <w:lang w:eastAsia="zh-CN"/>
          <w14:textFill>
            <w14:solidFill>
              <w14:schemeClr w14:val="tx1"/>
            </w14:solidFill>
          </w14:textFill>
        </w:rPr>
        <w:t>五是做好监督保障。将政务公开工作纳入机关各科室、局属各单位的工作考核范围，明确专人专责，</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落实落细</w:t>
      </w:r>
      <w:r>
        <w:rPr>
          <w:rFonts w:hint="eastAsia" w:ascii="仿宋_GB2312" w:hAnsi="仿宋_GB2312" w:eastAsia="仿宋_GB2312" w:cs="仿宋_GB2312"/>
          <w:b w:val="0"/>
          <w:bCs w:val="0"/>
          <w:color w:val="000000" w:themeColor="text1"/>
          <w:sz w:val="32"/>
          <w:szCs w:val="32"/>
          <w14:textFill>
            <w14:solidFill>
              <w14:schemeClr w14:val="tx1"/>
            </w14:solidFill>
          </w14:textFill>
        </w:rPr>
        <w:t>国务院、省政府和市政府部署的基层政务公开标准化规范化</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重点工作任务</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局办公室组成专班，每季度开展工作自查及内部核查</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right="0" w:firstLine="643" w:firstLineChars="200"/>
        <w:jc w:val="both"/>
        <w:textAlignment w:val="auto"/>
        <w:outlineLvl w:val="9"/>
        <w:rPr>
          <w:rFonts w:hint="eastAsia" w:ascii="宋体" w:hAnsi="宋体" w:eastAsia="宋体" w:cs="宋体"/>
          <w:i w:val="0"/>
          <w:caps w:val="0"/>
          <w:color w:val="000000" w:themeColor="text1"/>
          <w:spacing w:val="0"/>
          <w:sz w:val="24"/>
          <w:szCs w:val="24"/>
          <w14:textFill>
            <w14:solidFill>
              <w14:schemeClr w14:val="tx1"/>
            </w14:solidFill>
          </w14:textFill>
        </w:rPr>
      </w:pPr>
      <w:r>
        <w:rPr>
          <w:rFonts w:hint="eastAsia" w:ascii="黑体" w:hAnsi="黑体" w:eastAsia="黑体" w:cs="黑体"/>
          <w:b/>
          <w:i w:val="0"/>
          <w:caps w:val="0"/>
          <w:color w:val="000000" w:themeColor="text1"/>
          <w:spacing w:val="0"/>
          <w:sz w:val="32"/>
          <w:szCs w:val="32"/>
          <w:shd w:val="clear" w:color="auto" w:fill="FFFFFF"/>
          <w14:textFill>
            <w14:solidFill>
              <w14:schemeClr w14:val="tx1"/>
            </w14:solidFill>
          </w14:textFill>
        </w:rPr>
        <w:t>二、主动公开政府信息情况</w:t>
      </w:r>
    </w:p>
    <w:tbl>
      <w:tblPr>
        <w:tblStyle w:val="16"/>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12</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eastAsia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right="0" w:firstLine="643" w:firstLineChars="200"/>
        <w:jc w:val="both"/>
        <w:textAlignment w:val="auto"/>
        <w:outlineLvl w:val="9"/>
        <w:rPr>
          <w:rFonts w:hint="eastAsia" w:ascii="宋体" w:hAnsi="宋体" w:eastAsia="宋体" w:cs="宋体"/>
          <w:i w:val="0"/>
          <w:caps w:val="0"/>
          <w:color w:val="000000" w:themeColor="text1"/>
          <w:spacing w:val="0"/>
          <w:sz w:val="24"/>
          <w:szCs w:val="24"/>
          <w14:textFill>
            <w14:solidFill>
              <w14:schemeClr w14:val="tx1"/>
            </w14:solidFill>
          </w14:textFill>
        </w:rPr>
      </w:pPr>
      <w:r>
        <w:rPr>
          <w:rFonts w:hint="eastAsia" w:ascii="黑体" w:hAnsi="黑体" w:eastAsia="黑体" w:cs="黑体"/>
          <w:b/>
          <w:i w:val="0"/>
          <w:caps w:val="0"/>
          <w:color w:val="000000" w:themeColor="text1"/>
          <w:spacing w:val="0"/>
          <w:sz w:val="32"/>
          <w:szCs w:val="32"/>
          <w:shd w:val="clear" w:color="auto" w:fill="FFFFFF"/>
          <w14:textFill>
            <w14:solidFill>
              <w14:schemeClr w14:val="tx1"/>
            </w14:solidFill>
          </w14:textFill>
        </w:rPr>
        <w:t>三、收到和处理政府信息公开申请情况</w:t>
      </w:r>
    </w:p>
    <w:tbl>
      <w:tblPr>
        <w:tblStyle w:val="16"/>
        <w:tblW w:w="9745"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val="en-US" w:eastAsia="zh-CN" w:bidi="ar"/>
                <w14:textFill>
                  <w14:solidFill>
                    <w14:schemeClr w14:val="tx1"/>
                  </w14:solidFill>
                </w14:textFill>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自然人</w:t>
            </w:r>
          </w:p>
        </w:tc>
        <w:tc>
          <w:tcPr>
            <w:tcW w:w="3440" w:type="dxa"/>
            <w:gridSpan w:val="5"/>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法人或其他组织</w:t>
            </w:r>
          </w:p>
        </w:tc>
        <w:tc>
          <w:tcPr>
            <w:tcW w:w="688" w:type="dxa"/>
            <w:vMerge w:val="restart"/>
            <w:tcBorders>
              <w:top w:val="single" w:color="auto" w:sz="8" w:space="0"/>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企业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社会公益组织</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法律服务机构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p>
        </w:tc>
        <w:tc>
          <w:tcPr>
            <w:tcW w:w="688" w:type="dxa"/>
            <w:vMerge w:val="continue"/>
            <w:tcBorders>
              <w:top w:val="single" w:color="auto" w:sz="8" w:space="0"/>
              <w:left w:val="nil"/>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（二）部分公开</w:t>
            </w:r>
            <w:r>
              <w:rPr>
                <w:rFonts w:hint="eastAsia" w:ascii="楷体" w:hAnsi="楷体" w:eastAsia="楷体" w:cs="楷体"/>
                <w:color w:val="000000" w:themeColor="text1"/>
                <w:kern w:val="0"/>
                <w:sz w:val="20"/>
                <w:szCs w:val="20"/>
                <w:lang w:val="en-US" w:eastAsia="zh-CN" w:bidi="ar"/>
                <w14:textFill>
                  <w14:solidFill>
                    <w14:schemeClr w14:val="tx1"/>
                  </w14:solidFill>
                </w14:textFill>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（三）不予公开</w:t>
            </w:r>
          </w:p>
        </w:tc>
        <w:tc>
          <w:tcPr>
            <w:tcW w:w="321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（四）无法提供</w:t>
            </w:r>
          </w:p>
        </w:tc>
        <w:tc>
          <w:tcPr>
            <w:tcW w:w="321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（五）不予处理</w:t>
            </w:r>
          </w:p>
        </w:tc>
        <w:tc>
          <w:tcPr>
            <w:tcW w:w="321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9"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right="0" w:firstLine="643" w:firstLineChars="200"/>
        <w:jc w:val="both"/>
        <w:textAlignment w:val="auto"/>
        <w:outlineLvl w:val="9"/>
        <w:rPr>
          <w:rFonts w:hint="eastAsia" w:ascii="宋体" w:hAnsi="宋体" w:eastAsia="宋体" w:cs="宋体"/>
          <w:i w:val="0"/>
          <w:caps w:val="0"/>
          <w:color w:val="000000" w:themeColor="text1"/>
          <w:spacing w:val="0"/>
          <w:sz w:val="24"/>
          <w:szCs w:val="24"/>
          <w14:textFill>
            <w14:solidFill>
              <w14:schemeClr w14:val="tx1"/>
            </w14:solidFill>
          </w14:textFill>
        </w:rPr>
      </w:pPr>
      <w:r>
        <w:rPr>
          <w:rFonts w:hint="eastAsia" w:ascii="黑体" w:hAnsi="黑体" w:eastAsia="黑体" w:cs="黑体"/>
          <w:b/>
          <w:i w:val="0"/>
          <w:caps w:val="0"/>
          <w:color w:val="000000" w:themeColor="text1"/>
          <w:spacing w:val="0"/>
          <w:sz w:val="32"/>
          <w:szCs w:val="32"/>
          <w:shd w:val="clear" w:color="auto" w:fill="FFFFFF"/>
          <w14:textFill>
            <w14:solidFill>
              <w14:schemeClr w14:val="tx1"/>
            </w14:solidFill>
          </w14:textFill>
        </w:rPr>
        <w:t>四、政府信息公开行政复议、行政诉讼情况</w:t>
      </w:r>
    </w:p>
    <w:tbl>
      <w:tblPr>
        <w:tblStyle w:val="16"/>
        <w:tblW w:w="9743"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right="0" w:firstLine="643" w:firstLineChars="200"/>
        <w:jc w:val="both"/>
        <w:textAlignment w:val="auto"/>
        <w:outlineLvl w:val="9"/>
        <w:rPr>
          <w:rFonts w:hint="eastAsia" w:ascii="黑体" w:hAnsi="黑体" w:eastAsia="黑体" w:cs="黑体"/>
          <w:i w:val="0"/>
          <w:caps w:val="0"/>
          <w:color w:val="000000" w:themeColor="text1"/>
          <w:spacing w:val="0"/>
          <w:sz w:val="32"/>
          <w:szCs w:val="32"/>
          <w14:textFill>
            <w14:solidFill>
              <w14:schemeClr w14:val="tx1"/>
            </w14:solidFill>
          </w14:textFill>
        </w:rPr>
      </w:pPr>
      <w:r>
        <w:rPr>
          <w:rFonts w:hint="eastAsia" w:ascii="黑体" w:hAnsi="黑体" w:eastAsia="黑体" w:cs="黑体"/>
          <w:b/>
          <w:i w:val="0"/>
          <w:caps w:val="0"/>
          <w:color w:val="000000" w:themeColor="text1"/>
          <w:spacing w:val="0"/>
          <w:sz w:val="32"/>
          <w:szCs w:val="32"/>
          <w:shd w:val="clear" w:color="auto" w:fill="FFFFFF"/>
          <w14:textFill>
            <w14:solidFill>
              <w14:schemeClr w14:val="tx1"/>
            </w14:solidFill>
          </w14:textFill>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center"/>
        <w:outlineLvl w:val="9"/>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shd w:val="clear" w:fill="FFFFFF"/>
          <w:lang w:val="en-US" w:eastAsia="zh-CN" w:bidi="ar-SA"/>
          <w14:textFill>
            <w14:solidFill>
              <w14:schemeClr w14:val="tx1"/>
            </w14:solidFill>
          </w14:textFill>
        </w:rPr>
        <w:t>一是公开主动性还需进一步提高；二是政策解读与回应交流需要更加便民、“接地气”，针对以上问题我局将采取切实有效措施加以改进：结合业务工作和职责变化，对照法律法规“立、改、废、释”和上级取消、下放、调整等有关权责清单文件精神，强化权责清单的动态管理。坚持把群众最关心、最需要了解的事项公开作为政务公开的重点，从信息公开、电子政务和便民服务三个方面入手，加大推行政务公开的力度。广泛宣传强农惠农最新政策，深入解读农业供给侧结构性改革、承包土地“三权分置”、农业补贴等政策措施，方便农民群众知情、参与和监督。同时对涉及本行业、本部门的重要政务舆情、媒体关切、突发事件等热点问题，及时按程序发布权威信息，确保在应对重大突发事件及社会热点事件时不失声、不缺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hint="eastAsia" w:ascii="黑体" w:hAnsi="黑体" w:eastAsia="黑体" w:cs="黑体"/>
          <w:i w:val="0"/>
          <w:caps w:val="0"/>
          <w:color w:val="000000" w:themeColor="text1"/>
          <w:spacing w:val="0"/>
          <w:sz w:val="32"/>
          <w:szCs w:val="32"/>
          <w14:textFill>
            <w14:solidFill>
              <w14:schemeClr w14:val="tx1"/>
            </w14:solidFill>
          </w14:textFill>
        </w:rPr>
      </w:pPr>
      <w:r>
        <w:rPr>
          <w:rFonts w:hint="eastAsia" w:ascii="黑体" w:hAnsi="黑体" w:eastAsia="黑体" w:cs="黑体"/>
          <w:b/>
          <w:i w:val="0"/>
          <w:caps w:val="0"/>
          <w:color w:val="000000" w:themeColor="text1"/>
          <w:spacing w:val="0"/>
          <w:sz w:val="32"/>
          <w:szCs w:val="32"/>
          <w:shd w:val="clear" w:color="auto" w:fill="FFFFFF"/>
          <w14:textFill>
            <w14:solidFill>
              <w14:schemeClr w14:val="tx1"/>
            </w14:solidFill>
          </w14:textFill>
        </w:rPr>
        <w:t>六、其他需要报告的事项</w:t>
      </w:r>
    </w:p>
    <w:p>
      <w:pPr>
        <w:keepNext w:val="0"/>
        <w:keepLines w:val="0"/>
        <w:pageBreakBefore w:val="0"/>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仿宋_GB2312" w:hAnsi="仿宋_GB2312" w:eastAsia="仿宋_GB2312" w:cs="仿宋_GB2312"/>
          <w:b w:val="0"/>
          <w:bCs w:val="0"/>
          <w:color w:val="000000" w:themeColor="text1"/>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shd w:val="clear" w:fill="FFFFFF"/>
          <w:lang w:val="en-US" w:eastAsia="zh-CN" w:bidi="ar-SA"/>
          <w14:textFill>
            <w14:solidFill>
              <w14:schemeClr w14:val="tx1"/>
            </w14:solidFill>
          </w14:textFill>
        </w:rPr>
        <w:t>无其他需要报告的事项。</w:t>
      </w:r>
    </w:p>
    <w:bookmarkEnd w:id="0"/>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8"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73695"/>
    <w:rsid w:val="01970803"/>
    <w:rsid w:val="02794601"/>
    <w:rsid w:val="02F0049C"/>
    <w:rsid w:val="0317380F"/>
    <w:rsid w:val="032D6980"/>
    <w:rsid w:val="03905777"/>
    <w:rsid w:val="03E0411F"/>
    <w:rsid w:val="04344983"/>
    <w:rsid w:val="04BF5DEC"/>
    <w:rsid w:val="04C64514"/>
    <w:rsid w:val="0508750E"/>
    <w:rsid w:val="050F3B45"/>
    <w:rsid w:val="054B0BDC"/>
    <w:rsid w:val="057C281F"/>
    <w:rsid w:val="05A63FC7"/>
    <w:rsid w:val="062C3146"/>
    <w:rsid w:val="07552A9E"/>
    <w:rsid w:val="07727744"/>
    <w:rsid w:val="07BC2F4F"/>
    <w:rsid w:val="080E43E2"/>
    <w:rsid w:val="085D1BC2"/>
    <w:rsid w:val="08E0344E"/>
    <w:rsid w:val="08EC5348"/>
    <w:rsid w:val="0A4E4973"/>
    <w:rsid w:val="0AE65543"/>
    <w:rsid w:val="0B1E3508"/>
    <w:rsid w:val="0B307B85"/>
    <w:rsid w:val="0B932DF9"/>
    <w:rsid w:val="0C0A1E5B"/>
    <w:rsid w:val="0C701F52"/>
    <w:rsid w:val="0C872E5A"/>
    <w:rsid w:val="0D6B4BB3"/>
    <w:rsid w:val="0DB41B94"/>
    <w:rsid w:val="0DEF75A1"/>
    <w:rsid w:val="0E6107D1"/>
    <w:rsid w:val="0EA65D74"/>
    <w:rsid w:val="0EC6520D"/>
    <w:rsid w:val="0ED32718"/>
    <w:rsid w:val="0F482175"/>
    <w:rsid w:val="0F921648"/>
    <w:rsid w:val="0FD460D3"/>
    <w:rsid w:val="10377156"/>
    <w:rsid w:val="10695AC8"/>
    <w:rsid w:val="106F3D64"/>
    <w:rsid w:val="10BA776F"/>
    <w:rsid w:val="10D601B4"/>
    <w:rsid w:val="11893FB9"/>
    <w:rsid w:val="11C45817"/>
    <w:rsid w:val="12343AC7"/>
    <w:rsid w:val="12576908"/>
    <w:rsid w:val="1263125F"/>
    <w:rsid w:val="127B4C52"/>
    <w:rsid w:val="12B03E6E"/>
    <w:rsid w:val="13675834"/>
    <w:rsid w:val="13B74346"/>
    <w:rsid w:val="14156FC3"/>
    <w:rsid w:val="1416127A"/>
    <w:rsid w:val="141F7634"/>
    <w:rsid w:val="14841464"/>
    <w:rsid w:val="14E868F6"/>
    <w:rsid w:val="14FB322C"/>
    <w:rsid w:val="153B1A83"/>
    <w:rsid w:val="15A10DB7"/>
    <w:rsid w:val="16564A3E"/>
    <w:rsid w:val="16731DD9"/>
    <w:rsid w:val="178C51F4"/>
    <w:rsid w:val="178E3DBA"/>
    <w:rsid w:val="17AD6010"/>
    <w:rsid w:val="17C94B68"/>
    <w:rsid w:val="185A289A"/>
    <w:rsid w:val="18BE4345"/>
    <w:rsid w:val="1935648D"/>
    <w:rsid w:val="19593F4F"/>
    <w:rsid w:val="19E04CC4"/>
    <w:rsid w:val="1A2050A5"/>
    <w:rsid w:val="1AA00E80"/>
    <w:rsid w:val="1AAF53C2"/>
    <w:rsid w:val="1B7E7AFA"/>
    <w:rsid w:val="1BB1167C"/>
    <w:rsid w:val="1C377ED3"/>
    <w:rsid w:val="1C4048DE"/>
    <w:rsid w:val="1CAC73D9"/>
    <w:rsid w:val="1CC715CD"/>
    <w:rsid w:val="1D0F72F6"/>
    <w:rsid w:val="1D780486"/>
    <w:rsid w:val="1DF9008F"/>
    <w:rsid w:val="1E0F104E"/>
    <w:rsid w:val="1E4B5BD3"/>
    <w:rsid w:val="1EA56A2A"/>
    <w:rsid w:val="1EB9049E"/>
    <w:rsid w:val="1F0252C4"/>
    <w:rsid w:val="1F2F7799"/>
    <w:rsid w:val="1F445D1B"/>
    <w:rsid w:val="1F4F4254"/>
    <w:rsid w:val="1F7D4BD5"/>
    <w:rsid w:val="1FF160B1"/>
    <w:rsid w:val="201766D7"/>
    <w:rsid w:val="20315D5D"/>
    <w:rsid w:val="204E522F"/>
    <w:rsid w:val="208213F6"/>
    <w:rsid w:val="210E4B84"/>
    <w:rsid w:val="212667E8"/>
    <w:rsid w:val="21F8101C"/>
    <w:rsid w:val="226139DF"/>
    <w:rsid w:val="22777ABB"/>
    <w:rsid w:val="228104B9"/>
    <w:rsid w:val="22B34C18"/>
    <w:rsid w:val="22DC7EB2"/>
    <w:rsid w:val="22DD2A56"/>
    <w:rsid w:val="22E04BBB"/>
    <w:rsid w:val="236902E4"/>
    <w:rsid w:val="239E41B9"/>
    <w:rsid w:val="241A74A3"/>
    <w:rsid w:val="241F06BC"/>
    <w:rsid w:val="24EA108B"/>
    <w:rsid w:val="25526BF7"/>
    <w:rsid w:val="262307C5"/>
    <w:rsid w:val="26652802"/>
    <w:rsid w:val="27202F8F"/>
    <w:rsid w:val="27284112"/>
    <w:rsid w:val="27644404"/>
    <w:rsid w:val="28453B19"/>
    <w:rsid w:val="28595606"/>
    <w:rsid w:val="28734037"/>
    <w:rsid w:val="2898683F"/>
    <w:rsid w:val="28DA4666"/>
    <w:rsid w:val="292B6B22"/>
    <w:rsid w:val="296706CF"/>
    <w:rsid w:val="29F54BDF"/>
    <w:rsid w:val="2A02207C"/>
    <w:rsid w:val="2AC018F0"/>
    <w:rsid w:val="2AED573E"/>
    <w:rsid w:val="2BAE1EC2"/>
    <w:rsid w:val="2BDB40C4"/>
    <w:rsid w:val="2BEE6E97"/>
    <w:rsid w:val="2CEA0C5C"/>
    <w:rsid w:val="2CF7703C"/>
    <w:rsid w:val="2D421377"/>
    <w:rsid w:val="2D743A99"/>
    <w:rsid w:val="2DFE2FFB"/>
    <w:rsid w:val="2EB77558"/>
    <w:rsid w:val="2F3A0598"/>
    <w:rsid w:val="2FAC0E7D"/>
    <w:rsid w:val="2FF04210"/>
    <w:rsid w:val="30BC7C0D"/>
    <w:rsid w:val="311F68A4"/>
    <w:rsid w:val="31235669"/>
    <w:rsid w:val="313031A1"/>
    <w:rsid w:val="323B053D"/>
    <w:rsid w:val="32901152"/>
    <w:rsid w:val="332D0668"/>
    <w:rsid w:val="33716591"/>
    <w:rsid w:val="357130EE"/>
    <w:rsid w:val="35CF5552"/>
    <w:rsid w:val="35F91348"/>
    <w:rsid w:val="36402715"/>
    <w:rsid w:val="36650A5D"/>
    <w:rsid w:val="36770928"/>
    <w:rsid w:val="378B6035"/>
    <w:rsid w:val="37995EFF"/>
    <w:rsid w:val="37A458AD"/>
    <w:rsid w:val="37AA52D5"/>
    <w:rsid w:val="381F046C"/>
    <w:rsid w:val="38B649E0"/>
    <w:rsid w:val="38F256E4"/>
    <w:rsid w:val="39920589"/>
    <w:rsid w:val="39930453"/>
    <w:rsid w:val="399460EE"/>
    <w:rsid w:val="39F9064D"/>
    <w:rsid w:val="3A463900"/>
    <w:rsid w:val="3ABC5EC5"/>
    <w:rsid w:val="3AED07A3"/>
    <w:rsid w:val="3AFA70CC"/>
    <w:rsid w:val="3B10756D"/>
    <w:rsid w:val="3B3B4AB8"/>
    <w:rsid w:val="3BB74D17"/>
    <w:rsid w:val="3BCF1779"/>
    <w:rsid w:val="3C206549"/>
    <w:rsid w:val="3C6539F1"/>
    <w:rsid w:val="3C933F53"/>
    <w:rsid w:val="3DFE3B4C"/>
    <w:rsid w:val="3E3368F2"/>
    <w:rsid w:val="3E82403F"/>
    <w:rsid w:val="3EC30993"/>
    <w:rsid w:val="3F421745"/>
    <w:rsid w:val="3F6F3B50"/>
    <w:rsid w:val="3FFD5E09"/>
    <w:rsid w:val="403B6E3C"/>
    <w:rsid w:val="40470E3B"/>
    <w:rsid w:val="40744A83"/>
    <w:rsid w:val="4090652D"/>
    <w:rsid w:val="40E718C4"/>
    <w:rsid w:val="414B683D"/>
    <w:rsid w:val="41BA1EDB"/>
    <w:rsid w:val="41ED3B3B"/>
    <w:rsid w:val="43F32369"/>
    <w:rsid w:val="43FE1C9F"/>
    <w:rsid w:val="43FE5FB1"/>
    <w:rsid w:val="446A0546"/>
    <w:rsid w:val="446F2D16"/>
    <w:rsid w:val="44D050A5"/>
    <w:rsid w:val="46633D29"/>
    <w:rsid w:val="4692124C"/>
    <w:rsid w:val="46A14210"/>
    <w:rsid w:val="46CA6ADE"/>
    <w:rsid w:val="46D0536C"/>
    <w:rsid w:val="470A27D2"/>
    <w:rsid w:val="477E51E0"/>
    <w:rsid w:val="47B37F4F"/>
    <w:rsid w:val="47B56F33"/>
    <w:rsid w:val="47C414B9"/>
    <w:rsid w:val="480122F9"/>
    <w:rsid w:val="480919EB"/>
    <w:rsid w:val="485207D5"/>
    <w:rsid w:val="487056B0"/>
    <w:rsid w:val="48BB5643"/>
    <w:rsid w:val="48D30896"/>
    <w:rsid w:val="49785C69"/>
    <w:rsid w:val="4A3172C4"/>
    <w:rsid w:val="4B6D67D0"/>
    <w:rsid w:val="4B7F7F97"/>
    <w:rsid w:val="4BB01C17"/>
    <w:rsid w:val="4C02252C"/>
    <w:rsid w:val="4C07068E"/>
    <w:rsid w:val="4C39478A"/>
    <w:rsid w:val="4C407499"/>
    <w:rsid w:val="4CED7B62"/>
    <w:rsid w:val="4D0F470D"/>
    <w:rsid w:val="4DB95466"/>
    <w:rsid w:val="4DBC6D06"/>
    <w:rsid w:val="4E497956"/>
    <w:rsid w:val="4E713981"/>
    <w:rsid w:val="4E8442DC"/>
    <w:rsid w:val="4EE7242E"/>
    <w:rsid w:val="4F3A6900"/>
    <w:rsid w:val="4FC252BF"/>
    <w:rsid w:val="4FEFB960"/>
    <w:rsid w:val="503C4558"/>
    <w:rsid w:val="50912DD4"/>
    <w:rsid w:val="50A14D50"/>
    <w:rsid w:val="50AF4857"/>
    <w:rsid w:val="50CB2A7A"/>
    <w:rsid w:val="50CE3D06"/>
    <w:rsid w:val="50F94675"/>
    <w:rsid w:val="51080D74"/>
    <w:rsid w:val="51093175"/>
    <w:rsid w:val="514C2097"/>
    <w:rsid w:val="51E2235F"/>
    <w:rsid w:val="522018CC"/>
    <w:rsid w:val="526C6F4C"/>
    <w:rsid w:val="52AC15EE"/>
    <w:rsid w:val="52B15238"/>
    <w:rsid w:val="52EC1C31"/>
    <w:rsid w:val="53343F39"/>
    <w:rsid w:val="53A91DC0"/>
    <w:rsid w:val="53AE3239"/>
    <w:rsid w:val="53C77DB8"/>
    <w:rsid w:val="54315771"/>
    <w:rsid w:val="54545928"/>
    <w:rsid w:val="55856294"/>
    <w:rsid w:val="55CF30F7"/>
    <w:rsid w:val="56300F65"/>
    <w:rsid w:val="56782DBB"/>
    <w:rsid w:val="56D649EE"/>
    <w:rsid w:val="56E816FE"/>
    <w:rsid w:val="57524EA6"/>
    <w:rsid w:val="57F06382"/>
    <w:rsid w:val="57FA7BE3"/>
    <w:rsid w:val="588D1379"/>
    <w:rsid w:val="58946238"/>
    <w:rsid w:val="58A64EB1"/>
    <w:rsid w:val="58B7744D"/>
    <w:rsid w:val="59037AC3"/>
    <w:rsid w:val="590F40BA"/>
    <w:rsid w:val="592C1D97"/>
    <w:rsid w:val="5ACF0F8C"/>
    <w:rsid w:val="5B6F2C07"/>
    <w:rsid w:val="5BA40A2A"/>
    <w:rsid w:val="5C9E7D8B"/>
    <w:rsid w:val="5D7642B0"/>
    <w:rsid w:val="5D863E65"/>
    <w:rsid w:val="5DBB6D39"/>
    <w:rsid w:val="5E1D5AEE"/>
    <w:rsid w:val="5EA13378"/>
    <w:rsid w:val="5F5D0C94"/>
    <w:rsid w:val="5FCA6D8B"/>
    <w:rsid w:val="60361DA4"/>
    <w:rsid w:val="60D447F0"/>
    <w:rsid w:val="618C5DB7"/>
    <w:rsid w:val="61B7470C"/>
    <w:rsid w:val="6296078F"/>
    <w:rsid w:val="629968CF"/>
    <w:rsid w:val="629C2E9A"/>
    <w:rsid w:val="62D15005"/>
    <w:rsid w:val="62D522D7"/>
    <w:rsid w:val="63FA066D"/>
    <w:rsid w:val="64272A76"/>
    <w:rsid w:val="64C516DF"/>
    <w:rsid w:val="65C47F7A"/>
    <w:rsid w:val="65C56957"/>
    <w:rsid w:val="65C92649"/>
    <w:rsid w:val="65CD3FB8"/>
    <w:rsid w:val="65FC5F98"/>
    <w:rsid w:val="660F73CC"/>
    <w:rsid w:val="66AB616F"/>
    <w:rsid w:val="66C040E2"/>
    <w:rsid w:val="6735035D"/>
    <w:rsid w:val="67376D00"/>
    <w:rsid w:val="68853FC6"/>
    <w:rsid w:val="68A35327"/>
    <w:rsid w:val="68D93C23"/>
    <w:rsid w:val="69981DB9"/>
    <w:rsid w:val="69B77C07"/>
    <w:rsid w:val="69EB0B9A"/>
    <w:rsid w:val="6A4D0298"/>
    <w:rsid w:val="6A6971DD"/>
    <w:rsid w:val="6B1A1126"/>
    <w:rsid w:val="6B265D12"/>
    <w:rsid w:val="6B5807B0"/>
    <w:rsid w:val="6BB42BE3"/>
    <w:rsid w:val="6C0808B0"/>
    <w:rsid w:val="6C830C85"/>
    <w:rsid w:val="6CA57DF7"/>
    <w:rsid w:val="6D1C6FAB"/>
    <w:rsid w:val="6D543BC5"/>
    <w:rsid w:val="6E976775"/>
    <w:rsid w:val="6EBD64EA"/>
    <w:rsid w:val="6F9B78F6"/>
    <w:rsid w:val="6FAB23EF"/>
    <w:rsid w:val="6FAD73C8"/>
    <w:rsid w:val="6FB177A0"/>
    <w:rsid w:val="6FE741A0"/>
    <w:rsid w:val="70B9583E"/>
    <w:rsid w:val="70D91706"/>
    <w:rsid w:val="71CB6C7E"/>
    <w:rsid w:val="72A317B7"/>
    <w:rsid w:val="72F01392"/>
    <w:rsid w:val="72F10D2F"/>
    <w:rsid w:val="72F62A1D"/>
    <w:rsid w:val="734D7D61"/>
    <w:rsid w:val="73854BEB"/>
    <w:rsid w:val="73AB61D0"/>
    <w:rsid w:val="73FF4628"/>
    <w:rsid w:val="74501BEC"/>
    <w:rsid w:val="7466044C"/>
    <w:rsid w:val="74720423"/>
    <w:rsid w:val="747E45E0"/>
    <w:rsid w:val="74933103"/>
    <w:rsid w:val="749E4110"/>
    <w:rsid w:val="74CA256E"/>
    <w:rsid w:val="74F45F1A"/>
    <w:rsid w:val="7515468B"/>
    <w:rsid w:val="751C144B"/>
    <w:rsid w:val="75930ABE"/>
    <w:rsid w:val="75944448"/>
    <w:rsid w:val="75B54F35"/>
    <w:rsid w:val="75B723B0"/>
    <w:rsid w:val="760637BA"/>
    <w:rsid w:val="761559C6"/>
    <w:rsid w:val="762A39EE"/>
    <w:rsid w:val="76D73C27"/>
    <w:rsid w:val="76DB27E1"/>
    <w:rsid w:val="77307BAF"/>
    <w:rsid w:val="77506137"/>
    <w:rsid w:val="775E40E1"/>
    <w:rsid w:val="777A6563"/>
    <w:rsid w:val="779D22F7"/>
    <w:rsid w:val="78F54AD2"/>
    <w:rsid w:val="79197DA8"/>
    <w:rsid w:val="7946337E"/>
    <w:rsid w:val="7A6E0E2E"/>
    <w:rsid w:val="7A9134D4"/>
    <w:rsid w:val="7AD517AA"/>
    <w:rsid w:val="7AEA09BA"/>
    <w:rsid w:val="7AFB288B"/>
    <w:rsid w:val="7B032C73"/>
    <w:rsid w:val="7B105CFA"/>
    <w:rsid w:val="7B1A6B4A"/>
    <w:rsid w:val="7BB50231"/>
    <w:rsid w:val="7BC1A8AB"/>
    <w:rsid w:val="7C947562"/>
    <w:rsid w:val="7CF6524E"/>
    <w:rsid w:val="7D1CFE37"/>
    <w:rsid w:val="7D8648C8"/>
    <w:rsid w:val="7E1031F2"/>
    <w:rsid w:val="7E5E0664"/>
    <w:rsid w:val="7E8A0904"/>
    <w:rsid w:val="7EA15DE4"/>
    <w:rsid w:val="7EC2594A"/>
    <w:rsid w:val="7EED38F7"/>
    <w:rsid w:val="7F614EBD"/>
    <w:rsid w:val="7F7928F1"/>
    <w:rsid w:val="7F7F084F"/>
    <w:rsid w:val="BF6FEAFC"/>
    <w:rsid w:val="BF978EC4"/>
    <w:rsid w:val="C37FFFBA"/>
    <w:rsid w:val="E7B9FEEE"/>
    <w:rsid w:val="F2BBB32E"/>
    <w:rsid w:val="FF7FF1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page number"/>
    <w:basedOn w:val="5"/>
    <w:qFormat/>
    <w:uiPriority w:val="0"/>
    <w:rPr>
      <w:rFonts w:cs="Times New Roman"/>
    </w:rPr>
  </w:style>
  <w:style w:type="character" w:styleId="8">
    <w:name w:val="FollowedHyperlink"/>
    <w:basedOn w:val="5"/>
    <w:qFormat/>
    <w:uiPriority w:val="0"/>
    <w:rPr>
      <w:color w:val="333333"/>
      <w:u w:val="none"/>
    </w:rPr>
  </w:style>
  <w:style w:type="character" w:styleId="9">
    <w:name w:val="Emphasis"/>
    <w:basedOn w:val="5"/>
    <w:qFormat/>
    <w:uiPriority w:val="0"/>
  </w:style>
  <w:style w:type="character" w:styleId="10">
    <w:name w:val="HTML Definition"/>
    <w:basedOn w:val="5"/>
    <w:qFormat/>
    <w:uiPriority w:val="0"/>
  </w:style>
  <w:style w:type="character" w:styleId="11">
    <w:name w:val="HTML Acronym"/>
    <w:basedOn w:val="5"/>
    <w:qFormat/>
    <w:uiPriority w:val="0"/>
  </w:style>
  <w:style w:type="character" w:styleId="12">
    <w:name w:val="HTML Variable"/>
    <w:basedOn w:val="5"/>
    <w:qFormat/>
    <w:uiPriority w:val="0"/>
  </w:style>
  <w:style w:type="character" w:styleId="13">
    <w:name w:val="Hyperlink"/>
    <w:basedOn w:val="5"/>
    <w:qFormat/>
    <w:uiPriority w:val="0"/>
    <w:rPr>
      <w:color w:val="333333"/>
      <w:u w:val="none"/>
    </w:rPr>
  </w:style>
  <w:style w:type="character" w:styleId="14">
    <w:name w:val="HTML Code"/>
    <w:basedOn w:val="5"/>
    <w:qFormat/>
    <w:uiPriority w:val="0"/>
    <w:rPr>
      <w:rFonts w:ascii="Courier New" w:hAnsi="Courier New"/>
      <w:sz w:val="20"/>
    </w:rPr>
  </w:style>
  <w:style w:type="character" w:styleId="15">
    <w:name w:val="HTML Cite"/>
    <w:basedOn w:val="5"/>
    <w:qFormat/>
    <w:uiPriority w:val="0"/>
  </w:style>
  <w:style w:type="character" w:customStyle="1" w:styleId="17">
    <w:name w:val="layui-this"/>
    <w:basedOn w:val="5"/>
    <w:qFormat/>
    <w:uiPriority w:val="0"/>
    <w:rPr>
      <w:bdr w:val="single" w:color="EEEEEE" w:sz="6" w:space="0"/>
      <w:shd w:val="clear" w:fill="FFFFFF"/>
    </w:rPr>
  </w:style>
  <w:style w:type="character" w:customStyle="1" w:styleId="18">
    <w:name w:val="first-child"/>
    <w:basedOn w:val="5"/>
    <w:qFormat/>
    <w:uiPriority w:val="0"/>
  </w:style>
  <w:style w:type="character" w:customStyle="1" w:styleId="19">
    <w:name w:val="hover21"/>
    <w:basedOn w:val="5"/>
    <w:qFormat/>
    <w:uiPriority w:val="0"/>
    <w:rPr>
      <w:color w:val="146AC1"/>
      <w:u w:val="none"/>
    </w:rPr>
  </w:style>
  <w:style w:type="character" w:customStyle="1" w:styleId="20">
    <w:name w:val="UserStyle_8"/>
    <w:link w:val="21"/>
    <w:qFormat/>
    <w:locked/>
    <w:uiPriority w:val="0"/>
    <w:rPr>
      <w:rFonts w:ascii="Times" w:hAnsi="Times" w:eastAsia="仿宋_GB2312"/>
      <w:sz w:val="30"/>
      <w:szCs w:val="20"/>
    </w:rPr>
  </w:style>
  <w:style w:type="paragraph" w:customStyle="1" w:styleId="21">
    <w:name w:val="UserStyle_9"/>
    <w:basedOn w:val="1"/>
    <w:link w:val="20"/>
    <w:qFormat/>
    <w:uiPriority w:val="0"/>
    <w:pPr>
      <w:widowControl/>
      <w:spacing w:after="160" w:line="240" w:lineRule="exact"/>
      <w:jc w:val="left"/>
      <w:textAlignment w:val="baseline"/>
    </w:pPr>
    <w:rPr>
      <w:rFonts w:ascii="Times" w:hAnsi="Times" w:eastAsia="仿宋_GB2312"/>
      <w:sz w:val="30"/>
      <w:szCs w:val="20"/>
    </w:rPr>
  </w:style>
  <w:style w:type="character" w:customStyle="1" w:styleId="22">
    <w:name w:val="NormalCharacter"/>
    <w:link w:val="23"/>
    <w:qFormat/>
    <w:uiPriority w:val="0"/>
    <w:rPr>
      <w:rFonts w:ascii="Times" w:hAnsi="Times" w:eastAsia="仿宋_GB2312"/>
      <w:sz w:val="30"/>
      <w:szCs w:val="30"/>
    </w:rPr>
  </w:style>
  <w:style w:type="paragraph" w:customStyle="1" w:styleId="23">
    <w:name w:val="UserStyle_10"/>
    <w:basedOn w:val="1"/>
    <w:link w:val="22"/>
    <w:qFormat/>
    <w:uiPriority w:val="0"/>
    <w:pPr>
      <w:widowControl/>
      <w:spacing w:after="160" w:line="240" w:lineRule="exact"/>
      <w:jc w:val="left"/>
      <w:textAlignment w:val="baseline"/>
    </w:pPr>
    <w:rPr>
      <w:rFonts w:ascii="Times" w:hAnsi="Times" w:eastAsia="仿宋_GB2312"/>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126</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migo</cp:lastModifiedBy>
  <cp:lastPrinted>2021-03-08T09:16:00Z</cp:lastPrinted>
  <dcterms:modified xsi:type="dcterms:W3CDTF">2022-01-05T07:42:09Z</dcterms:modified>
  <dc:title>株洲市人民政府办公室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