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21"/>
          <w:szCs w:val="21"/>
        </w:rPr>
      </w:pPr>
    </w:p>
    <w:p>
      <w:pPr>
        <w:spacing w:line="528" w:lineRule="exact"/>
        <w:ind w:left="37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公众聚集场所投入使用、营业</w:t>
      </w:r>
    </w:p>
    <w:p>
      <w:pPr>
        <w:spacing w:line="631" w:lineRule="exact"/>
        <w:ind w:left="37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消防安全告知承诺书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3"/>
        <w:rPr>
          <w:rFonts w:ascii="方正小标宋_GBK" w:hAnsi="方正小标宋_GBK" w:eastAsia="方正小标宋_GBK" w:cs="方正小标宋_GBK"/>
          <w:sz w:val="65"/>
          <w:szCs w:val="65"/>
        </w:rPr>
      </w:pPr>
    </w:p>
    <w:p>
      <w:pPr>
        <w:tabs>
          <w:tab w:val="left" w:pos="4756"/>
        </w:tabs>
        <w:ind w:left="272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单位名称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</w:rPr>
        <w:tab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tabs>
          <w:tab w:val="left" w:pos="6841"/>
        </w:tabs>
        <w:spacing w:before="134"/>
        <w:ind w:left="2357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单位地址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</w:rPr>
        <w:tab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tabs>
          <w:tab w:val="left" w:pos="6870"/>
        </w:tabs>
        <w:spacing w:before="134"/>
        <w:ind w:left="238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填表日期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</w:rPr>
        <w:tab/>
      </w:r>
    </w:p>
    <w:p>
      <w:pPr>
        <w:rPr>
          <w:rFonts w:ascii="Times New Roman" w:hAnsi="Times New Roman" w:eastAsia="Times New Roman" w:cs="Times New Roman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1520" w:right="1680" w:bottom="1380" w:left="1300" w:header="0" w:footer="1186" w:gutter="0"/>
          <w:pgNumType w:start="62"/>
          <w:cols w:space="720" w:num="1"/>
        </w:sect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2"/>
        <w:ind w:left="2892" w:right="114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消防安全告知事项</w:t>
      </w:r>
    </w:p>
    <w:p>
      <w:pPr>
        <w:spacing w:before="5"/>
        <w:rPr>
          <w:rFonts w:ascii="方正小标宋_GBK" w:hAnsi="方正小标宋_GBK" w:eastAsia="方正小标宋_GBK" w:cs="方正小标宋_GBK"/>
          <w:sz w:val="41"/>
          <w:szCs w:val="41"/>
        </w:rPr>
      </w:pPr>
    </w:p>
    <w:p>
      <w:pPr>
        <w:spacing w:line="321" w:lineRule="auto"/>
        <w:ind w:left="118" w:right="114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13"/>
          <w:w w:val="99"/>
          <w:sz w:val="32"/>
          <w:szCs w:val="32"/>
        </w:rPr>
        <w:t>根据《中华人民共和国消防法》，现将公众聚集场所投入使用、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营业前消防安全检查实行告知承诺管理有关事项告知如下：</w:t>
      </w:r>
    </w:p>
    <w:p>
      <w:pPr>
        <w:spacing w:before="31"/>
        <w:ind w:left="759" w:right="1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一、法律依据</w:t>
      </w:r>
    </w:p>
    <w:p>
      <w:pPr>
        <w:spacing w:before="142" w:line="321" w:lineRule="auto"/>
        <w:ind w:left="118" w:right="27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4"/>
          <w:sz w:val="32"/>
          <w:szCs w:val="32"/>
        </w:rPr>
        <w:t xml:space="preserve">《中华人民共和国消防法》第十五条规定。公众聚集场所投 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 xml:space="preserve">入使用、营业前消防安全检查实行告知承诺管理。公众聚集场所 在投入使用、营业前，建设单位或者使用单位应当向场所所在地 的县级以上地方人民政府消防救援机构申请消防安全检查，作出 符合消防安全标准的承诺，提交规定的材料，并对其承诺和材料 </w:t>
      </w:r>
      <w:r>
        <w:rPr>
          <w:rFonts w:ascii="仿宋_GB2312" w:hAnsi="仿宋_GB2312" w:eastAsia="仿宋_GB2312" w:cs="仿宋_GB2312"/>
          <w:sz w:val="32"/>
          <w:szCs w:val="32"/>
        </w:rPr>
        <w:t>的真实性负责。</w:t>
      </w:r>
    </w:p>
    <w:p>
      <w:pPr>
        <w:spacing w:before="34"/>
        <w:ind w:left="759" w:right="1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二、行政许可范围</w:t>
      </w:r>
    </w:p>
    <w:p>
      <w:pPr>
        <w:spacing w:before="140" w:line="321" w:lineRule="auto"/>
        <w:ind w:left="118" w:right="27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4"/>
          <w:sz w:val="32"/>
          <w:szCs w:val="32"/>
        </w:rPr>
        <w:t xml:space="preserve">（一）宾馆、饭店、商场、集贸市场、客运车站候车室、客 </w:t>
      </w:r>
      <w:r>
        <w:rPr>
          <w:rFonts w:ascii="仿宋_GB2312" w:hAnsi="仿宋_GB2312" w:eastAsia="仿宋_GB2312" w:cs="仿宋_GB2312"/>
          <w:sz w:val="32"/>
          <w:szCs w:val="32"/>
        </w:rPr>
        <w:t>运码头候船厅、民用机场航站楼、体育场馆、会堂等；</w:t>
      </w:r>
    </w:p>
    <w:p>
      <w:pPr>
        <w:spacing w:before="34" w:line="314" w:lineRule="auto"/>
        <w:ind w:left="118" w:right="27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4"/>
          <w:sz w:val="32"/>
          <w:szCs w:val="32"/>
        </w:rPr>
        <w:t xml:space="preserve">（二）公共娱乐场所：影剧院、录像厅、礼堂等演出、放映 </w:t>
      </w:r>
      <w:r>
        <w:rPr>
          <w:rFonts w:ascii="仿宋_GB2312" w:hAnsi="仿宋_GB2312" w:eastAsia="仿宋_GB2312" w:cs="仿宋_GB2312"/>
          <w:sz w:val="32"/>
          <w:szCs w:val="32"/>
        </w:rPr>
        <w:t xml:space="preserve">场所；舞厅、卡拉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OK </w:t>
      </w:r>
      <w:r>
        <w:rPr>
          <w:rFonts w:ascii="仿宋_GB2312" w:hAnsi="仿宋_GB2312" w:eastAsia="仿宋_GB2312" w:cs="仿宋_GB2312"/>
          <w:sz w:val="32"/>
          <w:szCs w:val="32"/>
        </w:rPr>
        <w:t xml:space="preserve">厅等歌舞娱乐场所；具有娱乐功能的夜总 </w:t>
      </w:r>
      <w:r>
        <w:rPr>
          <w:rFonts w:ascii="仿宋_GB2312" w:hAnsi="仿宋_GB2312" w:eastAsia="仿宋_GB2312" w:cs="仿宋_GB2312"/>
          <w:spacing w:val="-7"/>
          <w:w w:val="95"/>
          <w:sz w:val="32"/>
          <w:szCs w:val="32"/>
        </w:rPr>
        <w:t xml:space="preserve">会、音乐茶座和餐饮场所；游艺、游乐场所；保龄球馆、旱冰场、 </w:t>
      </w:r>
      <w:r>
        <w:rPr>
          <w:rFonts w:ascii="仿宋_GB2312" w:hAnsi="仿宋_GB2312" w:eastAsia="仿宋_GB2312" w:cs="仿宋_GB2312"/>
          <w:sz w:val="32"/>
          <w:szCs w:val="32"/>
        </w:rPr>
        <w:t>桑拿浴室等营业性健身、休闲场所。</w:t>
      </w:r>
    </w:p>
    <w:p>
      <w:pPr>
        <w:spacing w:before="41" w:line="321" w:lineRule="auto"/>
        <w:ind w:left="759" w:right="263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三、基本要求 </w:t>
      </w:r>
      <w:r>
        <w:rPr>
          <w:rFonts w:ascii="仿宋_GB2312" w:hAnsi="仿宋_GB2312" w:eastAsia="仿宋_GB2312" w:cs="仿宋_GB2312"/>
          <w:sz w:val="32"/>
          <w:szCs w:val="32"/>
        </w:rPr>
        <w:t xml:space="preserve">开办公众聚集场所应当符合法律法规和消防技术标准要求。 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>娱乐场所、互联网上网服务营业场所的设置地点还应当符合</w:t>
      </w:r>
      <w:r>
        <w:rPr>
          <w:rFonts w:ascii="仿宋_GB2312" w:hAnsi="仿宋_GB2312" w:eastAsia="仿宋_GB2312" w:cs="仿宋_GB2312"/>
          <w:spacing w:val="-16"/>
          <w:w w:val="99"/>
          <w:sz w:val="32"/>
          <w:szCs w:val="32"/>
        </w:rPr>
        <w:t>《娱乐场所管理条例》、《互联网上网服务营业场所管理条例》。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spacing w:before="41" w:line="321" w:lineRule="auto"/>
        <w:ind w:left="759" w:right="26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四、申请材料 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>公众聚集场所的建设单位或者使用单位通过消防业务受理窗</w:t>
      </w:r>
    </w:p>
    <w:p>
      <w:pPr>
        <w:spacing w:line="321" w:lineRule="auto"/>
        <w:rPr>
          <w:rFonts w:ascii="仿宋_GB2312" w:hAnsi="仿宋_GB2312" w:eastAsia="仿宋_GB2312" w:cs="仿宋_GB2312"/>
          <w:sz w:val="32"/>
          <w:szCs w:val="32"/>
        </w:rPr>
        <w:sectPr>
          <w:pgSz w:w="11910" w:h="16840"/>
          <w:pgMar w:top="1580" w:right="1140" w:bottom="1340" w:left="1300" w:header="0" w:footer="1146" w:gutter="0"/>
          <w:cols w:space="720" w:num="1"/>
        </w:sectPr>
      </w:pPr>
    </w:p>
    <w:p>
      <w:pPr>
        <w:spacing w:line="394" w:lineRule="exact"/>
        <w:ind w:left="118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口或者消防在线政务服务平台提交以下材料：</w:t>
      </w:r>
      <w:bookmarkStart w:id="0" w:name="_GoBack"/>
      <w:bookmarkEnd w:id="0"/>
    </w:p>
    <w:p>
      <w:pPr>
        <w:spacing w:before="140"/>
        <w:ind w:left="759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公众聚集场所投入使用、营业消防安全告知承诺书；</w:t>
      </w:r>
    </w:p>
    <w:p>
      <w:pPr>
        <w:spacing w:before="116"/>
        <w:ind w:left="759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营业执照；</w:t>
      </w:r>
    </w:p>
    <w:p>
      <w:pPr>
        <w:spacing w:before="118"/>
        <w:ind w:left="759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消防安全制度、灭火和应急疏散预案；</w:t>
      </w:r>
    </w:p>
    <w:p>
      <w:pPr>
        <w:spacing w:before="116"/>
        <w:ind w:left="759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场所平面布置图、场所消防设施平面图；</w:t>
      </w:r>
    </w:p>
    <w:p>
      <w:pPr>
        <w:spacing w:before="116"/>
        <w:ind w:left="759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法律、行政法规规定的其他材料。</w:t>
      </w:r>
    </w:p>
    <w:p>
      <w:pPr>
        <w:spacing w:before="118" w:line="302" w:lineRule="auto"/>
        <w:ind w:left="118" w:right="116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第</w:t>
      </w:r>
      <w:r>
        <w:rPr>
          <w:rFonts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1</w:t>
      </w:r>
      <w:r>
        <w:rPr>
          <w:rFonts w:ascii="仿宋_GB2312" w:hAnsi="仿宋_GB2312" w:eastAsia="仿宋_GB2312" w:cs="仿宋_GB2312"/>
          <w:spacing w:val="-16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 xml:space="preserve">2 </w:t>
      </w:r>
      <w:r>
        <w:rPr>
          <w:rFonts w:ascii="仿宋_GB2312" w:hAnsi="仿宋_GB2312" w:eastAsia="仿宋_GB2312" w:cs="仿宋_GB2312"/>
          <w:sz w:val="32"/>
          <w:szCs w:val="32"/>
        </w:rPr>
        <w:t>项材料通过消防在线政务服务平台或者消防业务受理 窗口提交；其他材料可以在消防救援机构现场核查时提交。</w:t>
      </w:r>
    </w:p>
    <w:p>
      <w:pPr>
        <w:spacing w:before="57"/>
        <w:ind w:left="759" w:right="10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五、办理时限</w:t>
      </w:r>
    </w:p>
    <w:p>
      <w:pPr>
        <w:spacing w:before="142" w:line="321" w:lineRule="auto"/>
        <w:ind w:left="118" w:right="11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4"/>
          <w:sz w:val="32"/>
          <w:szCs w:val="32"/>
        </w:rPr>
        <w:t xml:space="preserve">对到消防业务受理窗口提出申请的，当场作出决定；对通过 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 xml:space="preserve">消防在线政务服务平台提出申请的，自收到申请之日起一个工作 </w:t>
      </w:r>
      <w:r>
        <w:rPr>
          <w:rFonts w:ascii="仿宋_GB2312" w:hAnsi="仿宋_GB2312" w:eastAsia="仿宋_GB2312" w:cs="仿宋_GB2312"/>
          <w:sz w:val="32"/>
          <w:szCs w:val="32"/>
        </w:rPr>
        <w:t>日内办结。</w:t>
      </w:r>
    </w:p>
    <w:p>
      <w:pPr>
        <w:spacing w:before="34"/>
        <w:ind w:left="759" w:right="10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六、法律责任</w:t>
      </w:r>
    </w:p>
    <w:p>
      <w:pPr>
        <w:spacing w:before="140" w:line="321" w:lineRule="auto"/>
        <w:ind w:left="118" w:right="114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20"/>
          <w:sz w:val="32"/>
          <w:szCs w:val="32"/>
        </w:rPr>
        <w:t xml:space="preserve">经核查发现场所使用、营业情况与承诺内容不符的，责令停止使 </w:t>
      </w:r>
      <w:r>
        <w:rPr>
          <w:rFonts w:ascii="仿宋_GB2312" w:hAnsi="仿宋_GB2312" w:eastAsia="仿宋_GB2312" w:cs="仿宋_GB2312"/>
          <w:spacing w:val="-29"/>
          <w:sz w:val="32"/>
          <w:szCs w:val="32"/>
        </w:rPr>
        <w:t xml:space="preserve">用、停产停业，并处三万元以上三十万元以下罚款；经责令限期改正， </w:t>
      </w:r>
      <w:r>
        <w:rPr>
          <w:rFonts w:ascii="仿宋_GB2312" w:hAnsi="仿宋_GB2312" w:eastAsia="仿宋_GB2312" w:cs="仿宋_GB2312"/>
          <w:spacing w:val="-21"/>
          <w:sz w:val="32"/>
          <w:szCs w:val="32"/>
        </w:rPr>
        <w:t>逾期不整改或者整改后仍达不到要求的，依法撤销相应许可。</w:t>
      </w:r>
    </w:p>
    <w:p>
      <w:pPr>
        <w:spacing w:line="321" w:lineRule="auto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1910" w:h="16840"/>
          <w:pgMar w:top="1500" w:right="1300" w:bottom="1380" w:left="1300" w:header="0" w:footer="1186" w:gutter="0"/>
          <w:cols w:space="720" w:num="1"/>
        </w:sectPr>
      </w:pPr>
    </w:p>
    <w:p>
      <w:pPr>
        <w:spacing w:line="545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消防安全承诺</w:t>
      </w:r>
    </w:p>
    <w:p>
      <w:pPr>
        <w:spacing w:before="9"/>
        <w:rPr>
          <w:rFonts w:ascii="方正小标宋_GBK" w:hAnsi="方正小标宋_GBK" w:eastAsia="方正小标宋_GBK" w:cs="方正小标宋_GBK"/>
          <w:sz w:val="46"/>
          <w:szCs w:val="46"/>
        </w:rPr>
      </w:pPr>
    </w:p>
    <w:p>
      <w:pPr>
        <w:spacing w:line="343" w:lineRule="auto"/>
        <w:ind w:left="118" w:right="11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4"/>
          <w:sz w:val="32"/>
          <w:szCs w:val="32"/>
          <w:u w:val="single" w:color="000000"/>
        </w:rPr>
        <w:t>（填写单位场所名称，应与营业执照名称一致）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 xml:space="preserve">现就申请公 </w:t>
      </w:r>
      <w:r>
        <w:rPr>
          <w:rFonts w:ascii="仿宋_GB2312" w:hAnsi="仿宋_GB2312" w:eastAsia="仿宋_GB2312" w:cs="仿宋_GB2312"/>
          <w:sz w:val="32"/>
          <w:szCs w:val="32"/>
        </w:rPr>
        <w:t>众聚集场所投入使用、营业作出下列消防安全承诺：</w:t>
      </w:r>
    </w:p>
    <w:p>
      <w:pPr>
        <w:spacing w:before="43" w:line="343" w:lineRule="auto"/>
        <w:ind w:left="118" w:right="11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4"/>
          <w:sz w:val="32"/>
          <w:szCs w:val="32"/>
        </w:rPr>
        <w:t xml:space="preserve">一、已认真学习消防法律法规，对公众聚集场所投入使用、 </w:t>
      </w:r>
      <w:r>
        <w:rPr>
          <w:rFonts w:ascii="仿宋_GB2312" w:hAnsi="仿宋_GB2312" w:eastAsia="仿宋_GB2312" w:cs="仿宋_GB2312"/>
          <w:sz w:val="32"/>
          <w:szCs w:val="32"/>
        </w:rPr>
        <w:t>营业前消防安全检查告知事项的全部内容已经知晓和全面理解。</w:t>
      </w:r>
    </w:p>
    <w:p>
      <w:pPr>
        <w:spacing w:before="43" w:line="343" w:lineRule="auto"/>
        <w:ind w:left="118" w:right="114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8"/>
          <w:w w:val="99"/>
          <w:sz w:val="32"/>
          <w:szCs w:val="32"/>
        </w:rPr>
        <w:t>二、已符合《公众聚集场所消防安全要求》，场所所在建筑为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 xml:space="preserve">合法建筑，场所满足公众聚集场所投入使用、营业的各项消防安 </w:t>
      </w:r>
      <w:r>
        <w:rPr>
          <w:rFonts w:ascii="仿宋_GB2312" w:hAnsi="仿宋_GB2312" w:eastAsia="仿宋_GB2312" w:cs="仿宋_GB2312"/>
          <w:sz w:val="32"/>
          <w:szCs w:val="32"/>
        </w:rPr>
        <w:t>全条件。</w:t>
      </w:r>
    </w:p>
    <w:p>
      <w:pPr>
        <w:spacing w:before="43" w:line="343" w:lineRule="auto"/>
        <w:ind w:left="118" w:right="117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8"/>
          <w:sz w:val="32"/>
          <w:szCs w:val="32"/>
        </w:rPr>
        <w:t xml:space="preserve">三、在使用、营业过程中遵守消防法律法规和消防技术标准， </w:t>
      </w:r>
      <w:r>
        <w:rPr>
          <w:rFonts w:ascii="仿宋_GB2312" w:hAnsi="仿宋_GB2312" w:eastAsia="仿宋_GB2312" w:cs="仿宋_GB2312"/>
          <w:sz w:val="32"/>
          <w:szCs w:val="32"/>
        </w:rPr>
        <w:t>确保消防安全。</w:t>
      </w:r>
    </w:p>
    <w:p>
      <w:pPr>
        <w:spacing w:before="43" w:line="343" w:lineRule="auto"/>
        <w:ind w:left="759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四、所填写的信息真实、准确。 五、及时提交相关材料，并确保真实、合法、有效。 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>以上承诺是申请人的真实意思表示。如有违反承诺的行为，</w:t>
      </w:r>
    </w:p>
    <w:p>
      <w:pPr>
        <w:spacing w:before="43"/>
        <w:ind w:left="118" w:right="10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愿意承担相应的法律责任。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="10"/>
        <w:rPr>
          <w:rFonts w:ascii="仿宋_GB2312" w:hAnsi="仿宋_GB2312" w:eastAsia="仿宋_GB2312" w:cs="仿宋_GB2312"/>
          <w:sz w:val="23"/>
          <w:szCs w:val="23"/>
        </w:rPr>
      </w:pPr>
    </w:p>
    <w:p>
      <w:pPr>
        <w:spacing w:line="343" w:lineRule="auto"/>
        <w:ind w:left="2038" w:right="2449" w:firstLine="31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单位印章：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ascii="黑体" w:hAnsi="黑体" w:eastAsia="黑体" w:cs="黑体"/>
          <w:w w:val="95"/>
          <w:sz w:val="32"/>
          <w:szCs w:val="32"/>
        </w:rPr>
        <w:t>法定代表人或者主要负责人签名：</w:t>
      </w:r>
    </w:p>
    <w:p>
      <w:pPr>
        <w:tabs>
          <w:tab w:val="left" w:pos="638"/>
          <w:tab w:val="left" w:pos="1279"/>
        </w:tabs>
        <w:spacing w:before="43"/>
        <w:ind w:right="1186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w w:val="95"/>
          <w:sz w:val="32"/>
          <w:szCs w:val="32"/>
        </w:rPr>
        <w:t>年</w:t>
      </w:r>
      <w:r>
        <w:rPr>
          <w:rFonts w:ascii="黑体" w:hAnsi="黑体" w:eastAsia="黑体" w:cs="黑体"/>
          <w:w w:val="95"/>
          <w:sz w:val="32"/>
          <w:szCs w:val="32"/>
        </w:rPr>
        <w:tab/>
      </w:r>
      <w:r>
        <w:rPr>
          <w:rFonts w:ascii="黑体" w:hAnsi="黑体" w:eastAsia="黑体" w:cs="黑体"/>
          <w:w w:val="95"/>
          <w:sz w:val="32"/>
          <w:szCs w:val="32"/>
        </w:rPr>
        <w:t>月</w:t>
      </w:r>
      <w:r>
        <w:rPr>
          <w:rFonts w:ascii="黑体" w:hAnsi="黑体" w:eastAsia="黑体" w:cs="黑体"/>
          <w:w w:val="95"/>
          <w:sz w:val="32"/>
          <w:szCs w:val="32"/>
        </w:rPr>
        <w:tab/>
      </w:r>
      <w:r>
        <w:rPr>
          <w:rFonts w:ascii="黑体" w:hAnsi="黑体" w:eastAsia="黑体" w:cs="黑体"/>
          <w:w w:val="95"/>
          <w:sz w:val="32"/>
          <w:szCs w:val="32"/>
        </w:rPr>
        <w:t>日</w:t>
      </w:r>
    </w:p>
    <w:p>
      <w:pPr>
        <w:jc w:val="right"/>
        <w:rPr>
          <w:rFonts w:ascii="黑体" w:hAnsi="黑体" w:eastAsia="黑体" w:cs="黑体"/>
          <w:sz w:val="32"/>
          <w:szCs w:val="32"/>
        </w:rPr>
        <w:sectPr>
          <w:pgSz w:w="11910" w:h="16840"/>
          <w:pgMar w:top="1460" w:right="1300" w:bottom="1380" w:left="1300" w:header="0" w:footer="1146" w:gutter="0"/>
          <w:cols w:space="720" w:num="1"/>
        </w:sectPr>
      </w:pPr>
    </w:p>
    <w:p>
      <w:pPr>
        <w:spacing w:line="545" w:lineRule="exact"/>
        <w:ind w:left="3512" w:right="3513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基本信息登记表</w:t>
      </w:r>
    </w:p>
    <w:tbl>
      <w:tblPr>
        <w:tblStyle w:val="7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876"/>
        <w:gridCol w:w="852"/>
        <w:gridCol w:w="2878"/>
        <w:gridCol w:w="1843"/>
        <w:gridCol w:w="2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2"/>
              <w:spacing w:line="268" w:lineRule="exact"/>
              <w:ind w:left="21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场所名称</w:t>
            </w:r>
          </w:p>
          <w:p>
            <w:pPr>
              <w:pStyle w:val="12"/>
              <w:spacing w:before="32" w:line="272" w:lineRule="exact"/>
              <w:ind w:left="170" w:right="146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1"/>
                <w:szCs w:val="21"/>
              </w:rPr>
              <w:t>（统一社会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"/>
                <w:sz w:val="21"/>
                <w:szCs w:val="21"/>
              </w:rPr>
              <w:t>信用代码）</w:t>
            </w:r>
          </w:p>
        </w:tc>
        <w:tc>
          <w:tcPr>
            <w:tcW w:w="460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2"/>
              <w:spacing w:before="104" w:line="310" w:lineRule="exact"/>
              <w:ind w:left="388" w:right="331" w:hanging="2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法定代表人</w:t>
            </w:r>
            <w:r>
              <w:rPr>
                <w:rFonts w:ascii="Times New Roman" w:hAnsi="Times New Roman" w:eastAsia="Times New Roman" w:cs="Times New Roman"/>
                <w:w w:val="90"/>
                <w:sz w:val="24"/>
                <w:szCs w:val="24"/>
              </w:rPr>
              <w:t xml:space="preserve">/ </w:t>
            </w: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主要负责人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35" w:lineRule="exact"/>
              <w:ind w:left="19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公民</w:t>
            </w:r>
          </w:p>
          <w:p>
            <w:pPr>
              <w:pStyle w:val="12"/>
              <w:spacing w:line="274" w:lineRule="exact"/>
              <w:ind w:left="21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身份号码</w:t>
            </w:r>
          </w:p>
        </w:tc>
        <w:tc>
          <w:tcPr>
            <w:tcW w:w="460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12"/>
              <w:ind w:right="422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tabs>
                <w:tab w:val="left" w:pos="739"/>
              </w:tabs>
              <w:spacing w:before="69"/>
              <w:ind w:left="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4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69"/>
              <w:ind w:right="422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建筑结构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67" w:lineRule="exact"/>
              <w:ind w:left="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场所</w:t>
            </w:r>
          </w:p>
          <w:p>
            <w:pPr>
              <w:pStyle w:val="12"/>
              <w:spacing w:line="313" w:lineRule="exact"/>
              <w:ind w:left="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4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67" w:lineRule="exact"/>
              <w:ind w:left="2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使用层数</w:t>
            </w:r>
          </w:p>
          <w:p>
            <w:pPr>
              <w:pStyle w:val="12"/>
              <w:spacing w:line="331" w:lineRule="exact"/>
              <w:ind w:left="2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（地上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exac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spacing w:before="9"/>
              <w:rPr>
                <w:rFonts w:ascii="方正小标宋_GBK" w:hAnsi="方正小标宋_GBK" w:eastAsia="方正小标宋_GBK" w:cs="方正小标宋_GBK"/>
                <w:sz w:val="33"/>
                <w:szCs w:val="33"/>
              </w:rPr>
            </w:pPr>
          </w:p>
          <w:p>
            <w:pPr>
              <w:pStyle w:val="12"/>
              <w:ind w:left="21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场所性质</w:t>
            </w:r>
          </w:p>
        </w:tc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before="81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影剧院、录像厅、礼堂等演出、放映场所</w:t>
            </w:r>
          </w:p>
          <w:p>
            <w:pPr>
              <w:pStyle w:val="12"/>
              <w:spacing w:before="128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舞厅、卡拉ＯＫ厅等歌舞娱乐场所</w:t>
            </w:r>
          </w:p>
          <w:p>
            <w:pPr>
              <w:pStyle w:val="12"/>
              <w:spacing w:before="128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具有娱乐功能的夜总会、音乐茶座和餐饮场所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游艺、游乐场所</w:t>
            </w:r>
          </w:p>
          <w:p>
            <w:pPr>
              <w:pStyle w:val="12"/>
              <w:tabs>
                <w:tab w:val="left" w:pos="2887"/>
              </w:tabs>
              <w:spacing w:before="126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保龄球馆、旱冰场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桑拿浴室</w:t>
            </w:r>
            <w:r>
              <w:rPr>
                <w:rFonts w:ascii="仿宋_GB2312" w:hAnsi="仿宋_GB2312" w:eastAsia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138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tabs>
                <w:tab w:val="left" w:pos="2047"/>
              </w:tabs>
              <w:spacing w:before="81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宾馆、饭店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商场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集贸市场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客运车站候车室</w:t>
            </w:r>
          </w:p>
          <w:p>
            <w:pPr>
              <w:pStyle w:val="12"/>
              <w:tabs>
                <w:tab w:val="left" w:pos="5337"/>
              </w:tabs>
              <w:spacing w:before="128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客运码头候船厅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民用机场航站楼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体育场馆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spacing w:before="10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>
            <w:pPr>
              <w:pStyle w:val="12"/>
              <w:spacing w:line="312" w:lineRule="exact"/>
              <w:ind w:left="215" w:right="19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场所所在 建筑情况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9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96"/>
              <w:ind w:right="38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387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67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建筑层数</w:t>
            </w:r>
          </w:p>
          <w:p>
            <w:pPr>
              <w:pStyle w:val="12"/>
              <w:spacing w:line="331" w:lineRule="exact"/>
              <w:ind w:left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5"/>
                <w:sz w:val="24"/>
                <w:szCs w:val="24"/>
              </w:rPr>
              <w:t>（地上</w:t>
            </w:r>
            <w:r>
              <w:rPr>
                <w:rFonts w:ascii="Times New Roman" w:hAnsi="Times New Roman" w:eastAsia="Times New Roman" w:cs="Times New Roman"/>
                <w:w w:val="95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w w:val="95"/>
                <w:sz w:val="24"/>
                <w:szCs w:val="24"/>
              </w:rPr>
              <w:t>地下）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1"/>
              <w:ind w:right="384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建筑高度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exact"/>
        </w:trPr>
        <w:tc>
          <w:tcPr>
            <w:tcW w:w="1387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tabs>
                <w:tab w:val="left" w:pos="3623"/>
              </w:tabs>
              <w:spacing w:before="84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消防车道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是否畅通：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6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消防车登高操作场地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室外消火栓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水泵接合器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exact"/>
        </w:trPr>
        <w:tc>
          <w:tcPr>
            <w:tcW w:w="138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tabs>
                <w:tab w:val="left" w:pos="3623"/>
              </w:tabs>
              <w:spacing w:before="81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消防控制室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消防水泵房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消防电梯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6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柴油发电机房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燃油或燃气锅炉房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变压器室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6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配电室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623"/>
              </w:tabs>
              <w:spacing w:before="128"/>
              <w:ind w:left="1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其他专用房间：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4"/>
              <w:rPr>
                <w:rFonts w:ascii="方正小标宋_GBK" w:hAnsi="方正小标宋_GBK" w:eastAsia="方正小标宋_GBK" w:cs="方正小标宋_GBK"/>
                <w:sz w:val="19"/>
                <w:szCs w:val="19"/>
              </w:rPr>
            </w:pPr>
          </w:p>
          <w:p>
            <w:pPr>
              <w:pStyle w:val="12"/>
              <w:ind w:left="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场所情况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3" w:line="307" w:lineRule="auto"/>
              <w:ind w:left="191" w:right="19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用火 用电</w:t>
            </w:r>
          </w:p>
        </w:tc>
        <w:tc>
          <w:tcPr>
            <w:tcW w:w="7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before="81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电气线路设计单位：</w:t>
            </w:r>
          </w:p>
          <w:p>
            <w:pPr>
              <w:pStyle w:val="12"/>
              <w:spacing w:before="146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电气线路施工单位：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  <w:sectPr>
          <w:pgSz w:w="11910" w:h="16840"/>
          <w:pgMar w:top="1460" w:right="880" w:bottom="1380" w:left="880" w:header="0" w:footer="1186" w:gutter="0"/>
          <w:cols w:space="720" w:num="1"/>
        </w:sectPr>
      </w:pPr>
    </w:p>
    <w:tbl>
      <w:tblPr>
        <w:tblStyle w:val="7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876"/>
        <w:gridCol w:w="941"/>
        <w:gridCol w:w="852"/>
        <w:gridCol w:w="888"/>
        <w:gridCol w:w="823"/>
        <w:gridCol w:w="838"/>
        <w:gridCol w:w="1289"/>
        <w:gridCol w:w="1234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exac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before="87" w:line="333" w:lineRule="auto"/>
              <w:ind w:left="119" w:right="30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电器产品是否符合消防安全要求：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 场所是否使用燃气：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  <w:p>
            <w:pPr>
              <w:pStyle w:val="12"/>
              <w:spacing w:before="22" w:line="352" w:lineRule="auto"/>
              <w:ind w:left="119" w:right="486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燃气类型： 燃气施工（安装）单位：</w:t>
            </w:r>
          </w:p>
          <w:p>
            <w:pPr>
              <w:pStyle w:val="12"/>
              <w:spacing w:before="34" w:line="331" w:lineRule="auto"/>
              <w:ind w:left="119" w:right="30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燃气用具是否符合消防安全要求：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 场所是否使用燃油：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 燃油储存位置及储量：</w:t>
            </w:r>
          </w:p>
          <w:p>
            <w:pPr>
              <w:pStyle w:val="12"/>
              <w:spacing w:before="55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其他用火用电情况：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exact"/>
        </w:trPr>
        <w:tc>
          <w:tcPr>
            <w:tcW w:w="1387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spacing w:before="1"/>
              <w:rPr>
                <w:rFonts w:ascii="方正小标宋_GBK" w:hAnsi="方正小标宋_GBK" w:eastAsia="方正小标宋_GBK" w:cs="方正小标宋_GBK"/>
                <w:sz w:val="27"/>
                <w:szCs w:val="27"/>
              </w:rPr>
            </w:pPr>
          </w:p>
          <w:p>
            <w:pPr>
              <w:pStyle w:val="12"/>
              <w:spacing w:line="307" w:lineRule="auto"/>
              <w:ind w:left="191" w:right="19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安全 疏散</w:t>
            </w:r>
          </w:p>
        </w:tc>
        <w:tc>
          <w:tcPr>
            <w:tcW w:w="76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tabs>
                <w:tab w:val="left" w:pos="3959"/>
              </w:tabs>
              <w:spacing w:before="87" w:line="333" w:lineRule="auto"/>
              <w:ind w:left="119" w:right="157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安全出口数量：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是否畅通：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 疏散楼梯设置形式：</w:t>
            </w:r>
          </w:p>
          <w:p>
            <w:pPr>
              <w:pStyle w:val="12"/>
              <w:tabs>
                <w:tab w:val="left" w:pos="3959"/>
              </w:tabs>
              <w:spacing w:before="53" w:line="331" w:lineRule="auto"/>
              <w:ind w:left="119" w:right="157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疏散楼梯数量：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是否畅通：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 避难层（间）设置位置：</w:t>
            </w:r>
          </w:p>
          <w:p>
            <w:pPr>
              <w:pStyle w:val="12"/>
              <w:tabs>
                <w:tab w:val="left" w:pos="3959"/>
              </w:tabs>
              <w:spacing w:before="55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避难层（间）数量：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是否符合消防安全要求：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消防应急广播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6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消防应急照明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疏散指示标志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exact"/>
        </w:trPr>
        <w:tc>
          <w:tcPr>
            <w:tcW w:w="138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2"/>
              <w:spacing w:before="6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12"/>
              <w:spacing w:line="304" w:lineRule="auto"/>
              <w:ind w:left="191" w:right="19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消防 设施</w:t>
            </w:r>
          </w:p>
        </w:tc>
        <w:tc>
          <w:tcPr>
            <w:tcW w:w="76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tabs>
                <w:tab w:val="left" w:pos="3983"/>
              </w:tabs>
              <w:spacing w:before="87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室内消火栓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自动喷水灭火系统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6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火灾自动报警系统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气体灭火系统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泡沫灭火系统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6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机械防烟系统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机械排烟系统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tabs>
                <w:tab w:val="left" w:pos="3983"/>
              </w:tabs>
              <w:spacing w:before="128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其他消防设施：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是否完好有效：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否</w:t>
            </w:r>
          </w:p>
          <w:p>
            <w:pPr>
              <w:pStyle w:val="12"/>
              <w:spacing w:before="126"/>
              <w:ind w:left="11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灭火器种类、型号和数量：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2"/>
              <w:spacing w:before="3"/>
              <w:rPr>
                <w:rFonts w:ascii="方正小标宋_GBK" w:hAnsi="方正小标宋_GBK" w:eastAsia="方正小标宋_GBK" w:cs="方正小标宋_GBK"/>
                <w:sz w:val="27"/>
                <w:szCs w:val="27"/>
              </w:rPr>
            </w:pPr>
          </w:p>
          <w:p>
            <w:pPr>
              <w:pStyle w:val="12"/>
              <w:ind w:left="2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室内装修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3"/>
              <w:ind w:left="42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装修部位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5"/>
              <w:ind w:left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顶棚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5"/>
              <w:ind w:left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墙面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5"/>
              <w:ind w:left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5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隔断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5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固定家具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5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装饰织物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before="55"/>
              <w:ind w:left="10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38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261" w:lineRule="auto"/>
              <w:ind w:left="280" w:right="261" w:firstLine="211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装修材料 </w:t>
            </w:r>
            <w:r>
              <w:rPr>
                <w:rFonts w:ascii="仿宋_GB2312" w:hAnsi="仿宋_GB2312" w:eastAsia="仿宋_GB2312" w:cs="仿宋_GB2312"/>
                <w:spacing w:val="-1"/>
                <w:sz w:val="21"/>
                <w:szCs w:val="21"/>
              </w:rPr>
              <w:t>燃烧性能等级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9907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2"/>
              <w:spacing w:before="58"/>
              <w:ind w:left="9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其他需要说明的情况：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  <w:sectPr>
          <w:pgSz w:w="11910" w:h="16840"/>
          <w:pgMar w:top="1400" w:right="880" w:bottom="1340" w:left="880" w:header="0" w:footer="1146" w:gutter="0"/>
          <w:cols w:space="720" w:num="1"/>
        </w:sectPr>
      </w:pPr>
    </w:p>
    <w:p>
      <w:pPr>
        <w:spacing w:before="112" w:line="304" w:lineRule="auto"/>
        <w:ind w:left="118" w:right="254" w:firstLine="559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仿宋_GB2312" w:hAnsi="仿宋_GB2312" w:eastAsia="仿宋_GB2312" w:cs="仿宋_GB2312"/>
          <w:sz w:val="28"/>
          <w:szCs w:val="28"/>
        </w:rPr>
        <w:t xml:space="preserve">《公众聚集场所投入使用、营业消防安全告知承诺书》应加盖公众 </w:t>
      </w:r>
      <w:r>
        <w:rPr>
          <w:rFonts w:ascii="仿宋_GB2312" w:hAnsi="仿宋_GB2312" w:eastAsia="仿宋_GB2312" w:cs="仿宋_GB2312"/>
          <w:spacing w:val="2"/>
          <w:sz w:val="28"/>
          <w:szCs w:val="28"/>
        </w:rPr>
        <w:t xml:space="preserve">聚集场所印章，并由场所的消防安全责任人（法定代表人或主要负责人） </w:t>
      </w:r>
      <w:r>
        <w:rPr>
          <w:rFonts w:ascii="仿宋_GB2312" w:hAnsi="仿宋_GB2312" w:eastAsia="仿宋_GB2312" w:cs="仿宋_GB2312"/>
          <w:sz w:val="28"/>
          <w:szCs w:val="28"/>
        </w:rPr>
        <w:t>签名。没有单位印章的，应由场所的消防安全责任人签名。</w:t>
      </w:r>
    </w:p>
    <w:p>
      <w:pPr>
        <w:spacing w:before="38" w:line="304" w:lineRule="auto"/>
        <w:ind w:left="118" w:right="252" w:firstLine="559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2.</w:t>
      </w:r>
      <w:r>
        <w:rPr>
          <w:rFonts w:ascii="仿宋_GB2312" w:hAnsi="仿宋_GB2312" w:eastAsia="仿宋_GB2312" w:cs="仿宋_GB2312"/>
          <w:spacing w:val="-4"/>
          <w:sz w:val="28"/>
          <w:szCs w:val="28"/>
        </w:rPr>
        <w:t xml:space="preserve">申请人应如实填写基本信息登记表，保证内容准确、完整，并对提交 </w:t>
      </w:r>
      <w:r>
        <w:rPr>
          <w:rFonts w:ascii="仿宋_GB2312" w:hAnsi="仿宋_GB2312" w:eastAsia="仿宋_GB2312" w:cs="仿宋_GB2312"/>
          <w:spacing w:val="2"/>
          <w:sz w:val="28"/>
          <w:szCs w:val="28"/>
        </w:rPr>
        <w:t xml:space="preserve">材料的真实性、完整性负责，不得虚构、伪造或编造事实，否则将承担相 </w:t>
      </w:r>
      <w:r>
        <w:rPr>
          <w:rFonts w:ascii="仿宋_GB2312" w:hAnsi="仿宋_GB2312" w:eastAsia="仿宋_GB2312" w:cs="仿宋_GB2312"/>
          <w:sz w:val="28"/>
          <w:szCs w:val="28"/>
        </w:rPr>
        <w:t>应的法律后果。</w:t>
      </w:r>
    </w:p>
    <w:p>
      <w:pPr>
        <w:spacing w:before="38" w:line="297" w:lineRule="auto"/>
        <w:ind w:left="119" w:right="254" w:firstLine="559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3.</w:t>
      </w:r>
      <w:r>
        <w:rPr>
          <w:rFonts w:ascii="仿宋_GB2312" w:hAnsi="仿宋_GB2312" w:eastAsia="仿宋_GB2312" w:cs="仿宋_GB2312"/>
          <w:spacing w:val="-4"/>
          <w:sz w:val="28"/>
          <w:szCs w:val="28"/>
        </w:rPr>
        <w:t xml:space="preserve">填写应使用钢笔和能够长期保持字迹的墨水或打印，字迹清楚，文面 </w:t>
      </w:r>
      <w:r>
        <w:rPr>
          <w:rFonts w:ascii="仿宋_GB2312" w:hAnsi="仿宋_GB2312" w:eastAsia="仿宋_GB2312" w:cs="仿宋_GB2312"/>
          <w:sz w:val="28"/>
          <w:szCs w:val="28"/>
        </w:rPr>
        <w:t>整洁，不得涂改。</w:t>
      </w:r>
    </w:p>
    <w:p>
      <w:pPr>
        <w:spacing w:before="46"/>
        <w:ind w:left="67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</w:t>
      </w:r>
      <w:r>
        <w:rPr>
          <w:rFonts w:ascii="仿宋_GB2312" w:hAnsi="仿宋_GB2312" w:eastAsia="仿宋_GB2312" w:cs="仿宋_GB2312"/>
          <w:sz w:val="28"/>
          <w:szCs w:val="28"/>
        </w:rPr>
        <w:t>文书中的</w:t>
      </w:r>
      <w:r>
        <w:rPr>
          <w:rFonts w:ascii="Times New Roman" w:hAnsi="Times New Roman" w:eastAsia="Times New Roman" w:cs="Times New Roman"/>
          <w:sz w:val="28"/>
          <w:szCs w:val="28"/>
        </w:rPr>
        <w:t>“□”</w:t>
      </w:r>
      <w:r>
        <w:rPr>
          <w:rFonts w:ascii="仿宋_GB2312" w:hAnsi="仿宋_GB2312" w:eastAsia="仿宋_GB2312" w:cs="仿宋_GB2312"/>
          <w:sz w:val="28"/>
          <w:szCs w:val="28"/>
        </w:rPr>
        <w:t>，表示可供选择，在选中内容前的</w:t>
      </w:r>
      <w:r>
        <w:rPr>
          <w:rFonts w:ascii="Times New Roman" w:hAnsi="Times New Roman" w:eastAsia="Times New Roman" w:cs="Times New Roman"/>
          <w:sz w:val="28"/>
          <w:szCs w:val="28"/>
        </w:rPr>
        <w:t>“□”</w:t>
      </w:r>
      <w:r>
        <w:rPr>
          <w:rFonts w:ascii="仿宋_GB2312" w:hAnsi="仿宋_GB2312" w:eastAsia="仿宋_GB2312" w:cs="仿宋_GB2312"/>
          <w:sz w:val="28"/>
          <w:szCs w:val="28"/>
        </w:rPr>
        <w:t>内画</w:t>
      </w:r>
      <w:r>
        <w:rPr>
          <w:rFonts w:ascii="Times New Roman" w:hAnsi="Times New Roman" w:eastAsia="Times New Roman" w:cs="Times New Roman"/>
          <w:sz w:val="28"/>
          <w:szCs w:val="28"/>
        </w:rPr>
        <w:t>√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>
      <w:pPr>
        <w:spacing w:before="92" w:line="297" w:lineRule="auto"/>
        <w:ind w:left="118" w:right="254" w:firstLine="559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5.“</w:t>
      </w:r>
      <w:r>
        <w:rPr>
          <w:rFonts w:ascii="仿宋_GB2312" w:hAnsi="仿宋_GB2312" w:eastAsia="仿宋_GB2312" w:cs="仿宋_GB2312"/>
          <w:spacing w:val="-3"/>
          <w:sz w:val="28"/>
          <w:szCs w:val="28"/>
        </w:rPr>
        <w:t>建筑结构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仿宋_GB2312" w:hAnsi="仿宋_GB2312" w:eastAsia="仿宋_GB2312" w:cs="仿宋_GB2312"/>
          <w:spacing w:val="-3"/>
          <w:sz w:val="28"/>
          <w:szCs w:val="28"/>
        </w:rPr>
        <w:t xml:space="preserve">填写木结构、砖木结构、砖混结构、钢结构、钢筋混凝土 </w:t>
      </w:r>
      <w:r>
        <w:rPr>
          <w:rFonts w:ascii="仿宋_GB2312" w:hAnsi="仿宋_GB2312" w:eastAsia="仿宋_GB2312" w:cs="仿宋_GB2312"/>
          <w:sz w:val="28"/>
          <w:szCs w:val="28"/>
        </w:rPr>
        <w:t>结构等类型。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_GB2312" w:hAnsi="仿宋_GB2312" w:eastAsia="仿宋_GB2312" w:cs="仿宋_GB2312"/>
          <w:sz w:val="28"/>
          <w:szCs w:val="28"/>
        </w:rPr>
        <w:t>使用层数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_GB2312" w:hAnsi="仿宋_GB2312" w:eastAsia="仿宋_GB2312" w:cs="仿宋_GB2312"/>
          <w:sz w:val="28"/>
          <w:szCs w:val="28"/>
        </w:rPr>
        <w:t>填写场所实际使用建筑楼层号。</w:t>
      </w:r>
    </w:p>
    <w:p>
      <w:pPr>
        <w:spacing w:before="18" w:line="304" w:lineRule="auto"/>
        <w:ind w:left="117" w:right="252" w:firstLine="55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6.“</w:t>
      </w:r>
      <w:r>
        <w:rPr>
          <w:rFonts w:ascii="仿宋_GB2312" w:hAnsi="仿宋_GB2312" w:eastAsia="仿宋_GB2312" w:cs="仿宋_GB2312"/>
          <w:spacing w:val="-3"/>
          <w:sz w:val="28"/>
          <w:szCs w:val="28"/>
        </w:rPr>
        <w:t>场所所在建筑情况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仿宋_GB2312" w:hAnsi="仿宋_GB2312" w:eastAsia="仿宋_GB2312" w:cs="仿宋_GB2312"/>
          <w:spacing w:val="-3"/>
          <w:sz w:val="28"/>
          <w:szCs w:val="28"/>
        </w:rPr>
        <w:t xml:space="preserve">一栏中分别填写所在建筑的名称、建筑面积、建 </w:t>
      </w:r>
      <w:r>
        <w:rPr>
          <w:rFonts w:ascii="仿宋_GB2312" w:hAnsi="仿宋_GB2312" w:eastAsia="仿宋_GB2312" w:cs="仿宋_GB2312"/>
          <w:spacing w:val="-6"/>
          <w:sz w:val="28"/>
          <w:szCs w:val="28"/>
        </w:rPr>
        <w:t xml:space="preserve">筑层数和建筑高度。如场所独自使用一栋或多栋建筑的，则无需填写该栏。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7.“</w:t>
      </w:r>
      <w:r>
        <w:rPr>
          <w:rFonts w:ascii="仿宋_GB2312" w:hAnsi="仿宋_GB2312" w:eastAsia="仿宋_GB2312" w:cs="仿宋_GB2312"/>
          <w:spacing w:val="-3"/>
          <w:sz w:val="28"/>
          <w:szCs w:val="28"/>
        </w:rPr>
        <w:t>用火用电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仿宋_GB2312" w:hAnsi="仿宋_GB2312" w:eastAsia="仿宋_GB2312" w:cs="仿宋_GB2312"/>
          <w:spacing w:val="-3"/>
          <w:sz w:val="28"/>
          <w:szCs w:val="28"/>
        </w:rPr>
        <w:t>一栏中，燃气类型按照实际使用情况填写，如：管道天然</w:t>
      </w:r>
    </w:p>
    <w:p>
      <w:pPr>
        <w:spacing w:before="8"/>
        <w:ind w:left="11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气、瓶装液化石油气、管道人工煤气等。</w:t>
      </w:r>
    </w:p>
    <w:p>
      <w:pPr>
        <w:spacing w:before="113" w:line="304" w:lineRule="auto"/>
        <w:ind w:left="117" w:firstLine="55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8.“</w:t>
      </w:r>
      <w:r>
        <w:rPr>
          <w:rFonts w:ascii="仿宋_GB2312" w:hAnsi="仿宋_GB2312" w:eastAsia="仿宋_GB2312" w:cs="仿宋_GB2312"/>
          <w:sz w:val="28"/>
          <w:szCs w:val="28"/>
        </w:rPr>
        <w:t>安全疏散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_GB2312" w:hAnsi="仿宋_GB2312" w:eastAsia="仿宋_GB2312" w:cs="仿宋_GB2312"/>
          <w:sz w:val="28"/>
          <w:szCs w:val="28"/>
        </w:rPr>
        <w:t xml:space="preserve">一栏中，疏散楼梯设置形式按照实际使用情况填写，如： </w:t>
      </w:r>
      <w:r>
        <w:rPr>
          <w:rFonts w:ascii="仿宋_GB2312" w:hAnsi="仿宋_GB2312" w:eastAsia="仿宋_GB2312" w:cs="仿宋_GB2312"/>
          <w:spacing w:val="2"/>
          <w:sz w:val="28"/>
          <w:szCs w:val="28"/>
        </w:rPr>
        <w:t xml:space="preserve">防烟楼梯间、封闭楼梯间、敞开楼梯间、室外楼梯。避难层（间）设置位 </w:t>
      </w:r>
      <w:r>
        <w:rPr>
          <w:rFonts w:ascii="仿宋_GB2312" w:hAnsi="仿宋_GB2312" w:eastAsia="仿宋_GB2312" w:cs="仿宋_GB2312"/>
          <w:sz w:val="28"/>
          <w:szCs w:val="28"/>
        </w:rPr>
        <w:t>置按照实际位置填写，如建筑第几层或者具体位置。</w:t>
      </w:r>
    </w:p>
    <w:p>
      <w:pPr>
        <w:spacing w:before="38" w:line="297" w:lineRule="auto"/>
        <w:ind w:left="117" w:right="254" w:firstLine="559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9.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“室内装修”一栏中的“装修材料燃烧性能等级”按照装修材料的实 </w:t>
      </w:r>
      <w:r>
        <w:rPr>
          <w:rFonts w:ascii="仿宋_GB2312" w:hAnsi="仿宋_GB2312" w:eastAsia="仿宋_GB2312" w:cs="仿宋_GB2312"/>
          <w:spacing w:val="-1"/>
          <w:sz w:val="28"/>
          <w:szCs w:val="28"/>
        </w:rPr>
        <w:t>际情况分别填写</w:t>
      </w:r>
      <w:r>
        <w:rPr>
          <w:rFonts w:ascii="仿宋_GB2312" w:hAnsi="仿宋_GB2312" w:eastAsia="仿宋_GB2312" w:cs="仿宋_GB2312"/>
          <w:spacing w:val="-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</w:t>
      </w:r>
      <w:r>
        <w:rPr>
          <w:rFonts w:ascii="仿宋_GB2312" w:hAnsi="仿宋_GB2312" w:eastAsia="仿宋_GB2312" w:cs="仿宋_GB2312"/>
          <w:spacing w:val="-28"/>
          <w:sz w:val="28"/>
          <w:szCs w:val="28"/>
        </w:rPr>
        <w:t>级（不燃材料）、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>B1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28"/>
          <w:sz w:val="28"/>
          <w:szCs w:val="28"/>
        </w:rPr>
        <w:t>级（难燃材料）、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>B2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27"/>
          <w:sz w:val="28"/>
          <w:szCs w:val="28"/>
        </w:rPr>
        <w:t>级（可燃材料）、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B3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19"/>
          <w:sz w:val="28"/>
          <w:szCs w:val="28"/>
        </w:rPr>
        <w:t>级（易燃材料）。</w:t>
      </w:r>
    </w:p>
    <w:p>
      <w:pPr>
        <w:spacing w:before="18" w:line="297" w:lineRule="auto"/>
        <w:ind w:left="117" w:right="257" w:firstLine="559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10“</w:t>
      </w:r>
      <w:r>
        <w:rPr>
          <w:rFonts w:ascii="仿宋_GB2312" w:hAnsi="仿宋_GB2312" w:eastAsia="仿宋_GB2312" w:cs="仿宋_GB2312"/>
          <w:spacing w:val="-6"/>
          <w:sz w:val="28"/>
          <w:szCs w:val="28"/>
        </w:rPr>
        <w:t>其他需要说明的情况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仿宋_GB2312" w:hAnsi="仿宋_GB2312" w:eastAsia="仿宋_GB2312" w:cs="仿宋_GB2312"/>
          <w:spacing w:val="-6"/>
          <w:sz w:val="28"/>
          <w:szCs w:val="28"/>
        </w:rPr>
        <w:t>填写场所使用多栋建筑等情况，包括每栋建筑</w:t>
      </w:r>
      <w:r>
        <w:rPr>
          <w:rFonts w:ascii="仿宋_GB2312" w:hAnsi="仿宋_GB2312" w:eastAsia="仿宋_GB2312" w:cs="仿宋_GB2312"/>
          <w:sz w:val="28"/>
          <w:szCs w:val="28"/>
        </w:rPr>
        <w:t xml:space="preserve"> 的名称、建筑面积、建筑层数和建筑高度。</w:t>
      </w:r>
    </w:p>
    <w:p>
      <w:pPr>
        <w:spacing w:before="46" w:line="302" w:lineRule="auto"/>
        <w:ind w:left="117" w:right="252" w:firstLine="557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11.</w:t>
      </w:r>
      <w:r>
        <w:rPr>
          <w:rFonts w:ascii="仿宋_GB2312" w:hAnsi="仿宋_GB2312" w:eastAsia="仿宋_GB2312" w:cs="仿宋_GB2312"/>
          <w:sz w:val="28"/>
          <w:szCs w:val="28"/>
        </w:rPr>
        <w:t>申请人通过消防业务受理窗口以及在消防救援机构现场核查时提交 的材料请使用国际标准</w:t>
      </w:r>
      <w:r>
        <w:rPr>
          <w:rFonts w:ascii="仿宋_GB2312" w:hAnsi="仿宋_GB2312" w:eastAsia="仿宋_GB2312" w:cs="仿宋_GB2312"/>
          <w:spacing w:val="-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型纸打印、复印或按照</w:t>
      </w:r>
      <w:r>
        <w:rPr>
          <w:rFonts w:ascii="仿宋_GB2312" w:hAnsi="仿宋_GB2312" w:eastAsia="仿宋_GB2312" w:cs="仿宋_GB2312"/>
          <w:spacing w:val="-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型纸的规格装订，其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中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营业执照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为复印件，经申请人签名确认并注明日期，并由消防救援机构 </w:t>
      </w:r>
      <w:r>
        <w:rPr>
          <w:rFonts w:ascii="仿宋_GB2312" w:hAnsi="仿宋_GB2312" w:eastAsia="仿宋_GB2312" w:cs="仿宋_GB2312"/>
          <w:spacing w:val="2"/>
          <w:sz w:val="28"/>
          <w:szCs w:val="28"/>
        </w:rPr>
        <w:t xml:space="preserve">人员现场核对复印件与原件是否一致；通过消防在线政务服务平台提交材 </w:t>
      </w:r>
      <w:r>
        <w:rPr>
          <w:rFonts w:ascii="仿宋_GB2312" w:hAnsi="仿宋_GB2312" w:eastAsia="仿宋_GB2312" w:cs="仿宋_GB2312"/>
          <w:sz w:val="28"/>
          <w:szCs w:val="28"/>
        </w:rPr>
        <w:t>料的，应当扫描或拍照上传有关材料原件。</w:t>
      </w:r>
    </w:p>
    <w:p>
      <w:pPr>
        <w:spacing w:line="302" w:lineRule="auto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  <w:sectPr>
          <w:headerReference r:id="rId5" w:type="even"/>
          <w:pgSz w:w="11910" w:h="16840"/>
          <w:pgMar w:top="1820" w:right="1160" w:bottom="1380" w:left="1300" w:header="1469" w:footer="1186" w:gutter="0"/>
          <w:cols w:space="720" w:num="1"/>
        </w:sectPr>
      </w:pPr>
    </w:p>
    <w:p>
      <w:pPr>
        <w:pStyle w:val="8"/>
        <w:spacing w:before="345"/>
        <w:ind w:left="0"/>
        <w:rPr>
          <w:rFonts w:ascii="方正仿宋_GBK" w:hAnsi="方正仿宋_GBK" w:eastAsia="方正仿宋_GBK" w:cs="方正仿宋_GBK"/>
          <w:sz w:val="26"/>
          <w:szCs w:val="26"/>
          <w:lang w:eastAsia="zh-CN"/>
        </w:rPr>
      </w:pPr>
    </w:p>
    <w:sectPr>
      <w:headerReference r:id="rId6" w:type="even"/>
      <w:footerReference r:id="rId7" w:type="even"/>
      <w:pgSz w:w="11910" w:h="16840"/>
      <w:pgMar w:top="1520" w:right="880" w:bottom="1340" w:left="880" w:header="0" w:footer="1146" w:gutter="0"/>
      <w:cols w:equalWidth="0" w:num="2">
        <w:col w:w="7052" w:space="40"/>
        <w:col w:w="30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79" o:spid="_x0000_s2079" o:spt="202" type="#_x0000_t202" style="position:absolute;left:0pt;margin-left:436.45pt;margin-top:771.6pt;height:16pt;width:1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rPr>
                    <w:szCs w:val="28"/>
                  </w:rPr>
                </w:pPr>
              </w:p>
            </w:txbxContent>
          </v:textbox>
        </v:shape>
      </w:pict>
    </w:r>
    <w:r>
      <w:pict>
        <v:shape id="_x0000_s2078" o:spid="_x0000_s2078" o:spt="202" type="#_x0000_t202" style="position:absolute;left:0pt;margin-left:463.45pt;margin-top:771.6pt;height:16pt;width:1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rPr>
                    <w:szCs w:val="28"/>
                  </w:rPr>
                </w:pPr>
              </w:p>
            </w:txbxContent>
          </v:textbox>
        </v:shape>
      </w:pict>
    </w:r>
    <w:r>
      <w:pict>
        <v:shape id="_x0000_s2077" o:spid="_x0000_s2077" o:spt="202" type="#_x0000_t202" style="position:absolute;left:0pt;margin-left:492.45pt;margin-top:771.6pt;height:16pt;width:1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rPr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82" o:spid="_x0000_s2082" o:spt="202" type="#_x0000_t202" style="position:absolute;left:0pt;margin-left:86.9pt;margin-top:771.6pt;height:16pt;width:1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</w:p>
            </w:txbxContent>
          </v:textbox>
        </v:shape>
      </w:pict>
    </w:r>
    <w:r>
      <w:pict>
        <v:shape id="_x0000_s2081" o:spid="_x0000_s2081" o:spt="202" type="#_x0000_t202" style="position:absolute;left:0pt;margin-left:113.9pt;margin-top:771.6pt;height:16pt;width:1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40"/>
                  <w:rPr>
                    <w:rFonts w:ascii="宋体" w:hAnsi="宋体" w:eastAsia="宋体" w:cs="宋体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 id="_x0000_s2080" o:spid="_x0000_s2080" o:spt="202" type="#_x0000_t202" style="position:absolute;left:0pt;margin-left:142.9pt;margin-top:771.6pt;height:16pt;width:1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/>
                  <w:rPr>
                    <w:rFonts w:ascii="宋体" w:hAnsi="宋体" w:eastAsia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76" o:spid="_x0000_s2076" o:spt="202" type="#_x0000_t202" style="position:absolute;left:0pt;margin-left:278.6pt;margin-top:72.45pt;height:20pt;width:3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80" w:lineRule="exact"/>
                  <w:ind w:left="20"/>
                  <w:rPr>
                    <w:rFonts w:ascii="黑体" w:hAnsi="黑体" w:eastAsia="黑体" w:cs="黑体"/>
                    <w:sz w:val="36"/>
                    <w:szCs w:val="36"/>
                  </w:rPr>
                </w:pPr>
                <w:r>
                  <w:rPr>
                    <w:rFonts w:ascii="黑体" w:hAnsi="黑体" w:eastAsia="黑体" w:cs="黑体"/>
                    <w:sz w:val="36"/>
                    <w:szCs w:val="36"/>
                  </w:rPr>
                  <w:t>说明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B36455"/>
    <w:rsid w:val="00104B7B"/>
    <w:rsid w:val="00117A17"/>
    <w:rsid w:val="003D0463"/>
    <w:rsid w:val="004A734B"/>
    <w:rsid w:val="00613310"/>
    <w:rsid w:val="006E3C6E"/>
    <w:rsid w:val="007F181D"/>
    <w:rsid w:val="00A81EF3"/>
    <w:rsid w:val="00AB176D"/>
    <w:rsid w:val="00B36455"/>
    <w:rsid w:val="00C47D57"/>
    <w:rsid w:val="00E05DE1"/>
    <w:rsid w:val="446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方正仿宋_GBK" w:hAnsi="方正仿宋_GBK" w:eastAsia="方正仿宋_GBK"/>
      <w:sz w:val="29"/>
      <w:szCs w:val="29"/>
    </w:r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376"/>
      <w:outlineLvl w:val="1"/>
    </w:pPr>
    <w:rPr>
      <w:rFonts w:ascii="方正小标宋_GBK" w:hAnsi="方正小标宋_GBK" w:eastAsia="方正小标宋_GBK"/>
      <w:sz w:val="44"/>
      <w:szCs w:val="44"/>
    </w:rPr>
  </w:style>
  <w:style w:type="paragraph" w:customStyle="1" w:styleId="9">
    <w:name w:val="Heading 2"/>
    <w:basedOn w:val="1"/>
    <w:qFormat/>
    <w:uiPriority w:val="1"/>
    <w:pPr>
      <w:ind w:left="167"/>
      <w:outlineLvl w:val="2"/>
    </w:pPr>
    <w:rPr>
      <w:rFonts w:ascii="方正小标宋_GBK" w:hAnsi="方正小标宋_GBK" w:eastAsia="方正小标宋_GBK"/>
      <w:sz w:val="39"/>
      <w:szCs w:val="39"/>
    </w:rPr>
  </w:style>
  <w:style w:type="paragraph" w:customStyle="1" w:styleId="10">
    <w:name w:val="Heading 3"/>
    <w:basedOn w:val="1"/>
    <w:qFormat/>
    <w:uiPriority w:val="1"/>
    <w:pPr>
      <w:outlineLvl w:val="3"/>
    </w:pPr>
    <w:rPr>
      <w:rFonts w:ascii="黑体" w:hAnsi="黑体" w:eastAsia="黑体"/>
      <w:sz w:val="36"/>
      <w:szCs w:val="36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79"/>
    <customShpInfo spid="_x0000_s2078"/>
    <customShpInfo spid="_x0000_s2077"/>
    <customShpInfo spid="_x0000_s2082"/>
    <customShpInfo spid="_x0000_s2081"/>
    <customShpInfo spid="_x0000_s2080"/>
    <customShpInfo spid="_x0000_s2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479</Words>
  <Characters>2735</Characters>
  <Lines>22</Lines>
  <Paragraphs>6</Paragraphs>
  <TotalTime>5</TotalTime>
  <ScaleCrop>false</ScaleCrop>
  <LinksUpToDate>false</LinksUpToDate>
  <CharactersWithSpaces>3208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作者</dc:creator>
  <cp:keywords>关键字</cp:keywords>
  <cp:lastModifiedBy>Administrator</cp:lastModifiedBy>
  <dcterms:modified xsi:type="dcterms:W3CDTF">2021-12-21T07:45:27Z</dcterms:modified>
  <dc:subject>科目</dc:subject>
  <dc:title>标题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CEE773B5211241FD917B761A6D90D18E</vt:lpwstr>
  </property>
</Properties>
</file>