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件，为临时占用城市道路和破道审批事项；大型户外广告设置审批受理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改变绿地性质、临时占用城市绿化用地、砍伐城市树木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件, 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件；从事城市生活垃圾经营性清扫、收集、运输、处理服务许可受理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0" t="0" r="9525" b="9525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0" t="0" r="9525" b="9525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172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和行动违停处罚等城市管理工作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  <w:bookmarkStart w:id="0" w:name="_GoBack"/>
      <w:bookmarkEnd w:id="0"/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D6"/>
    <w:rsid w:val="00017BD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113339C9"/>
    <w:rsid w:val="15DE527F"/>
    <w:rsid w:val="15FC6CE6"/>
    <w:rsid w:val="19655B71"/>
    <w:rsid w:val="1E007BD7"/>
    <w:rsid w:val="1E1975ED"/>
    <w:rsid w:val="2C3E0807"/>
    <w:rsid w:val="2D201B05"/>
    <w:rsid w:val="2D501077"/>
    <w:rsid w:val="2DFE4DE0"/>
    <w:rsid w:val="38E95C26"/>
    <w:rsid w:val="3A5A5284"/>
    <w:rsid w:val="3E971B98"/>
    <w:rsid w:val="419F16AC"/>
    <w:rsid w:val="42DA1D68"/>
    <w:rsid w:val="4BEB3D1C"/>
    <w:rsid w:val="53002BF8"/>
    <w:rsid w:val="58FF3BC7"/>
    <w:rsid w:val="65192DAA"/>
    <w:rsid w:val="7D071F44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20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15</c:v>
                </c:pt>
                <c:pt idx="1">
                  <c:v>20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市政</c:v>
                </c:pt>
                <c:pt idx="1">
                  <c:v>广告</c:v>
                </c:pt>
                <c:pt idx="2">
                  <c:v>园林</c:v>
                </c:pt>
                <c:pt idx="3">
                  <c:v>环卫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83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89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89</c:v>
                </c:pt>
                <c:pt idx="1">
                  <c:v>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否极泰来</cp:lastModifiedBy>
  <dcterms:modified xsi:type="dcterms:W3CDTF">2021-10-29T07:53:56Z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E23EA821835A4AF1B428AF80B83C6E50</vt:lpwstr>
  </property>
</Properties>
</file>