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bCs/>
          <w:kern w:val="0"/>
          <w:sz w:val="32"/>
          <w:szCs w:val="32"/>
        </w:rPr>
      </w:pPr>
      <w:r>
        <w:rPr>
          <w:rFonts w:hAnsi="黑体" w:eastAsia="黑体"/>
          <w:bCs/>
          <w:kern w:val="0"/>
          <w:sz w:val="32"/>
          <w:szCs w:val="32"/>
        </w:rPr>
        <w:t>附件</w:t>
      </w:r>
      <w:r>
        <w:rPr>
          <w:rFonts w:eastAsia="黑体"/>
          <w:bCs/>
          <w:kern w:val="0"/>
          <w:sz w:val="32"/>
          <w:szCs w:val="32"/>
        </w:rPr>
        <w:t>2</w:t>
      </w:r>
    </w:p>
    <w:p>
      <w:pPr>
        <w:spacing w:line="600" w:lineRule="exact"/>
        <w:jc w:val="center"/>
        <w:rPr>
          <w:rFonts w:eastAsia="方正小标宋_GBK"/>
          <w:sz w:val="36"/>
          <w:szCs w:val="36"/>
        </w:rPr>
      </w:pPr>
      <w:r>
        <w:rPr>
          <w:rFonts w:hint="eastAsia" w:eastAsia="方正小标宋_GBK"/>
          <w:sz w:val="36"/>
          <w:szCs w:val="36"/>
        </w:rPr>
        <w:t>炎陵县审计局</w:t>
      </w:r>
      <w:r>
        <w:rPr>
          <w:rFonts w:eastAsia="方正小标宋_GBK"/>
          <w:sz w:val="36"/>
          <w:szCs w:val="36"/>
        </w:rPr>
        <w:t>部门整体支出绩效评价报告</w:t>
      </w:r>
    </w:p>
    <w:p>
      <w:pPr>
        <w:spacing w:line="600" w:lineRule="exact"/>
        <w:jc w:val="center"/>
        <w:rPr>
          <w:rFonts w:hint="eastAsia" w:eastAsia="方正小标宋_GBK"/>
          <w:sz w:val="36"/>
          <w:szCs w:val="36"/>
          <w:lang w:val="en-US" w:eastAsia="zh-CN"/>
        </w:rPr>
      </w:pPr>
      <w:r>
        <w:rPr>
          <w:rFonts w:hint="eastAsia" w:eastAsia="方正小标宋_GBK"/>
          <w:sz w:val="36"/>
          <w:szCs w:val="36"/>
          <w:lang w:val="en-US" w:eastAsia="zh-CN"/>
        </w:rPr>
        <w:t>(2020年度）</w:t>
      </w:r>
    </w:p>
    <w:p>
      <w:pPr>
        <w:spacing w:line="600" w:lineRule="exact"/>
        <w:ind w:firstLine="640" w:firstLineChars="200"/>
        <w:jc w:val="both"/>
        <w:rPr>
          <w:rFonts w:ascii="Times New Roman" w:hAnsi="Times New Roman" w:eastAsia="黑体"/>
          <w:sz w:val="32"/>
          <w:szCs w:val="32"/>
        </w:rPr>
      </w:pPr>
      <w:r>
        <w:rPr>
          <w:rFonts w:hint="eastAsia" w:eastAsia="黑体"/>
          <w:sz w:val="32"/>
          <w:szCs w:val="32"/>
          <w:lang w:val="en-US" w:eastAsia="zh-CN"/>
        </w:rPr>
        <w:t>一、</w:t>
      </w:r>
      <w:r>
        <w:rPr>
          <w:rFonts w:hint="eastAsia" w:ascii="Times New Roman" w:hAnsi="Times New Roman" w:eastAsia="黑体"/>
          <w:sz w:val="32"/>
          <w:szCs w:val="32"/>
          <w:lang w:val="en-US" w:eastAsia="zh-CN"/>
        </w:rPr>
        <w:t xml:space="preserve"> </w:t>
      </w:r>
      <w:r>
        <w:rPr>
          <w:rFonts w:ascii="Times New Roman" w:hAnsi="Times New Roman" w:eastAsia="黑体"/>
          <w:sz w:val="32"/>
          <w:szCs w:val="32"/>
        </w:rPr>
        <w:t>部门、单位基本情况</w:t>
      </w:r>
    </w:p>
    <w:p>
      <w:pPr>
        <w:snapToGrid w:val="0"/>
        <w:spacing w:line="560" w:lineRule="exact"/>
        <w:rPr>
          <w:rFonts w:hint="eastAsia" w:ascii="仿宋_GB2312" w:hAnsi="仿宋_GB2312" w:eastAsia="仿宋_GB2312" w:cs="仿宋_GB2312"/>
          <w:b w:val="0"/>
          <w:bCs w:val="0"/>
          <w:sz w:val="32"/>
          <w:szCs w:val="32"/>
        </w:rPr>
      </w:pPr>
      <w:r>
        <w:rPr>
          <w:rFonts w:hint="eastAsia" w:eastAsia="黑体"/>
          <w:sz w:val="32"/>
          <w:szCs w:val="32"/>
        </w:rPr>
        <w:t>　</w:t>
      </w:r>
      <w:r>
        <w:rPr>
          <w:rFonts w:hint="eastAsia" w:ascii="仿宋_GB2312" w:hAnsi="仿宋_GB2312" w:eastAsia="仿宋_GB2312" w:cs="仿宋_GB2312"/>
          <w:sz w:val="32"/>
          <w:szCs w:val="32"/>
        </w:rPr>
        <w:t>　</w:t>
      </w:r>
      <w:r>
        <w:rPr>
          <w:rFonts w:hint="eastAsia" w:ascii="仿宋_GB2312" w:hAnsi="仿宋_GB2312" w:eastAsia="仿宋_GB2312" w:cs="仿宋_GB2312"/>
          <w:b w:val="0"/>
          <w:bCs w:val="0"/>
          <w:sz w:val="32"/>
          <w:szCs w:val="32"/>
        </w:rPr>
        <w:t>1、主要职能</w:t>
      </w:r>
    </w:p>
    <w:p>
      <w:pPr>
        <w:snapToGrid w:val="0"/>
        <w:spacing w:line="560" w:lineRule="exact"/>
        <w:ind w:firstLine="640"/>
        <w:rPr>
          <w:rFonts w:ascii="仿宋_GB2312" w:hAnsi="仿宋" w:eastAsia="仿宋_GB2312"/>
          <w:sz w:val="32"/>
          <w:szCs w:val="32"/>
        </w:rPr>
      </w:pPr>
      <w:r>
        <w:rPr>
          <w:rFonts w:hint="eastAsia" w:ascii="仿宋_GB2312" w:hAnsi="仿宋" w:eastAsia="仿宋_GB2312"/>
          <w:sz w:val="32"/>
          <w:szCs w:val="32"/>
        </w:rPr>
        <w:t>一是依据《中华人民共和国审计法》、《中华人民共和国预算法》的规定，审计监督县本级财政预算执行情况和其他财政收支。二是根据上级审计机关和县委、县政府的安排对全县行政、事业单位，社会团体的财政财务收支及国有企业的财务收支情况进行审计。三是根据县委、县政府的委托，对科级党政领导干部、国有企业的领导人进行任期经济责任审计和领导干部自然资源资产审计。四是审计监督政府部门管理的和其他单位受政府委托管理的社会保障基金、社会捐赠资金以及其他有关基金、资金的财务收支。五是根据《中华人民共和国审计法》对全县政府投资和以县政府投资为主的建设项目进行审计监督。六是审计监督国家法律法规规定的其他事项。</w:t>
      </w:r>
    </w:p>
    <w:p>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机构情况</w:t>
      </w:r>
    </w:p>
    <w:p>
      <w:pPr>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我局属政府机关，独立编制机构数1个，独立核算机构数1个，与上年持平，无变化。单位内设科室6个，所属全额拨款的股级公益一类事业单位1个，分别为：办公室、财政企业审计股、行政事业审计股、经济责任审计股、法制股、重大项目稽查和政策落实审计股，全额拨款事业单位--炎陵县建设项目审计中心。</w:t>
      </w:r>
    </w:p>
    <w:p>
      <w:pPr>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人员情况</w:t>
      </w:r>
    </w:p>
    <w:p>
      <w:pPr>
        <w:snapToGrid w:val="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 xml:space="preserve"> 　截止2020年12月底，编制人员数23人，其中行政编12人，机关工勤编1人，全额拨款事业编10人。年末实有在职人员19人，比上年增加2人，系因调入人员3人，退休减少1人。退休人员16人（含挂靠退休人员1人）。借调人员1人，临时人员2人。</w:t>
      </w:r>
    </w:p>
    <w:p>
      <w:pPr>
        <w:spacing w:line="600" w:lineRule="exact"/>
        <w:ind w:firstLine="640" w:firstLineChars="200"/>
        <w:jc w:val="both"/>
        <w:rPr>
          <w:rFonts w:hint="eastAsia" w:eastAsia="黑体"/>
          <w:sz w:val="32"/>
          <w:szCs w:val="32"/>
          <w:lang w:val="en-US" w:eastAsia="zh-CN"/>
        </w:rPr>
      </w:pPr>
      <w:r>
        <w:rPr>
          <w:rFonts w:hint="eastAsia" w:eastAsia="黑体"/>
          <w:sz w:val="32"/>
          <w:szCs w:val="32"/>
          <w:lang w:val="en-US" w:eastAsia="zh-CN"/>
        </w:rPr>
        <w:t>二、一般公共预算支出情况</w:t>
      </w:r>
    </w:p>
    <w:p>
      <w:pPr>
        <w:pStyle w:val="7"/>
        <w:widowControl/>
        <w:spacing w:line="560" w:lineRule="exact"/>
        <w:ind w:left="420" w:leftChars="200" w:firstLine="0" w:firstLineChars="0"/>
        <w:jc w:val="left"/>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一般公共预算支出4853942.01元，其中：基本支出4853942.01元，占比100%。比上年支出3335958.29元增加了1517983.72元，增加45.5%。</w:t>
      </w:r>
    </w:p>
    <w:p>
      <w:pPr>
        <w:pStyle w:val="7"/>
        <w:widowControl/>
        <w:numPr>
          <w:ilvl w:val="0"/>
          <w:numId w:val="1"/>
        </w:numPr>
        <w:spacing w:line="560" w:lineRule="exact"/>
        <w:ind w:left="630" w:firstLine="0" w:firstLineChars="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基本支出情况</w:t>
      </w:r>
    </w:p>
    <w:p>
      <w:pPr>
        <w:pStyle w:val="7"/>
        <w:widowControl/>
        <w:spacing w:line="560" w:lineRule="exact"/>
        <w:ind w:left="420" w:leftChars="200" w:firstLine="640" w:firstLineChars="200"/>
        <w:jc w:val="left"/>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基本支出中人员经费2554087.93元，占比52.62%，比上年人员经费2256369.53元增加297718.4元；日常公用经费2299854.08元，占比47.38%，比上年日常公用经费1079588.76元增加1220265.32元。</w:t>
      </w:r>
    </w:p>
    <w:p>
      <w:pPr>
        <w:pStyle w:val="7"/>
        <w:widowControl/>
        <w:spacing w:line="560" w:lineRule="exact"/>
        <w:ind w:left="640" w:firstLine="0" w:firstLineChars="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（二）项目支出情况</w:t>
      </w:r>
    </w:p>
    <w:p>
      <w:pPr>
        <w:pStyle w:val="7"/>
        <w:widowControl/>
        <w:spacing w:line="560" w:lineRule="exact"/>
        <w:ind w:left="640" w:firstLine="0" w:firstLineChars="0"/>
        <w:jc w:val="left"/>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2020年度本单位无项目支出。</w:t>
      </w:r>
    </w:p>
    <w:p>
      <w:pPr>
        <w:spacing w:line="600" w:lineRule="exact"/>
        <w:ind w:firstLine="640" w:firstLineChars="200"/>
        <w:jc w:val="both"/>
        <w:rPr>
          <w:rFonts w:hint="eastAsia" w:eastAsia="黑体"/>
          <w:sz w:val="32"/>
          <w:szCs w:val="32"/>
          <w:lang w:val="en-US" w:eastAsia="zh-CN"/>
        </w:rPr>
      </w:pPr>
      <w:r>
        <w:rPr>
          <w:rFonts w:hint="eastAsia" w:eastAsia="黑体"/>
          <w:sz w:val="32"/>
          <w:szCs w:val="32"/>
          <w:lang w:val="en-US" w:eastAsia="zh-CN"/>
        </w:rPr>
        <w:t>三、政府性基金预算支出情况</w:t>
      </w:r>
    </w:p>
    <w:p>
      <w:pPr>
        <w:pStyle w:val="7"/>
        <w:widowControl/>
        <w:spacing w:line="560" w:lineRule="exact"/>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本单位无政府性基金预算支出。</w:t>
      </w:r>
      <w:bookmarkStart w:id="1" w:name="_GoBack"/>
      <w:bookmarkEnd w:id="1"/>
    </w:p>
    <w:p>
      <w:pPr>
        <w:pStyle w:val="7"/>
        <w:widowControl/>
        <w:numPr>
          <w:numId w:val="0"/>
        </w:numPr>
        <w:spacing w:line="560" w:lineRule="exact"/>
        <w:ind w:leftChars="0" w:firstLine="640" w:firstLineChars="200"/>
        <w:jc w:val="left"/>
        <w:rPr>
          <w:rFonts w:ascii="Times New Roman" w:hAnsi="Times New Roman" w:eastAsia="黑体"/>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社会保险基金预算支出情况</w:t>
      </w:r>
    </w:p>
    <w:p>
      <w:pPr>
        <w:pStyle w:val="7"/>
        <w:widowControl/>
        <w:spacing w:line="560" w:lineRule="exact"/>
        <w:ind w:left="420" w:leftChars="200" w:firstLine="0" w:firstLineChars="0"/>
        <w:jc w:val="left"/>
        <w:rPr>
          <w:rFonts w:ascii="仿宋" w:hAnsi="仿宋" w:eastAsia="仿宋" w:cs="仿宋"/>
          <w:sz w:val="32"/>
          <w:szCs w:val="32"/>
        </w:rPr>
      </w:pPr>
      <w:r>
        <w:rPr>
          <w:rFonts w:hint="eastAsia" w:ascii="Times New Roman" w:hAnsi="Times New Roman" w:eastAsia="黑体"/>
          <w:sz w:val="32"/>
          <w:szCs w:val="32"/>
        </w:rPr>
        <w:t xml:space="preserve"> </w:t>
      </w:r>
      <w:r>
        <w:rPr>
          <w:rFonts w:hint="eastAsia" w:ascii="仿宋_GB2312" w:hAnsi="仿宋" w:eastAsia="仿宋_GB2312" w:cs="Times New Roman"/>
          <w:kern w:val="2"/>
          <w:sz w:val="32"/>
          <w:szCs w:val="32"/>
          <w:lang w:val="en-US" w:eastAsia="zh-CN" w:bidi="ar-SA"/>
        </w:rPr>
        <w:t>本单位无社会保险基金预算支出。</w:t>
      </w:r>
    </w:p>
    <w:p>
      <w:pPr>
        <w:widowControl/>
        <w:spacing w:line="560" w:lineRule="exact"/>
        <w:ind w:firstLine="640" w:firstLineChars="200"/>
        <w:jc w:val="left"/>
        <w:rPr>
          <w:rFonts w:eastAsia="黑体"/>
          <w:sz w:val="32"/>
          <w:szCs w:val="32"/>
        </w:rPr>
      </w:pPr>
      <w:r>
        <w:rPr>
          <w:rFonts w:hint="eastAsia" w:eastAsia="黑体"/>
          <w:sz w:val="32"/>
          <w:szCs w:val="32"/>
        </w:rPr>
        <w:t>五</w:t>
      </w:r>
      <w:r>
        <w:rPr>
          <w:rFonts w:eastAsia="黑体"/>
          <w:sz w:val="32"/>
          <w:szCs w:val="32"/>
        </w:rPr>
        <w:t>、部门整体支出绩效情况</w:t>
      </w:r>
    </w:p>
    <w:p>
      <w:pPr>
        <w:snapToGrid w:val="0"/>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2020年，我单位依法审计，认真履行单位职责。一是深化本级预算执行审计，坚持构建“大财政”审计理念，以县本级预算执行情况为重点，以财政财务收支的真实性、合法性、效益性为基础，促进加强财政管理、完善预算制度、规范资金分配、提高财政资金使用绩效，着力揭示政府性资金收、支、管、用等流程控制环节中存在的突出问题，推动党的政策贯彻落实；二是抓实扶贫领域审计，坚持把脱贫攻坚巩固提升作为头等大事、民生工程来抓，突出对扶贫领域政策落实情况审计和问题整改落实的督促检查，更好发挥审计推动全面打赢脱贫攻坚战的积极作用。同时，我局将扶贫领域审计与其他审计项目有机结合，列为各审计项目规定内容，使扶贫审计常态化、制度化；三是突出专项资金审计，坚持从群众普遍关注的热点难点问题入手，突出重点民生资金、民生项目审计；四是推进经济责任审计，坚持把经济责任审计作为加强干部监督和管理的重要举措，重点关注了领导干部推动本部门科学发展和“履职、尽责、守法、守规”情况，有效促进了领导干部树立正确的世界观、价值观和政绩观；五是加强政府投资审计，坚持把政府投资项目作为审计监督的重点，规范建设程序，提升投资效益。突出对重点和重大项目跟踪审计，着力关注工程量真实性、程序合法性、工程绩效等方面。</w:t>
      </w:r>
    </w:p>
    <w:p>
      <w:pPr>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2020年度我单位强化审计监督，发挥职能作用。全年共开展审计及审计调查74个，其中财政预算执行和财政财务收支审计3个，扶贫领域审计1个，专项审计调查3个，经济责任审计7个，重点项目审计2个，政府投资项目结算审计58个，审计查出管理不规范金额9281万元，核减政府投资2904万元，提出审计建议51条，审计专题汇报2篇。</w:t>
      </w:r>
    </w:p>
    <w:p>
      <w:pPr>
        <w:pStyle w:val="7"/>
        <w:widowControl/>
        <w:spacing w:line="56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存在的问题及原因分析</w:t>
      </w:r>
    </w:p>
    <w:p>
      <w:pPr>
        <w:snapToGrid w:val="0"/>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每年年初审计项目计划之外都存在新增项目的情况，年度工作任务明显增大，且因为人员不够需聘请临时审计人员，各项支出明显增加，造成单位经费非常紧张。</w:t>
      </w:r>
    </w:p>
    <w:p>
      <w:pPr>
        <w:widowControl/>
        <w:numPr>
          <w:ilvl w:val="0"/>
          <w:numId w:val="2"/>
        </w:numPr>
        <w:spacing w:line="560" w:lineRule="exact"/>
        <w:ind w:firstLine="640" w:firstLineChars="200"/>
        <w:jc w:val="left"/>
        <w:rPr>
          <w:rFonts w:eastAsia="黑体"/>
          <w:sz w:val="32"/>
          <w:szCs w:val="32"/>
        </w:rPr>
      </w:pPr>
      <w:r>
        <w:rPr>
          <w:rFonts w:eastAsia="黑体"/>
          <w:sz w:val="32"/>
          <w:szCs w:val="32"/>
        </w:rPr>
        <w:t>下一步改进措施</w:t>
      </w:r>
    </w:p>
    <w:p>
      <w:pPr>
        <w:pStyle w:val="2"/>
        <w:spacing w:line="560" w:lineRule="exact"/>
      </w:pPr>
      <w:r>
        <w:rPr>
          <w:rFonts w:hint="eastAsia" w:eastAsia="黑体"/>
          <w:sz w:val="32"/>
          <w:szCs w:val="32"/>
        </w:rPr>
        <w:t xml:space="preserve">   </w:t>
      </w:r>
      <w:r>
        <w:rPr>
          <w:rFonts w:hint="eastAsia" w:ascii="仿宋_GB2312" w:hAnsi="仿宋" w:eastAsia="仿宋_GB2312" w:cs="Times New Roman"/>
          <w:kern w:val="2"/>
          <w:sz w:val="32"/>
          <w:szCs w:val="32"/>
          <w:lang w:val="en-US" w:eastAsia="zh-CN" w:bidi="ar-SA"/>
        </w:rPr>
        <w:t>一是合理安排收支预算，严格预算管理。按照“以收定支，量入为出，保证重点，兼顾一般”的原则，科学合理编制部门预算，使预算更加切合实际。进一步细化预算，严格执行，增强预算约束意识，提高科学化、精细化预算管理水平。二是规范财务行为，提高会计基础工作质量。严格执行财经纪律和各项财经政策，自觉接受财政、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进一步完善财政预决算、“三公经费”及重大专项公开工作。使重大项目管理制度更加科学合理，程序更加规范透明，分配更加公平公正，资金更加安全高效。鉴于工作经费紧张，建议在年初预算中适当增加经费安排。</w:t>
      </w:r>
      <w:r>
        <w:rPr>
          <w:rFonts w:hint="eastAsia" w:ascii="仿宋" w:hAnsi="仿宋" w:eastAsia="仿宋" w:cs="仿宋"/>
          <w:sz w:val="32"/>
          <w:szCs w:val="32"/>
        </w:rPr>
        <w:t xml:space="preserve">   </w:t>
      </w:r>
    </w:p>
    <w:p>
      <w:pPr>
        <w:widowControl/>
        <w:numPr>
          <w:ilvl w:val="0"/>
          <w:numId w:val="2"/>
        </w:numPr>
        <w:spacing w:line="560" w:lineRule="exact"/>
        <w:ind w:firstLine="640" w:firstLineChars="200"/>
        <w:jc w:val="left"/>
        <w:rPr>
          <w:rFonts w:eastAsia="黑体"/>
          <w:sz w:val="32"/>
          <w:szCs w:val="32"/>
        </w:rPr>
      </w:pPr>
      <w:r>
        <w:rPr>
          <w:rFonts w:eastAsia="黑体"/>
          <w:sz w:val="32"/>
          <w:szCs w:val="32"/>
        </w:rPr>
        <w:t>其他需要说明的情况</w:t>
      </w:r>
    </w:p>
    <w:p>
      <w:pPr>
        <w:widowControl/>
        <w:spacing w:line="560" w:lineRule="exact"/>
        <w:ind w:firstLine="640" w:firstLineChars="200"/>
        <w:jc w:val="left"/>
        <w:rPr>
          <w:rFonts w:eastAsia="黑体"/>
          <w:sz w:val="32"/>
          <w:szCs w:val="32"/>
        </w:rPr>
      </w:pPr>
      <w:r>
        <w:rPr>
          <w:rFonts w:hint="eastAsia" w:ascii="仿宋_GB2312" w:hAnsi="仿宋" w:eastAsia="仿宋_GB2312" w:cs="Times New Roman"/>
          <w:kern w:val="2"/>
          <w:sz w:val="32"/>
          <w:szCs w:val="32"/>
          <w:lang w:val="en-US" w:eastAsia="zh-CN" w:bidi="ar-SA"/>
        </w:rPr>
        <w:t>无</w:t>
      </w:r>
    </w:p>
    <w:p>
      <w:pPr>
        <w:spacing w:line="560" w:lineRule="exact"/>
        <w:rPr>
          <w:rFonts w:hAnsi="黑体" w:eastAsia="黑体"/>
          <w:bCs/>
          <w:kern w:val="0"/>
          <w:sz w:val="32"/>
          <w:szCs w:val="32"/>
        </w:rPr>
      </w:pPr>
    </w:p>
    <w:p>
      <w:pPr>
        <w:pStyle w:val="2"/>
        <w:rPr>
          <w:rFonts w:hAnsi="黑体" w:eastAsia="黑体"/>
          <w:bCs/>
          <w:kern w:val="0"/>
          <w:sz w:val="32"/>
          <w:szCs w:val="32"/>
        </w:rPr>
      </w:pPr>
    </w:p>
    <w:p>
      <w:pPr>
        <w:pStyle w:val="2"/>
        <w:rPr>
          <w:rFonts w:hAnsi="黑体" w:eastAsia="黑体"/>
          <w:bCs/>
          <w:kern w:val="0"/>
          <w:sz w:val="32"/>
          <w:szCs w:val="32"/>
        </w:rPr>
      </w:pPr>
    </w:p>
    <w:p>
      <w:pPr>
        <w:spacing w:line="560" w:lineRule="exact"/>
        <w:rPr>
          <w:rFonts w:eastAsia="黑体"/>
          <w:bCs/>
          <w:kern w:val="0"/>
          <w:sz w:val="32"/>
          <w:szCs w:val="32"/>
        </w:rPr>
      </w:pPr>
      <w:r>
        <w:rPr>
          <w:rFonts w:hAnsi="黑体" w:eastAsia="黑体"/>
          <w:bCs/>
          <w:kern w:val="0"/>
          <w:sz w:val="32"/>
          <w:szCs w:val="32"/>
        </w:rPr>
        <w:t>附件</w:t>
      </w:r>
      <w:r>
        <w:rPr>
          <w:rFonts w:hint="eastAsia" w:eastAsia="黑体"/>
          <w:bCs/>
          <w:kern w:val="0"/>
          <w:sz w:val="32"/>
          <w:szCs w:val="32"/>
        </w:rPr>
        <w:t>3</w:t>
      </w:r>
    </w:p>
    <w:p>
      <w:pPr>
        <w:spacing w:line="560" w:lineRule="exact"/>
        <w:jc w:val="center"/>
        <w:rPr>
          <w:rFonts w:hint="eastAsia"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type="textWrapping"/>
      </w:r>
      <w:r>
        <w:rPr>
          <w:rFonts w:eastAsia="楷体_GB2312"/>
          <w:bCs/>
          <w:kern w:val="0"/>
          <w:sz w:val="32"/>
          <w:szCs w:val="32"/>
        </w:rPr>
        <w:t>（20</w:t>
      </w:r>
      <w:r>
        <w:rPr>
          <w:rFonts w:hint="eastAsia" w:eastAsia="楷体_GB2312"/>
          <w:bCs/>
          <w:kern w:val="0"/>
          <w:sz w:val="32"/>
          <w:szCs w:val="32"/>
        </w:rPr>
        <w:t>20</w:t>
      </w:r>
      <w:r>
        <w:rPr>
          <w:rFonts w:eastAsia="楷体_GB2312"/>
          <w:bCs/>
          <w:kern w:val="0"/>
          <w:sz w:val="32"/>
          <w:szCs w:val="32"/>
        </w:rPr>
        <w:t>年度）</w:t>
      </w:r>
    </w:p>
    <w:p>
      <w:pPr>
        <w:spacing w:line="560" w:lineRule="exact"/>
        <w:ind w:left="-630" w:leftChars="-300"/>
        <w:jc w:val="left"/>
        <w:rPr>
          <w:rFonts w:eastAsia="楷体_GB2312"/>
          <w:bCs/>
          <w:kern w:val="0"/>
          <w:sz w:val="32"/>
          <w:szCs w:val="32"/>
        </w:rPr>
      </w:pPr>
      <w:r>
        <w:rPr>
          <w:kern w:val="0"/>
          <w:szCs w:val="21"/>
        </w:rPr>
        <w:t>填报单位（盖章）</w:t>
      </w:r>
      <w:r>
        <w:rPr>
          <w:rFonts w:eastAsia="黑体"/>
          <w:kern w:val="0"/>
          <w:szCs w:val="21"/>
        </w:rPr>
        <w:t>：</w:t>
      </w:r>
      <w:r>
        <w:rPr>
          <w:rFonts w:eastAsia="黑体"/>
          <w:kern w:val="0"/>
          <w:szCs w:val="21"/>
        </w:rPr>
        <w:tab/>
      </w:r>
      <w:r>
        <w:rPr>
          <w:rFonts w:hint="eastAsia" w:eastAsia="黑体"/>
          <w:kern w:val="0"/>
          <w:szCs w:val="21"/>
        </w:rPr>
        <w:t>炎陵县审计局</w:t>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200"/>
        <w:gridCol w:w="585"/>
        <w:gridCol w:w="595"/>
        <w:gridCol w:w="15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80" w:type="dxa"/>
            <w:gridSpan w:val="4"/>
            <w:tcBorders>
              <w:top w:val="single" w:color="auto" w:sz="4" w:space="0"/>
              <w:left w:val="single" w:color="auto" w:sz="4" w:space="0"/>
              <w:bottom w:val="single" w:color="auto" w:sz="4" w:space="0"/>
              <w:right w:val="single" w:color="auto" w:sz="4" w:space="0"/>
            </w:tcBorders>
            <w:vAlign w:val="bottom"/>
          </w:tcPr>
          <w:p>
            <w:pPr>
              <w:widowControl/>
              <w:spacing w:line="560" w:lineRule="exact"/>
              <w:rPr>
                <w:rFonts w:eastAsia="黑体"/>
                <w:kern w:val="0"/>
                <w:szCs w:val="21"/>
              </w:rPr>
            </w:pPr>
            <w:r>
              <w:rPr>
                <w:kern w:val="0"/>
                <w:szCs w:val="21"/>
              </w:rPr>
              <w:t>部门（单位）名称：</w:t>
            </w:r>
            <w:r>
              <w:rPr>
                <w:rFonts w:eastAsia="黑体"/>
                <w:kern w:val="0"/>
                <w:szCs w:val="21"/>
              </w:rPr>
              <w:t>　</w:t>
            </w:r>
            <w:r>
              <w:rPr>
                <w:rFonts w:hint="eastAsia" w:eastAsia="黑体"/>
                <w:kern w:val="0"/>
                <w:szCs w:val="21"/>
              </w:rPr>
              <w:t>炎陵县审计局</w:t>
            </w:r>
          </w:p>
        </w:tc>
        <w:tc>
          <w:tcPr>
            <w:tcW w:w="4760" w:type="dxa"/>
            <w:gridSpan w:val="2"/>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单位负责人</w:t>
            </w:r>
            <w:r>
              <w:rPr>
                <w:rFonts w:hint="eastAsia"/>
                <w:kern w:val="0"/>
                <w:szCs w:val="21"/>
              </w:rPr>
              <w:t>：古红果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3"/>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 xml:space="preserve">年末职工人数： </w:t>
            </w:r>
            <w:r>
              <w:rPr>
                <w:rFonts w:hint="eastAsia"/>
                <w:kern w:val="0"/>
                <w:szCs w:val="21"/>
              </w:rPr>
              <w:t>19</w:t>
            </w:r>
            <w:r>
              <w:rPr>
                <w:kern w:val="0"/>
                <w:szCs w:val="21"/>
              </w:rPr>
              <w:t xml:space="preserve"> 人（人员编制：</w:t>
            </w:r>
            <w:r>
              <w:rPr>
                <w:rFonts w:hint="eastAsia"/>
                <w:kern w:val="0"/>
                <w:szCs w:val="21"/>
              </w:rPr>
              <w:t>23</w:t>
            </w:r>
            <w:r>
              <w:rPr>
                <w:kern w:val="0"/>
                <w:szCs w:val="21"/>
              </w:rPr>
              <w:t>人）</w:t>
            </w:r>
          </w:p>
        </w:tc>
        <w:tc>
          <w:tcPr>
            <w:tcW w:w="5355" w:type="dxa"/>
            <w:gridSpan w:val="3"/>
            <w:tcBorders>
              <w:top w:val="single" w:color="auto" w:sz="4" w:space="0"/>
              <w:left w:val="single" w:color="auto" w:sz="4" w:space="0"/>
              <w:bottom w:val="single" w:color="auto" w:sz="4" w:space="0"/>
              <w:right w:val="single" w:color="auto" w:sz="4" w:space="0"/>
            </w:tcBorders>
            <w:vAlign w:val="bottom"/>
          </w:tcPr>
          <w:p>
            <w:pPr>
              <w:widowControl/>
              <w:spacing w:line="560" w:lineRule="exact"/>
              <w:rPr>
                <w:kern w:val="0"/>
                <w:szCs w:val="21"/>
              </w:rPr>
            </w:pPr>
            <w:r>
              <w:rPr>
                <w:kern w:val="0"/>
                <w:szCs w:val="21"/>
              </w:rPr>
              <w:t>年末资产总额：</w:t>
            </w:r>
            <w:r>
              <w:rPr>
                <w:rFonts w:hint="eastAsia"/>
                <w:kern w:val="0"/>
                <w:szCs w:val="21"/>
              </w:rPr>
              <w:t>151.88</w:t>
            </w:r>
            <w:r>
              <w:rPr>
                <w:kern w:val="0"/>
                <w:szCs w:val="21"/>
              </w:rPr>
              <w:t xml:space="preserve"> 万元；负债总额： </w:t>
            </w:r>
            <w:r>
              <w:rPr>
                <w:rFonts w:hint="eastAsia"/>
                <w:kern w:val="0"/>
                <w:szCs w:val="21"/>
              </w:rPr>
              <w:t>53.33</w:t>
            </w:r>
            <w:r>
              <w:rPr>
                <w:kern w:val="0"/>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年度预算收支情况</w:t>
            </w:r>
            <w:r>
              <w:rPr>
                <w:kern w:val="0"/>
                <w:szCs w:val="21"/>
              </w:rPr>
              <w:br w:type="textWrapping"/>
            </w:r>
            <w:r>
              <w:rPr>
                <w:kern w:val="0"/>
                <w:szCs w:val="21"/>
              </w:rPr>
              <w:t>（万元）</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年初预算资金：</w:t>
            </w:r>
            <w:r>
              <w:rPr>
                <w:rFonts w:hint="eastAsia"/>
                <w:kern w:val="0"/>
                <w:szCs w:val="21"/>
              </w:rPr>
              <w:t>253.87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年度收入总额：</w:t>
            </w:r>
            <w:r>
              <w:rPr>
                <w:rFonts w:hint="eastAsia"/>
                <w:kern w:val="0"/>
                <w:szCs w:val="21"/>
              </w:rPr>
              <w:t>485.39</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年度支出总额：</w:t>
            </w:r>
            <w:r>
              <w:rPr>
                <w:rFonts w:hint="eastAsia"/>
                <w:kern w:val="0"/>
                <w:szCs w:val="21"/>
              </w:rPr>
              <w:t>485.39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ind w:firstLine="105" w:firstLineChars="50"/>
              <w:jc w:val="left"/>
              <w:rPr>
                <w:kern w:val="0"/>
                <w:szCs w:val="21"/>
              </w:rPr>
            </w:pPr>
            <w:r>
              <w:rPr>
                <w:kern w:val="0"/>
                <w:szCs w:val="21"/>
              </w:rPr>
              <w:t>其中：  公共财政拨款：</w:t>
            </w:r>
            <w:r>
              <w:rPr>
                <w:rFonts w:hint="eastAsia"/>
                <w:kern w:val="0"/>
                <w:szCs w:val="21"/>
              </w:rPr>
              <w:t>485.39</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其中： 基本支出：</w:t>
            </w:r>
            <w:r>
              <w:rPr>
                <w:rFonts w:hint="eastAsia"/>
                <w:kern w:val="0"/>
                <w:szCs w:val="21"/>
              </w:rPr>
              <w:t>485.39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政府性基金拨款：</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纳入专户管理的非税收入拨款：</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3940" w:type="dxa"/>
            <w:gridSpan w:val="4"/>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r>
              <w:rPr>
                <w:kern w:val="0"/>
                <w:szCs w:val="21"/>
              </w:rPr>
              <w:t xml:space="preserve">                  其他资金：</w:t>
            </w:r>
          </w:p>
        </w:tc>
        <w:tc>
          <w:tcPr>
            <w:tcW w:w="3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部门职能职责概述</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641"/>
              <w:rPr>
                <w:rFonts w:asciiTheme="minorEastAsia" w:hAnsiTheme="minorEastAsia" w:eastAsiaTheme="minorEastAsia"/>
                <w:kern w:val="0"/>
                <w:szCs w:val="21"/>
              </w:rPr>
            </w:pPr>
            <w:r>
              <w:rPr>
                <w:rFonts w:hint="eastAsia" w:asciiTheme="minorEastAsia" w:hAnsiTheme="minorEastAsia" w:eastAsiaTheme="minorEastAsia"/>
                <w:szCs w:val="21"/>
              </w:rPr>
              <w:t>一是依据《中华人民共和国审计法》、《中华人民共和国预算法》的规定，审计监督县本级财政预算执行情况和其他财政收支。二是根据上级审计机关和县委、县政府的安排对全县行政、事业单位，社会团体的财政财务收支及国有企业的财务收支情况进行审计。三是根据县委、县政府的委托，对科级党政领导干部、国有企业的领导人进行任期经济责任审计和领导干部自然资源资产审计。四是审计监督政府部门管理的和其他单位受政府委托管理的社会保障基金、社会捐赠资金以及其他有关基金、资金的财务收支。五是根据《中华人民共和国审计法》对全县政府投资和以县政府投资为主的建设项目进行审计监督。六是审计监督国家法律法规规定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整体绩效目标</w:t>
            </w:r>
          </w:p>
        </w:tc>
        <w:tc>
          <w:tcPr>
            <w:tcW w:w="7140"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szCs w:val="21"/>
              </w:rPr>
            </w:pPr>
            <w:r>
              <w:rPr>
                <w:rFonts w:hint="eastAsia" w:ascii="宋体" w:hAnsi="宋体" w:cs="宋体"/>
                <w:szCs w:val="21"/>
              </w:rPr>
              <w:t>1.审计业务工作：完成年初制定的审计项目计划，完成市局下达的审计信息和审计宣传任务，按时完成审计统计和综合工作。</w:t>
            </w:r>
          </w:p>
          <w:p>
            <w:pPr>
              <w:spacing w:line="300" w:lineRule="exact"/>
              <w:rPr>
                <w:rFonts w:ascii="宋体" w:hAnsi="宋体" w:cs="宋体"/>
                <w:szCs w:val="21"/>
              </w:rPr>
            </w:pPr>
            <w:r>
              <w:rPr>
                <w:rFonts w:hint="eastAsia" w:ascii="宋体" w:hAnsi="宋体" w:cs="宋体"/>
                <w:szCs w:val="21"/>
              </w:rPr>
              <w:t>2.计算机审计工作：完成5个完全利用AO进行审计的项目，全年至少举行一次AO系统操作培训。</w:t>
            </w:r>
          </w:p>
          <w:p>
            <w:pPr>
              <w:spacing w:line="300" w:lineRule="exact"/>
              <w:rPr>
                <w:rFonts w:ascii="宋体" w:hAnsi="宋体" w:cs="宋体"/>
                <w:szCs w:val="21"/>
              </w:rPr>
            </w:pPr>
            <w:r>
              <w:rPr>
                <w:rFonts w:hint="eastAsia" w:ascii="宋体" w:hAnsi="宋体" w:cs="宋体"/>
                <w:szCs w:val="21"/>
              </w:rPr>
              <w:t>3.工作质量方面：制定审计方案，下达审计通知，审计证据充分，审计工作底稿完整，执行审计复核，出具审计报告征求意见稿，按规定进行会议审定，并出具结论性文书。4.队伍建设：一是抓实学习教育。深入推进“不忘初心、牢记使命”主题教育，用党的创新理论武装干部头脑，指导新时期审计改革创新发展。二是抓好制度建设。结合实际，进一步完善了党建、质量控制、投资审计等制度，汇编成册，以制度管人。三是抓强干部培训。以多样化形式加大审计干部的培训力度。提高审计干部的综合素质。</w:t>
            </w:r>
          </w:p>
          <w:p>
            <w:pPr>
              <w:spacing w:line="3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部门整体支出</w:t>
            </w:r>
          </w:p>
          <w:p>
            <w:pPr>
              <w:widowControl/>
              <w:spacing w:line="560" w:lineRule="exact"/>
              <w:jc w:val="center"/>
              <w:rPr>
                <w:kern w:val="0"/>
                <w:szCs w:val="21"/>
              </w:rPr>
            </w:pPr>
            <w:r>
              <w:rPr>
                <w:kern w:val="0"/>
                <w:szCs w:val="21"/>
              </w:rPr>
              <w:t>年度绩效指标</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产出指标</w:t>
            </w:r>
          </w:p>
        </w:tc>
        <w:tc>
          <w:tcPr>
            <w:tcW w:w="5940"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ascii="宋体" w:hAnsi="宋体"/>
                <w:szCs w:val="21"/>
              </w:rPr>
            </w:pPr>
            <w:r>
              <w:rPr>
                <w:rFonts w:hint="eastAsia" w:ascii="宋体" w:hAnsi="宋体"/>
                <w:szCs w:val="21"/>
              </w:rPr>
              <w:t>指标1（部门重点支出占部门整体支出的比例）：19%</w:t>
            </w:r>
          </w:p>
          <w:p>
            <w:pPr>
              <w:snapToGrid w:val="0"/>
              <w:spacing w:line="360" w:lineRule="exact"/>
              <w:jc w:val="left"/>
              <w:rPr>
                <w:rFonts w:ascii="宋体" w:hAnsi="宋体"/>
                <w:szCs w:val="21"/>
              </w:rPr>
            </w:pPr>
            <w:r>
              <w:rPr>
                <w:rFonts w:hint="eastAsia" w:ascii="宋体" w:hAnsi="宋体"/>
                <w:szCs w:val="21"/>
              </w:rPr>
              <w:t>指标2（三公经费增减率）：公务接待费下降43.67%</w:t>
            </w:r>
          </w:p>
          <w:p>
            <w:pPr>
              <w:snapToGrid w:val="0"/>
              <w:spacing w:line="360" w:lineRule="exact"/>
              <w:jc w:val="left"/>
              <w:rPr>
                <w:rFonts w:ascii="宋体" w:hAnsi="宋体"/>
                <w:szCs w:val="21"/>
              </w:rPr>
            </w:pPr>
            <w:r>
              <w:rPr>
                <w:rFonts w:hint="eastAsia" w:ascii="宋体" w:hAnsi="宋体"/>
                <w:szCs w:val="21"/>
              </w:rPr>
              <w:t>指标3（部门整体支出支付进度）：100%</w:t>
            </w:r>
          </w:p>
          <w:p>
            <w:pPr>
              <w:snapToGrid w:val="0"/>
              <w:spacing w:line="360" w:lineRule="exact"/>
              <w:jc w:val="left"/>
              <w:rPr>
                <w:rFonts w:ascii="宋体" w:hAnsi="宋体"/>
                <w:szCs w:val="21"/>
              </w:rPr>
            </w:pPr>
            <w:r>
              <w:rPr>
                <w:rFonts w:hint="eastAsia" w:ascii="宋体" w:hAnsi="宋体"/>
                <w:szCs w:val="21"/>
              </w:rPr>
              <w:t>指标4（结转结余资金增减率）：0%</w:t>
            </w:r>
          </w:p>
          <w:p>
            <w:pPr>
              <w:snapToGrid w:val="0"/>
              <w:spacing w:line="360" w:lineRule="exact"/>
              <w:jc w:val="left"/>
              <w:rPr>
                <w:rFonts w:ascii="宋体" w:hAnsi="宋体"/>
                <w:szCs w:val="21"/>
              </w:rPr>
            </w:pPr>
            <w:r>
              <w:rPr>
                <w:rFonts w:hint="eastAsia" w:ascii="宋体" w:hAnsi="宋体"/>
                <w:szCs w:val="21"/>
              </w:rPr>
              <w:t>指标5（部门预决算和三公经费预决算公开）：已公开</w:t>
            </w:r>
          </w:p>
          <w:p>
            <w:pPr>
              <w:snapToGrid w:val="0"/>
              <w:spacing w:line="360" w:lineRule="exact"/>
              <w:jc w:val="left"/>
              <w:rPr>
                <w:rFonts w:ascii="宋体" w:hAnsi="宋体"/>
                <w:szCs w:val="21"/>
              </w:rPr>
            </w:pPr>
            <w:r>
              <w:rPr>
                <w:rFonts w:hint="eastAsia" w:ascii="宋体" w:hAnsi="宋体"/>
                <w:szCs w:val="21"/>
              </w:rPr>
              <w:t>指标6（政府采购执行率）：100%</w:t>
            </w:r>
          </w:p>
          <w:p>
            <w:pPr>
              <w:snapToGrid w:val="0"/>
              <w:spacing w:line="360" w:lineRule="exact"/>
              <w:jc w:val="left"/>
              <w:rPr>
                <w:kern w:val="0"/>
                <w:szCs w:val="21"/>
              </w:rPr>
            </w:pPr>
            <w:r>
              <w:rPr>
                <w:rFonts w:hint="eastAsia" w:ascii="宋体" w:hAnsi="宋体"/>
                <w:szCs w:val="21"/>
              </w:rPr>
              <w:t>指标7（重点工作办结率）：100%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3"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效益指标</w:t>
            </w:r>
          </w:p>
        </w:tc>
        <w:tc>
          <w:tcPr>
            <w:tcW w:w="5940" w:type="dxa"/>
            <w:gridSpan w:val="4"/>
            <w:tcBorders>
              <w:top w:val="single" w:color="auto" w:sz="4" w:space="0"/>
              <w:left w:val="single" w:color="auto" w:sz="4" w:space="0"/>
              <w:bottom w:val="nil"/>
              <w:right w:val="single" w:color="auto" w:sz="4" w:space="0"/>
            </w:tcBorders>
          </w:tcPr>
          <w:p>
            <w:pPr>
              <w:snapToGrid w:val="0"/>
              <w:spacing w:line="276" w:lineRule="auto"/>
              <w:ind w:firstLine="420" w:firstLineChars="200"/>
              <w:jc w:val="left"/>
              <w:rPr>
                <w:rFonts w:ascii="宋体" w:hAnsi="宋体"/>
                <w:kern w:val="0"/>
                <w:szCs w:val="21"/>
              </w:rPr>
            </w:pPr>
            <w:r>
              <w:rPr>
                <w:rFonts w:hint="eastAsia" w:ascii="宋体" w:hAnsi="宋体" w:cs="宋体"/>
                <w:kern w:val="0"/>
                <w:szCs w:val="21"/>
              </w:rPr>
              <w:t>依据全国、省、市审计工作会议统一部署，结合炎陵县实际，2020年年初安排了财政财务、经责、</w:t>
            </w:r>
            <w:r>
              <w:rPr>
                <w:rFonts w:hint="eastAsia" w:ascii="宋体" w:hAnsi="宋体"/>
                <w:bCs/>
                <w:szCs w:val="21"/>
              </w:rPr>
              <w:t>政府投资项目决算</w:t>
            </w:r>
            <w:r>
              <w:rPr>
                <w:rFonts w:hint="eastAsia" w:ascii="宋体" w:hAnsi="宋体" w:cs="宋体"/>
                <w:kern w:val="0"/>
                <w:szCs w:val="21"/>
              </w:rPr>
              <w:t>等审计项目21个，投资结算审计项目35个。</w:t>
            </w:r>
            <w:r>
              <w:rPr>
                <w:rFonts w:hint="eastAsia" w:ascii="宋体" w:hAnsi="宋体" w:cs="宋体"/>
                <w:color w:val="000000"/>
                <w:szCs w:val="21"/>
              </w:rPr>
              <w:t>2020年，我单位依法审计，认真履行单位职责。</w:t>
            </w:r>
            <w:r>
              <w:rPr>
                <w:rFonts w:hint="eastAsia" w:ascii="宋体" w:hAnsi="宋体" w:cs="宋体"/>
                <w:szCs w:val="21"/>
              </w:rPr>
              <w:t>一是深化本级预算执行审计，坚持构建“大财政”审计理念，以县本级预算执行情况为重点，以财政财务收支的真实性、合法性、效益性为基础，促进加强财政管理、完善预算制度、规范资金分配、提高财政资金使用绩效，着力揭示政府性资金收、支、管、用等流程控制环节中存在的突出问题，推动党的政策贯彻落实；二是抓实扶贫领域审计，坚持把脱贫攻坚巩固提升作为头等大事、民生工程来抓，突出对扶贫领域政策落实情况审计和问题整改落实的督促检查，更好发挥审计推动全面打赢脱贫攻坚战的积极作用。同时，我局将扶贫领域审计与其他审计项目有机结合，列为各审计项目规定内容，使扶贫审计常态化、制度化；三是突出专项资金审计，坚持从群众普遍关注的热点难点问题入手，突出重点民生资金、民生项目审计；四是推进经济责任审计，坚持把经济责任审计作为加强干部监督和管理的重要举措，重点关注了领导干部推动本部门科学发展和“履职、尽责、守法、守规”情况，有效促进了领导干部树立正确的世界观、价值观和政绩观；五是加强政府投资审计，坚持把政府投资项目作为审计监督的重点，规范建设程序，提升投资效益。突出对重点和重大项目跟踪审计，着力关注工程量真实性、程序合法性、工程绩效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2" w:hRule="atLeast"/>
          <w:jc w:val="center"/>
        </w:trPr>
        <w:tc>
          <w:tcPr>
            <w:tcW w:w="25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b/>
                <w:bCs/>
                <w:kern w:val="0"/>
                <w:szCs w:val="21"/>
              </w:rPr>
            </w:pPr>
            <w:r>
              <w:rPr>
                <w:b/>
                <w:bCs/>
                <w:kern w:val="0"/>
                <w:szCs w:val="21"/>
              </w:rPr>
              <w:t>单位自评情况分析及</w:t>
            </w:r>
            <w:r>
              <w:rPr>
                <w:rFonts w:hint="eastAsia"/>
                <w:b/>
                <w:bCs/>
                <w:kern w:val="0"/>
                <w:szCs w:val="21"/>
              </w:rPr>
              <w:t xml:space="preserve">  </w:t>
            </w:r>
            <w:r>
              <w:rPr>
                <w:b/>
                <w:bCs/>
                <w:kern w:val="0"/>
                <w:szCs w:val="21"/>
              </w:rPr>
              <w:t>结论</w:t>
            </w:r>
          </w:p>
        </w:tc>
        <w:tc>
          <w:tcPr>
            <w:tcW w:w="7140" w:type="dxa"/>
            <w:gridSpan w:val="5"/>
            <w:tcBorders>
              <w:top w:val="single" w:color="auto" w:sz="4" w:space="0"/>
              <w:left w:val="single" w:color="auto" w:sz="4" w:space="0"/>
              <w:bottom w:val="single" w:color="auto" w:sz="4" w:space="0"/>
              <w:right w:val="single" w:color="auto" w:sz="4" w:space="0"/>
            </w:tcBorders>
          </w:tcPr>
          <w:p>
            <w:pPr>
              <w:pStyle w:val="7"/>
              <w:widowControl/>
              <w:spacing w:line="520" w:lineRule="exact"/>
              <w:ind w:firstLine="0" w:firstLineChars="0"/>
              <w:jc w:val="left"/>
              <w:rPr>
                <w:b/>
                <w:bCs/>
                <w:kern w:val="0"/>
                <w:sz w:val="24"/>
              </w:rPr>
            </w:pPr>
            <w:r>
              <w:rPr>
                <w:rFonts w:hint="eastAsia" w:ascii="宋体" w:hAnsi="宋体" w:cs="宋体"/>
                <w:kern w:val="0"/>
                <w:szCs w:val="21"/>
              </w:rPr>
              <w:t>1、支出情况分析：</w:t>
            </w:r>
            <w:r>
              <w:rPr>
                <w:rFonts w:hint="eastAsia" w:ascii="宋体" w:hAnsi="宋体" w:cs="宋体"/>
                <w:szCs w:val="21"/>
              </w:rPr>
              <w:t>2020年度支出共计485.39万元，比上年支出333.6万元增加了151.79万元，增加45.5%。其中：人员经费255.41万元，占比52.62%，比上年人员经费225.64万元增加29.77万元；日常公用经费229.98万元，占比47.38%，比上年日常公用经费</w:t>
            </w:r>
            <w:r>
              <w:rPr>
                <w:rFonts w:hint="eastAsia" w:ascii="宋体" w:hAnsi="宋体" w:cs="宋体"/>
                <w:szCs w:val="21"/>
                <w:lang w:val="en-US" w:eastAsia="zh-CN"/>
              </w:rPr>
              <w:t>107</w:t>
            </w:r>
            <w:r>
              <w:rPr>
                <w:rFonts w:hint="eastAsia" w:ascii="宋体" w:hAnsi="宋体" w:cs="宋体"/>
                <w:szCs w:val="21"/>
              </w:rPr>
              <w:t>.9</w:t>
            </w:r>
            <w:r>
              <w:rPr>
                <w:rFonts w:hint="eastAsia" w:ascii="宋体" w:hAnsi="宋体" w:cs="宋体"/>
                <w:szCs w:val="21"/>
                <w:lang w:val="en-US" w:eastAsia="zh-CN"/>
              </w:rPr>
              <w:t>6</w:t>
            </w:r>
            <w:r>
              <w:rPr>
                <w:rFonts w:hint="eastAsia" w:ascii="宋体" w:hAnsi="宋体" w:cs="宋体"/>
                <w:szCs w:val="21"/>
              </w:rPr>
              <w:t>万元增加</w:t>
            </w:r>
            <w:r>
              <w:rPr>
                <w:rFonts w:hint="eastAsia" w:ascii="宋体" w:hAnsi="宋体" w:cs="宋体"/>
                <w:szCs w:val="21"/>
                <w:lang w:val="en-US" w:eastAsia="zh-CN"/>
              </w:rPr>
              <w:t>122.03</w:t>
            </w:r>
            <w:r>
              <w:rPr>
                <w:rFonts w:hint="eastAsia" w:ascii="宋体" w:hAnsi="宋体" w:cs="宋体"/>
                <w:szCs w:val="21"/>
              </w:rPr>
              <w:t>万元。人员经费增加的主要原因是增加在职人员2人和增加了抚恤金支出；日常公共经费支出增加的主要原因是增加了非税收入拨款和政府投资项目审计专项经费。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7140" w:type="dxa"/>
            <w:gridSpan w:val="5"/>
            <w:tcBorders>
              <w:top w:val="single" w:color="auto" w:sz="4" w:space="0"/>
              <w:left w:val="single" w:color="auto" w:sz="4" w:space="0"/>
              <w:bottom w:val="single" w:color="auto" w:sz="4" w:space="0"/>
              <w:right w:val="single" w:color="auto" w:sz="4" w:space="0"/>
            </w:tcBorders>
          </w:tcPr>
          <w:p>
            <w:pPr>
              <w:spacing w:line="600" w:lineRule="exact"/>
              <w:rPr>
                <w:kern w:val="0"/>
                <w:sz w:val="24"/>
              </w:rPr>
            </w:pPr>
            <w:r>
              <w:rPr>
                <w:rFonts w:hint="eastAsia" w:ascii="宋体" w:hAnsi="宋体" w:cs="宋体"/>
                <w:kern w:val="0"/>
                <w:szCs w:val="21"/>
              </w:rPr>
              <w:t>2、绩效目标完成情况分析：</w:t>
            </w:r>
            <w:r>
              <w:rPr>
                <w:rFonts w:hint="eastAsia" w:ascii="宋体" w:hAnsi="宋体" w:cs="宋体"/>
                <w:bCs/>
                <w:kern w:val="0"/>
                <w:szCs w:val="21"/>
              </w:rPr>
              <w:t>2020年度我单位强化审计监督，发挥职能作用。</w:t>
            </w:r>
            <w:r>
              <w:rPr>
                <w:rFonts w:hint="eastAsia" w:ascii="宋体" w:hAnsi="宋体" w:cs="宋体"/>
                <w:szCs w:val="21"/>
              </w:rPr>
              <w:t>全年共开展审计及审计调查74个，其中财政预算执行和财政财务收支审计3个，扶贫领域审计1个，专项审计调查3个，经济责任审计7个，重点项目审计2个，政府投资项目结算审计58个，审计查出管理不规范金额9281万元，核减政府投资2904万元，提出审计建议51条，审计专题汇报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2500" w:type="dxa"/>
            <w:vMerge w:val="continue"/>
            <w:tcBorders>
              <w:top w:val="single" w:color="auto" w:sz="4" w:space="0"/>
              <w:left w:val="single" w:color="auto" w:sz="4" w:space="0"/>
              <w:bottom w:val="single" w:color="auto" w:sz="4" w:space="0"/>
              <w:right w:val="single" w:color="auto" w:sz="4" w:space="0"/>
            </w:tcBorders>
            <w:vAlign w:val="center"/>
          </w:tcPr>
          <w:p/>
        </w:tc>
        <w:tc>
          <w:tcPr>
            <w:tcW w:w="7140" w:type="dxa"/>
            <w:gridSpan w:val="5"/>
            <w:tcBorders>
              <w:top w:val="single" w:color="auto" w:sz="4" w:space="0"/>
              <w:left w:val="single" w:color="auto" w:sz="4" w:space="0"/>
              <w:bottom w:val="single" w:color="auto" w:sz="4" w:space="0"/>
              <w:right w:val="single" w:color="auto" w:sz="4" w:space="0"/>
            </w:tcBorders>
          </w:tcPr>
          <w:p>
            <w:pPr>
              <w:spacing w:line="600" w:lineRule="exact"/>
              <w:rPr>
                <w:kern w:val="0"/>
                <w:sz w:val="24"/>
              </w:rPr>
            </w:pPr>
            <w:r>
              <w:rPr>
                <w:rFonts w:hint="eastAsia" w:ascii="宋体" w:hAnsi="宋体" w:cs="宋体"/>
                <w:kern w:val="0"/>
                <w:szCs w:val="21"/>
              </w:rPr>
              <w:t>3、自我评价结论：2019年度本单位各项指标完成良好，自评为优秀。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存在的问题</w:t>
            </w:r>
          </w:p>
        </w:tc>
        <w:tc>
          <w:tcPr>
            <w:tcW w:w="7140" w:type="dxa"/>
            <w:gridSpan w:val="5"/>
            <w:tcBorders>
              <w:top w:val="single" w:color="auto" w:sz="4" w:space="0"/>
              <w:left w:val="single" w:color="auto" w:sz="4" w:space="0"/>
              <w:bottom w:val="single" w:color="auto" w:sz="4" w:space="0"/>
              <w:right w:val="single" w:color="auto" w:sz="4" w:space="0"/>
            </w:tcBorders>
            <w:vAlign w:val="bottom"/>
          </w:tcPr>
          <w:p>
            <w:pPr>
              <w:spacing w:line="700" w:lineRule="exact"/>
              <w:rPr>
                <w:kern w:val="0"/>
                <w:szCs w:val="21"/>
              </w:rPr>
            </w:pPr>
            <w:r>
              <w:rPr>
                <w:rFonts w:hint="eastAsia" w:ascii="宋体" w:hAnsi="宋体"/>
                <w:szCs w:val="21"/>
              </w:rPr>
              <w:t>每年年初审计项目计划之外都存在新增项目的情况，年度工作任务明显增大，且因为人员不够需聘请临时审计人员，各项支出明显增加，造成单位经费非常紧张。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kern w:val="0"/>
                <w:szCs w:val="21"/>
              </w:rPr>
              <w:t>改进措施与建议</w:t>
            </w:r>
          </w:p>
        </w:tc>
        <w:tc>
          <w:tcPr>
            <w:tcW w:w="7140" w:type="dxa"/>
            <w:gridSpan w:val="5"/>
            <w:tcBorders>
              <w:top w:val="single" w:color="auto" w:sz="4" w:space="0"/>
              <w:left w:val="single" w:color="auto" w:sz="4" w:space="0"/>
              <w:bottom w:val="single" w:color="auto" w:sz="4" w:space="0"/>
              <w:right w:val="single" w:color="auto" w:sz="4" w:space="0"/>
            </w:tcBorders>
            <w:vAlign w:val="bottom"/>
          </w:tcPr>
          <w:p>
            <w:pPr>
              <w:spacing w:line="700" w:lineRule="exact"/>
              <w:rPr>
                <w:kern w:val="0"/>
                <w:szCs w:val="21"/>
              </w:rPr>
            </w:pPr>
            <w:r>
              <w:rPr>
                <w:rFonts w:hint="eastAsia" w:ascii="宋体" w:hAnsi="宋体"/>
                <w:kern w:val="0"/>
                <w:szCs w:val="21"/>
              </w:rPr>
              <w:t>一是合理安排收支预算，严格预算管理。按照“以收定支，量入为出，保证重点，兼顾一般”的原则，科学合理编制部门预算，使预算更加切合实际。进一步细化预算，严格执行，增强预算约束意识，提高科学化、精细化预算管理水平。二是规范财务行为，提高会计基础工作质量。严格执行财经纪律和各项财经政策，自觉接受财政、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w:t>
            </w:r>
            <w:r>
              <w:rPr>
                <w:rFonts w:hint="eastAsia" w:ascii="宋体" w:hAnsi="宋体"/>
                <w:bCs/>
                <w:kern w:val="0"/>
                <w:szCs w:val="21"/>
              </w:rPr>
              <w:t>进一步完善财政预决算、“三公经费”及重大专项公开工作。使重大项目管理制度更加科学合理，程序更加规范透明，分配更加公平公正，资金更加安全高效。鉴于工作经费紧张，建议</w:t>
            </w:r>
            <w:r>
              <w:rPr>
                <w:rFonts w:hint="eastAsia" w:ascii="宋体" w:hAnsi="宋体"/>
                <w:szCs w:val="21"/>
              </w:rPr>
              <w:t>在年初预算中适当增加经费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500"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color="auto" w:sz="4" w:space="0"/>
              <w:left w:val="single" w:color="auto" w:sz="4" w:space="0"/>
              <w:bottom w:val="single" w:color="auto" w:sz="4" w:space="0"/>
              <w:right w:val="single" w:color="auto" w:sz="4" w:space="0"/>
            </w:tcBorders>
            <w:vAlign w:val="bottom"/>
          </w:tcPr>
          <w:p>
            <w:pPr>
              <w:spacing w:line="700" w:lineRule="exact"/>
              <w:ind w:firstLine="4680" w:firstLineChars="1950"/>
              <w:jc w:val="right"/>
              <w:rPr>
                <w:kern w:val="0"/>
                <w:szCs w:val="21"/>
              </w:rPr>
            </w:pPr>
            <w:r>
              <w:rPr>
                <w:kern w:val="0"/>
                <w:sz w:val="24"/>
              </w:rPr>
              <w:t xml:space="preserve">（盖章）                                     </w:t>
            </w:r>
            <w:r>
              <w:rPr>
                <w:kern w:val="0"/>
                <w:sz w:val="24"/>
              </w:rPr>
              <w:br w:type="textWrapping"/>
            </w:r>
            <w:r>
              <w:rPr>
                <w:kern w:val="0"/>
                <w:sz w:val="24"/>
              </w:rPr>
              <w:t xml:space="preserve">                                        年    月    日</w:t>
            </w:r>
          </w:p>
        </w:tc>
      </w:tr>
    </w:tbl>
    <w:p>
      <w:pPr>
        <w:widowControl/>
        <w:tabs>
          <w:tab w:val="left" w:pos="1333"/>
          <w:tab w:val="left" w:pos="3793"/>
          <w:tab w:val="left" w:pos="5853"/>
        </w:tabs>
        <w:spacing w:line="560" w:lineRule="exact"/>
        <w:ind w:firstLine="315" w:firstLineChars="150"/>
        <w:jc w:val="left"/>
        <w:sectPr>
          <w:footerReference r:id="rId3" w:type="default"/>
          <w:pgSz w:w="11906" w:h="16838"/>
          <w:pgMar w:top="1440" w:right="1797" w:bottom="1440" w:left="1797" w:header="851" w:footer="1474" w:gutter="0"/>
          <w:pgNumType w:fmt="numberInDash"/>
          <w:cols w:space="720" w:num="1"/>
          <w:docGrid w:type="linesAndChars" w:linePitch="312" w:charSpace="0"/>
        </w:sectPr>
      </w:pPr>
      <w:r>
        <w:rPr>
          <w:kern w:val="0"/>
          <w:szCs w:val="21"/>
        </w:rPr>
        <w:t>填报人：</w:t>
      </w:r>
      <w:r>
        <w:rPr>
          <w:rFonts w:hint="eastAsia"/>
          <w:kern w:val="0"/>
          <w:szCs w:val="21"/>
        </w:rPr>
        <w:t>唐令仪</w:t>
      </w:r>
      <w:r>
        <w:rPr>
          <w:kern w:val="0"/>
          <w:szCs w:val="21"/>
        </w:rPr>
        <w:t xml:space="preserve">     联系电话：  </w:t>
      </w:r>
      <w:r>
        <w:rPr>
          <w:rFonts w:hint="eastAsia"/>
          <w:kern w:val="0"/>
          <w:szCs w:val="21"/>
        </w:rPr>
        <w:t>26239995</w:t>
      </w:r>
      <w:r>
        <w:rPr>
          <w:kern w:val="0"/>
          <w:szCs w:val="21"/>
        </w:rPr>
        <w:t xml:space="preserve">       </w:t>
      </w:r>
      <w:r>
        <w:rPr>
          <w:rFonts w:hint="eastAsia"/>
          <w:kern w:val="0"/>
          <w:szCs w:val="21"/>
        </w:rPr>
        <w:t>　　</w:t>
      </w:r>
      <w:r>
        <w:rPr>
          <w:kern w:val="0"/>
          <w:szCs w:val="21"/>
        </w:rPr>
        <w:t>填报日期：</w:t>
      </w:r>
      <w:r>
        <w:rPr>
          <w:rFonts w:hint="eastAsia"/>
        </w:rPr>
        <w:t>2021年10月8日</w:t>
      </w:r>
    </w:p>
    <w:p>
      <w:pPr>
        <w:spacing w:line="560" w:lineRule="exact"/>
        <w:rPr>
          <w:rFonts w:ascii="黑体" w:hAnsi="黑体" w:eastAsia="黑体"/>
          <w:kern w:val="0"/>
          <w:sz w:val="30"/>
          <w:szCs w:val="30"/>
        </w:rPr>
      </w:pPr>
      <w:bookmarkStart w:id="0" w:name="RANGE!A1:H22"/>
      <w:r>
        <w:rPr>
          <w:rFonts w:ascii="黑体" w:hAnsi="黑体" w:eastAsia="黑体"/>
          <w:kern w:val="0"/>
          <w:sz w:val="30"/>
          <w:szCs w:val="30"/>
        </w:rPr>
        <w:t>附件</w:t>
      </w:r>
      <w:bookmarkEnd w:id="0"/>
      <w:r>
        <w:rPr>
          <w:rFonts w:hint="eastAsia" w:ascii="黑体" w:hAnsi="黑体" w:eastAsia="黑体"/>
          <w:kern w:val="0"/>
          <w:sz w:val="30"/>
          <w:szCs w:val="30"/>
        </w:rPr>
        <w:t>4</w:t>
      </w:r>
    </w:p>
    <w:p>
      <w:pPr>
        <w:spacing w:line="560" w:lineRule="exact"/>
        <w:jc w:val="center"/>
        <w:rPr>
          <w:rFonts w:eastAsia="方正小标宋简体"/>
          <w:sz w:val="36"/>
          <w:szCs w:val="36"/>
        </w:rPr>
      </w:pPr>
      <w:r>
        <w:rPr>
          <w:rFonts w:eastAsia="方正小标宋简体"/>
          <w:sz w:val="36"/>
          <w:szCs w:val="36"/>
        </w:rPr>
        <w:t>部门整体支出绩效评价指标评分表</w:t>
      </w:r>
    </w:p>
    <w:p>
      <w:pPr>
        <w:spacing w:line="560" w:lineRule="exact"/>
        <w:jc w:val="center"/>
        <w:rPr>
          <w:rFonts w:eastAsia="方正小标宋简体"/>
          <w:sz w:val="36"/>
          <w:szCs w:val="36"/>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75"/>
        <w:gridCol w:w="426"/>
        <w:gridCol w:w="1334"/>
        <w:gridCol w:w="794"/>
        <w:gridCol w:w="4140"/>
        <w:gridCol w:w="343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79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三级指标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分值</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评价标准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备注</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黑体"/>
                <w:bCs/>
                <w:kern w:val="0"/>
                <w:szCs w:val="21"/>
              </w:rPr>
            </w:pPr>
            <w:r>
              <w:rPr>
                <w:rFonts w:eastAsia="黑体"/>
                <w:bCs/>
                <w:kern w:val="0"/>
                <w:szCs w:val="21"/>
              </w:rPr>
              <w:t>评价得分</w:t>
            </w:r>
          </w:p>
          <w:p>
            <w:pPr>
              <w:widowControl/>
              <w:jc w:val="center"/>
              <w:rPr>
                <w:rFonts w:eastAsia="黑体"/>
                <w:bCs/>
                <w:kern w:val="0"/>
                <w:szCs w:val="21"/>
              </w:rPr>
            </w:pPr>
            <w:r>
              <w:rPr>
                <w:rFonts w:eastAsia="黑体"/>
                <w:bCs/>
                <w:kern w:val="0"/>
                <w:szCs w:val="21"/>
              </w:rPr>
              <w:t>（要求列出计算过程和评分依据）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绩效目标合理性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①符合国家法律法规、国民经济和社会发展总体规划，计1分；</w:t>
            </w:r>
          </w:p>
          <w:p>
            <w:pPr>
              <w:widowControl/>
              <w:jc w:val="left"/>
              <w:rPr>
                <w:rFonts w:eastAsia="仿宋_GB2312"/>
                <w:kern w:val="0"/>
                <w:szCs w:val="21"/>
              </w:rPr>
            </w:pPr>
            <w:r>
              <w:rPr>
                <w:rFonts w:eastAsia="仿宋_GB2312"/>
                <w:kern w:val="0"/>
                <w:szCs w:val="21"/>
              </w:rPr>
              <w:t>②符合部门“三定”方案确定的职责，计1分；</w:t>
            </w:r>
          </w:p>
          <w:p>
            <w:pPr>
              <w:widowControl/>
              <w:jc w:val="left"/>
              <w:rPr>
                <w:rFonts w:eastAsia="仿宋_GB2312"/>
                <w:kern w:val="0"/>
                <w:szCs w:val="21"/>
              </w:rPr>
            </w:pPr>
            <w:r>
              <w:rPr>
                <w:rFonts w:eastAsia="仿宋_GB2312"/>
                <w:kern w:val="0"/>
                <w:szCs w:val="21"/>
              </w:rPr>
              <w:t>③符合部门制定的中长期实施规划，计1分。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宋体" w:cs="宋体"/>
                <w:kern w:val="0"/>
                <w:sz w:val="24"/>
              </w:rPr>
              <w:t>3分（①+②+③）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绩效指标明确性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①将部门整体的绩效目标细化分解为具体的工作任务，计1分；</w:t>
            </w:r>
          </w:p>
          <w:p>
            <w:pPr>
              <w:widowControl/>
              <w:jc w:val="left"/>
              <w:rPr>
                <w:rFonts w:eastAsia="仿宋_GB2312"/>
                <w:kern w:val="0"/>
                <w:szCs w:val="21"/>
              </w:rPr>
            </w:pPr>
            <w:r>
              <w:rPr>
                <w:rFonts w:eastAsia="仿宋_GB2312"/>
                <w:kern w:val="0"/>
                <w:szCs w:val="21"/>
              </w:rPr>
              <w:t>②通过清晰、可衡量的指标值予以体现，计1分；</w:t>
            </w:r>
          </w:p>
          <w:p>
            <w:pPr>
              <w:widowControl/>
              <w:jc w:val="left"/>
              <w:rPr>
                <w:rFonts w:eastAsia="仿宋_GB2312"/>
                <w:kern w:val="0"/>
                <w:szCs w:val="21"/>
              </w:rPr>
            </w:pPr>
            <w:r>
              <w:rPr>
                <w:rFonts w:eastAsia="仿宋_GB2312"/>
                <w:kern w:val="0"/>
                <w:szCs w:val="21"/>
              </w:rPr>
              <w:t>③绩效指标与部门年度的任务数和计划数相对应，计1分；</w:t>
            </w:r>
          </w:p>
          <w:p>
            <w:pPr>
              <w:widowControl/>
              <w:jc w:val="left"/>
              <w:rPr>
                <w:rFonts w:eastAsia="仿宋_GB2312"/>
                <w:kern w:val="0"/>
                <w:szCs w:val="21"/>
              </w:rPr>
            </w:pPr>
            <w:r>
              <w:rPr>
                <w:rFonts w:eastAsia="仿宋_GB2312"/>
                <w:kern w:val="0"/>
                <w:szCs w:val="21"/>
              </w:rPr>
              <w:t>④绩效目标和指标与本年度部门预算资金相匹配，计2分。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宋体" w:cs="宋体"/>
                <w:kern w:val="0"/>
                <w:sz w:val="24"/>
              </w:rPr>
              <w:t>5分（①+②+③+④）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财政供养人员</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以100%为标准。在职人员控制率</w:t>
            </w:r>
            <w:r>
              <w:rPr>
                <w:kern w:val="0"/>
                <w:szCs w:val="21"/>
              </w:rPr>
              <w:t>≦</w:t>
            </w:r>
            <w:r>
              <w:rPr>
                <w:rFonts w:eastAsia="仿宋_GB2312"/>
                <w:kern w:val="0"/>
                <w:szCs w:val="21"/>
              </w:rPr>
              <w:t>100%，计4分；每超过一个百分点扣0.4分，扣完为止。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在职人员控制率=（在职人员数/编制数）×100%，在职人员数：部门（单位）实际在职人数，以财政部门确定的部门决算编制口径为准。</w:t>
            </w:r>
            <w:r>
              <w:rPr>
                <w:rFonts w:eastAsia="仿宋_GB2312"/>
                <w:kern w:val="0"/>
                <w:szCs w:val="21"/>
              </w:rPr>
              <w:br w:type="textWrapping"/>
            </w:r>
            <w:r>
              <w:rPr>
                <w:rFonts w:eastAsia="仿宋_GB2312"/>
                <w:kern w:val="0"/>
                <w:szCs w:val="21"/>
              </w:rPr>
              <w:t>编制数：机构编制部门核定批复的部门（单位）的人员编制数。</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宋体" w:cs="宋体"/>
                <w:kern w:val="0"/>
                <w:sz w:val="24"/>
              </w:rPr>
              <w:t>4分（19人/23人*100%=83%）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变动率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“三公经费”变动率</w:t>
            </w:r>
            <w:r>
              <w:rPr>
                <w:kern w:val="0"/>
                <w:szCs w:val="21"/>
              </w:rPr>
              <w:t>≦</w:t>
            </w:r>
            <w:r>
              <w:rPr>
                <w:rFonts w:eastAsia="仿宋_GB2312"/>
                <w:kern w:val="0"/>
                <w:szCs w:val="21"/>
              </w:rPr>
              <w:t>0,计4分；“三公经费”变动率＞0，每超过一个百分点扣0.4分，扣完为止。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“三公经费”变动率=[（本年度“三公经费”总额-上年度“三公经费”总额）/上年度“三公经费”总额]×100%。</w:t>
            </w:r>
            <w:r>
              <w:rPr>
                <w:rFonts w:eastAsia="仿宋_GB2312"/>
                <w:kern w:val="0"/>
                <w:szCs w:val="21"/>
              </w:rPr>
              <w:br w:type="textWrapping"/>
            </w:r>
            <w:r>
              <w:rPr>
                <w:rFonts w:eastAsia="仿宋_GB2312"/>
                <w:kern w:val="0"/>
                <w:szCs w:val="21"/>
              </w:rPr>
              <w:t>“三公经费”：指政府部门人员因公出国（境）经费、公务车购置及运行费、公务招待费产生的消费。</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宋体" w:cs="宋体"/>
                <w:kern w:val="0"/>
                <w:sz w:val="24"/>
              </w:rPr>
              <w:t>4分[（1万元-1.31万元）/1.31万元*100%＝-23.66%]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重点支出</w:t>
            </w:r>
            <w:r>
              <w:rPr>
                <w:rFonts w:eastAsia="仿宋_GB2312"/>
                <w:kern w:val="0"/>
                <w:szCs w:val="21"/>
              </w:rPr>
              <w:br w:type="textWrapping"/>
            </w:r>
            <w:r>
              <w:rPr>
                <w:rFonts w:eastAsia="仿宋_GB2312"/>
                <w:kern w:val="0"/>
                <w:szCs w:val="21"/>
              </w:rPr>
              <w:t>安排率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重点支出安排率≥90%，计4分；</w:t>
            </w:r>
            <w:r>
              <w:rPr>
                <w:rFonts w:eastAsia="仿宋_GB2312"/>
                <w:kern w:val="0"/>
                <w:szCs w:val="21"/>
              </w:rPr>
              <w:br w:type="textWrapping"/>
            </w:r>
            <w:r>
              <w:rPr>
                <w:rFonts w:eastAsia="仿宋_GB2312"/>
                <w:kern w:val="0"/>
                <w:szCs w:val="21"/>
              </w:rPr>
              <w:t>80%（含）-90%，计3分；</w:t>
            </w:r>
            <w:r>
              <w:rPr>
                <w:rFonts w:eastAsia="仿宋_GB2312"/>
                <w:kern w:val="0"/>
                <w:szCs w:val="21"/>
              </w:rPr>
              <w:br w:type="textWrapping"/>
            </w:r>
            <w:r>
              <w:rPr>
                <w:rFonts w:eastAsia="仿宋_GB2312"/>
                <w:kern w:val="0"/>
                <w:szCs w:val="21"/>
              </w:rPr>
              <w:t>70%（含）-80%，计2分；</w:t>
            </w:r>
            <w:r>
              <w:rPr>
                <w:rFonts w:eastAsia="仿宋_GB2312"/>
                <w:kern w:val="0"/>
                <w:szCs w:val="21"/>
              </w:rPr>
              <w:br w:type="textWrapping"/>
            </w:r>
            <w:r>
              <w:rPr>
                <w:rFonts w:eastAsia="仿宋_GB2312"/>
                <w:kern w:val="0"/>
                <w:szCs w:val="21"/>
              </w:rPr>
              <w:t>60%（含）-70%，计1分；</w:t>
            </w:r>
            <w:r>
              <w:rPr>
                <w:rFonts w:eastAsia="仿宋_GB2312"/>
                <w:kern w:val="0"/>
                <w:szCs w:val="21"/>
              </w:rPr>
              <w:br w:type="textWrapping"/>
            </w:r>
            <w:r>
              <w:rPr>
                <w:rFonts w:eastAsia="仿宋_GB2312"/>
                <w:kern w:val="0"/>
                <w:szCs w:val="21"/>
              </w:rPr>
              <w:t>低于60%不得分。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重点支出安排率=（重点项目支出/项目总支出）×100%</w:t>
            </w:r>
            <w:r>
              <w:rPr>
                <w:rFonts w:eastAsia="仿宋_GB2312"/>
                <w:kern w:val="0"/>
                <w:szCs w:val="21"/>
              </w:rPr>
              <w:br w:type="textWrapping"/>
            </w:r>
            <w:r>
              <w:rPr>
                <w:rFonts w:eastAsia="仿宋_GB2312"/>
                <w:kern w:val="0"/>
                <w:szCs w:val="21"/>
              </w:rPr>
              <w:t>重点项目支出：市委、市政府确定的为民办实事和部门重点工程与重点工作支出。</w:t>
            </w:r>
            <w:r>
              <w:rPr>
                <w:rFonts w:eastAsia="仿宋_GB2312"/>
                <w:kern w:val="0"/>
                <w:szCs w:val="21"/>
              </w:rPr>
              <w:br w:type="textWrapping"/>
            </w:r>
            <w:r>
              <w:rPr>
                <w:rFonts w:eastAsia="仿宋_GB2312"/>
                <w:kern w:val="0"/>
                <w:szCs w:val="21"/>
              </w:rPr>
              <w:t>项目总支出：部门（单位）年度预算安排的项目支出总额。</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宋体" w:cs="宋体"/>
                <w:kern w:val="0"/>
                <w:sz w:val="24"/>
              </w:rPr>
              <w:t>4分（91.71万元/100万元）*100%＝91.71%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预算调整率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预算调整率=0，计4分；</w:t>
            </w:r>
            <w:r>
              <w:rPr>
                <w:rFonts w:eastAsia="仿宋_GB2312"/>
                <w:kern w:val="0"/>
                <w:szCs w:val="21"/>
              </w:rPr>
              <w:br w:type="textWrapping"/>
            </w:r>
            <w:r>
              <w:rPr>
                <w:rFonts w:eastAsia="仿宋_GB2312"/>
                <w:kern w:val="0"/>
                <w:szCs w:val="21"/>
              </w:rPr>
              <w:t>0-10%（含），计3分；</w:t>
            </w:r>
            <w:r>
              <w:rPr>
                <w:rFonts w:eastAsia="仿宋_GB2312"/>
                <w:kern w:val="0"/>
                <w:szCs w:val="21"/>
              </w:rPr>
              <w:br w:type="textWrapping"/>
            </w:r>
            <w:r>
              <w:rPr>
                <w:rFonts w:eastAsia="仿宋_GB2312"/>
                <w:kern w:val="0"/>
                <w:szCs w:val="21"/>
              </w:rPr>
              <w:t>10-20%（含），计2分；</w:t>
            </w:r>
            <w:r>
              <w:rPr>
                <w:rFonts w:eastAsia="仿宋_GB2312"/>
                <w:kern w:val="0"/>
                <w:szCs w:val="21"/>
              </w:rPr>
              <w:br w:type="textWrapping"/>
            </w:r>
            <w:r>
              <w:rPr>
                <w:rFonts w:eastAsia="仿宋_GB2312"/>
                <w:kern w:val="0"/>
                <w:szCs w:val="21"/>
              </w:rPr>
              <w:t>20-30%（含），计1分；</w:t>
            </w:r>
            <w:r>
              <w:rPr>
                <w:rFonts w:eastAsia="仿宋_GB2312"/>
                <w:kern w:val="0"/>
                <w:szCs w:val="21"/>
              </w:rPr>
              <w:br w:type="textWrapping"/>
            </w:r>
            <w:r>
              <w:rPr>
                <w:rFonts w:eastAsia="仿宋_GB2312"/>
                <w:kern w:val="0"/>
                <w:szCs w:val="21"/>
              </w:rPr>
              <w:t>大于30%不得分。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预算调整率=（预算调整数/预算数）×100%。</w:t>
            </w:r>
            <w:r>
              <w:rPr>
                <w:rFonts w:eastAsia="仿宋_GB2312"/>
                <w:kern w:val="0"/>
                <w:szCs w:val="21"/>
              </w:rPr>
              <w:br w:type="textWrapping"/>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tc>
        <w:tc>
          <w:tcPr>
            <w:tcW w:w="775" w:type="dxa"/>
            <w:vMerge w:val="continue"/>
            <w:tcBorders>
              <w:top w:val="single" w:color="auto" w:sz="4" w:space="0"/>
              <w:left w:val="single" w:color="auto" w:sz="4" w:space="0"/>
              <w:bottom w:val="single" w:color="auto" w:sz="4" w:space="0"/>
              <w:right w:val="single" w:color="auto" w:sz="4" w:space="0"/>
            </w:tcBorders>
            <w:vAlign w:val="center"/>
          </w:tcPr>
          <w:p/>
        </w:tc>
        <w:tc>
          <w:tcPr>
            <w:tcW w:w="426" w:type="dxa"/>
            <w:vMerge w:val="continue"/>
            <w:tcBorders>
              <w:top w:val="single" w:color="auto" w:sz="4" w:space="0"/>
              <w:left w:val="single" w:color="auto" w:sz="4" w:space="0"/>
              <w:bottom w:val="single" w:color="auto" w:sz="4" w:space="0"/>
              <w:right w:val="single" w:color="auto" w:sz="4" w:space="0"/>
            </w:tcBorders>
            <w:vAlign w:val="center"/>
          </w:tc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支出进度</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单位基本支出和业务性专项应按季度使用，项目资金的支出应与实施进度一致。每发现一项资金未按进度支出使用扣0.5分，扣完为止。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资金结余</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当年无结余，4分；</w:t>
            </w:r>
            <w:r>
              <w:rPr>
                <w:rFonts w:eastAsia="仿宋_GB2312"/>
                <w:kern w:val="0"/>
                <w:szCs w:val="21"/>
              </w:rPr>
              <w:br w:type="textWrapping"/>
            </w:r>
            <w:r>
              <w:rPr>
                <w:rFonts w:eastAsia="仿宋_GB2312"/>
                <w:kern w:val="0"/>
                <w:szCs w:val="21"/>
              </w:rPr>
              <w:t>当年有结余，但不超过上年结转，3分；</w:t>
            </w:r>
            <w:r>
              <w:rPr>
                <w:rFonts w:eastAsia="仿宋_GB2312"/>
                <w:kern w:val="0"/>
                <w:szCs w:val="21"/>
              </w:rPr>
              <w:br w:type="textWrapping"/>
            </w:r>
            <w:r>
              <w:rPr>
                <w:rFonts w:eastAsia="仿宋_GB2312"/>
                <w:kern w:val="0"/>
                <w:szCs w:val="21"/>
              </w:rPr>
              <w:t>当年结余超过上年结转，不得分。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4分（当年结余为0）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以100%为标准。三公经费控制率</w:t>
            </w:r>
            <w:r>
              <w:rPr>
                <w:kern w:val="0"/>
                <w:szCs w:val="21"/>
              </w:rPr>
              <w:t>≦</w:t>
            </w:r>
            <w:r>
              <w:rPr>
                <w:rFonts w:eastAsia="仿宋_GB2312"/>
                <w:kern w:val="0"/>
                <w:szCs w:val="21"/>
              </w:rPr>
              <w:t>100%，计4分；每超过一个百分点扣1分，扣完为止。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“三公经费”控制率=（“三公经费”实际支出数/“三公经费”预算安排数）×100%。</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宋体" w:cs="宋体"/>
                <w:kern w:val="0"/>
                <w:sz w:val="24"/>
              </w:rPr>
              <w:t>4分[（1万元-1.31万元）/1.31万元*100%＝-23.66%]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①已制定或具有预算资金管理办法，内部财务管理制度、会计核算制度等管理制度，2分；</w:t>
            </w:r>
            <w:r>
              <w:rPr>
                <w:rFonts w:eastAsia="仿宋_GB2312"/>
                <w:kern w:val="0"/>
                <w:szCs w:val="21"/>
              </w:rPr>
              <w:br w:type="textWrapping"/>
            </w:r>
            <w:r>
              <w:rPr>
                <w:rFonts w:eastAsia="仿宋_GB2312"/>
                <w:kern w:val="0"/>
                <w:szCs w:val="21"/>
              </w:rPr>
              <w:t>②相关管理制度合法、合规、完整，2分；</w:t>
            </w:r>
            <w:r>
              <w:rPr>
                <w:rFonts w:eastAsia="仿宋_GB2312"/>
                <w:kern w:val="0"/>
                <w:szCs w:val="21"/>
              </w:rPr>
              <w:br w:type="textWrapping"/>
            </w:r>
            <w:r>
              <w:rPr>
                <w:rFonts w:eastAsia="仿宋_GB2312"/>
                <w:kern w:val="0"/>
                <w:szCs w:val="21"/>
              </w:rPr>
              <w:t>③相关管理制度得到有效执行，2分。</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宋体" w:cs="宋体"/>
                <w:kern w:val="0"/>
                <w:sz w:val="24"/>
              </w:rPr>
              <w:t>6分（①+②+③）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资金使用</w:t>
            </w:r>
            <w:r>
              <w:rPr>
                <w:rFonts w:eastAsia="仿宋_GB2312"/>
                <w:kern w:val="0"/>
                <w:szCs w:val="21"/>
              </w:rPr>
              <w:br w:type="textWrapping"/>
            </w:r>
            <w:r>
              <w:rPr>
                <w:rFonts w:eastAsia="仿宋_GB2312"/>
                <w:kern w:val="0"/>
                <w:szCs w:val="21"/>
              </w:rPr>
              <w:t>合规性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①支出符合国家财经法规和财务管理制度规定以及有关专项资金管理办法的规定；</w:t>
            </w:r>
            <w:r>
              <w:rPr>
                <w:rFonts w:eastAsia="仿宋_GB2312"/>
                <w:kern w:val="0"/>
                <w:szCs w:val="21"/>
              </w:rPr>
              <w:br w:type="textWrapping"/>
            </w:r>
            <w:r>
              <w:rPr>
                <w:rFonts w:eastAsia="仿宋_GB2312"/>
                <w:kern w:val="0"/>
                <w:szCs w:val="21"/>
              </w:rPr>
              <w:t>②资金拨付有完整的审批程序和手续；</w:t>
            </w:r>
            <w:r>
              <w:rPr>
                <w:rFonts w:eastAsia="仿宋_GB2312"/>
                <w:kern w:val="0"/>
                <w:szCs w:val="21"/>
              </w:rPr>
              <w:br w:type="textWrapping"/>
            </w:r>
            <w:r>
              <w:rPr>
                <w:rFonts w:eastAsia="仿宋_GB2312"/>
                <w:kern w:val="0"/>
                <w:szCs w:val="21"/>
              </w:rPr>
              <w:t>③项目支出符合政府采购及基建预决算评审相关要求；</w:t>
            </w:r>
            <w:r>
              <w:rPr>
                <w:rFonts w:eastAsia="仿宋_GB2312"/>
                <w:kern w:val="0"/>
                <w:szCs w:val="21"/>
              </w:rPr>
              <w:br w:type="textWrapping"/>
            </w:r>
            <w:r>
              <w:rPr>
                <w:rFonts w:eastAsia="仿宋_GB2312"/>
                <w:kern w:val="0"/>
                <w:szCs w:val="21"/>
              </w:rPr>
              <w:t>④支出符合部门预算批复的用途；</w:t>
            </w:r>
            <w:r>
              <w:rPr>
                <w:rFonts w:eastAsia="仿宋_GB2312"/>
                <w:kern w:val="0"/>
                <w:szCs w:val="21"/>
              </w:rPr>
              <w:br w:type="textWrapping"/>
            </w:r>
            <w:r>
              <w:rPr>
                <w:rFonts w:eastAsia="仿宋_GB2312"/>
                <w:kern w:val="0"/>
                <w:szCs w:val="21"/>
              </w:rPr>
              <w:t>⑤资金使用无截留、挤占、挪用、虚列支出等情况。</w:t>
            </w:r>
            <w:r>
              <w:rPr>
                <w:rFonts w:eastAsia="仿宋_GB2312"/>
                <w:kern w:val="0"/>
                <w:szCs w:val="21"/>
              </w:rPr>
              <w:br w:type="textWrapping"/>
            </w:r>
            <w:r>
              <w:rPr>
                <w:rFonts w:eastAsia="仿宋_GB2312"/>
                <w:kern w:val="0"/>
                <w:szCs w:val="21"/>
              </w:rPr>
              <w:t>以上情况每出现一例不符合要求的扣1分，扣完为止。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宋体" w:cs="宋体"/>
                <w:kern w:val="0"/>
                <w:sz w:val="24"/>
              </w:rPr>
              <w:t>5分（①+②+③+④+⑤）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①按规定内容公开预决算信息，1分；</w:t>
            </w:r>
            <w:r>
              <w:rPr>
                <w:rFonts w:eastAsia="仿宋_GB2312"/>
                <w:kern w:val="0"/>
                <w:szCs w:val="21"/>
              </w:rPr>
              <w:br w:type="textWrapping"/>
            </w:r>
            <w:r>
              <w:rPr>
                <w:rFonts w:eastAsia="仿宋_GB2312"/>
                <w:kern w:val="0"/>
                <w:szCs w:val="21"/>
              </w:rPr>
              <w:t>②按规定时限公开预决算信息，1分；</w:t>
            </w:r>
            <w:r>
              <w:rPr>
                <w:rFonts w:eastAsia="仿宋_GB2312"/>
                <w:kern w:val="0"/>
                <w:szCs w:val="21"/>
              </w:rPr>
              <w:br w:type="textWrapping"/>
            </w:r>
            <w:r>
              <w:rPr>
                <w:rFonts w:eastAsia="仿宋_GB2312"/>
                <w:kern w:val="0"/>
                <w:szCs w:val="21"/>
              </w:rPr>
              <w:t>③基础数据信息和会计信息资料真实，1分；</w:t>
            </w:r>
            <w:r>
              <w:rPr>
                <w:rFonts w:eastAsia="仿宋_GB2312"/>
                <w:kern w:val="0"/>
                <w:szCs w:val="21"/>
              </w:rPr>
              <w:br w:type="textWrapping"/>
            </w:r>
            <w:r>
              <w:rPr>
                <w:rFonts w:eastAsia="仿宋_GB2312"/>
                <w:kern w:val="0"/>
                <w:szCs w:val="21"/>
              </w:rPr>
              <w:t>④基础数据信息和会计信息资料完整，1分；</w:t>
            </w:r>
            <w:r>
              <w:rPr>
                <w:rFonts w:eastAsia="仿宋_GB2312"/>
                <w:kern w:val="0"/>
                <w:szCs w:val="21"/>
              </w:rPr>
              <w:br w:type="textWrapping"/>
            </w:r>
            <w:r>
              <w:rPr>
                <w:rFonts w:eastAsia="仿宋_GB2312"/>
                <w:kern w:val="0"/>
                <w:szCs w:val="21"/>
              </w:rPr>
              <w:t xml:space="preserve">⑤基础数据信息和汇集信息资料准确，1分。                                            </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预决算信息是指与部门预算、执行、决算、监督、绩效等管理相关的信息。                                            </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宋体" w:cs="宋体"/>
                <w:kern w:val="0"/>
                <w:sz w:val="24"/>
              </w:rPr>
              <w:t>5分（①+②+③+④+⑤）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①已制定或具有资产管理制度，1分；</w:t>
            </w:r>
            <w:r>
              <w:rPr>
                <w:rFonts w:eastAsia="仿宋_GB2312"/>
                <w:kern w:val="0"/>
                <w:szCs w:val="21"/>
              </w:rPr>
              <w:br w:type="textWrapping"/>
            </w:r>
            <w:r>
              <w:rPr>
                <w:rFonts w:eastAsia="仿宋_GB2312"/>
                <w:kern w:val="0"/>
                <w:szCs w:val="21"/>
              </w:rPr>
              <w:t>②相关资产管理制度合法、合规、完整，1分；</w:t>
            </w:r>
            <w:r>
              <w:rPr>
                <w:rFonts w:eastAsia="仿宋_GB2312"/>
                <w:kern w:val="0"/>
                <w:szCs w:val="21"/>
              </w:rPr>
              <w:br w:type="textWrapping"/>
            </w:r>
            <w:r>
              <w:rPr>
                <w:rFonts w:eastAsia="仿宋_GB2312"/>
                <w:kern w:val="0"/>
                <w:szCs w:val="21"/>
              </w:rPr>
              <w:t xml:space="preserve">③相关资产管理制度得到有效执行，2分。                                           </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ascii="宋体" w:cs="宋体"/>
                <w:kern w:val="0"/>
                <w:sz w:val="24"/>
              </w:rPr>
              <w:t>4分（①+②+③）</w:t>
            </w: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资产管理</w:t>
            </w:r>
            <w:r>
              <w:rPr>
                <w:rFonts w:eastAsia="仿宋_GB2312"/>
                <w:kern w:val="0"/>
                <w:szCs w:val="21"/>
              </w:rPr>
              <w:br w:type="textWrapping"/>
            </w:r>
            <w:r>
              <w:rPr>
                <w:rFonts w:eastAsia="仿宋_GB2312"/>
                <w:kern w:val="0"/>
                <w:szCs w:val="21"/>
              </w:rPr>
              <w:t>安全性</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①资产保存完整；</w:t>
            </w:r>
            <w:r>
              <w:rPr>
                <w:rFonts w:eastAsia="仿宋_GB2312"/>
                <w:kern w:val="0"/>
                <w:szCs w:val="21"/>
              </w:rPr>
              <w:br w:type="textWrapping"/>
            </w:r>
            <w:r>
              <w:rPr>
                <w:rFonts w:eastAsia="仿宋_GB2312"/>
                <w:kern w:val="0"/>
                <w:szCs w:val="21"/>
              </w:rPr>
              <w:t>②资产配置合理；</w:t>
            </w:r>
            <w:r>
              <w:rPr>
                <w:rFonts w:eastAsia="仿宋_GB2312"/>
                <w:kern w:val="0"/>
                <w:szCs w:val="21"/>
              </w:rPr>
              <w:br w:type="textWrapping"/>
            </w:r>
            <w:r>
              <w:rPr>
                <w:rFonts w:eastAsia="仿宋_GB2312"/>
                <w:kern w:val="0"/>
                <w:szCs w:val="21"/>
              </w:rPr>
              <w:t xml:space="preserve">③资产处置规范； </w:t>
            </w:r>
            <w:r>
              <w:rPr>
                <w:rFonts w:eastAsia="仿宋_GB2312"/>
                <w:kern w:val="0"/>
                <w:szCs w:val="21"/>
              </w:rPr>
              <w:br w:type="textWrapping"/>
            </w:r>
            <w:r>
              <w:rPr>
                <w:rFonts w:eastAsia="仿宋_GB2312"/>
                <w:kern w:val="0"/>
                <w:szCs w:val="21"/>
              </w:rPr>
              <w:t>④资产账务管理合规，帐实相符；</w:t>
            </w:r>
            <w:r>
              <w:rPr>
                <w:rFonts w:eastAsia="仿宋_GB2312"/>
                <w:kern w:val="0"/>
                <w:szCs w:val="21"/>
              </w:rPr>
              <w:br w:type="textWrapping"/>
            </w:r>
            <w:r>
              <w:rPr>
                <w:rFonts w:eastAsia="仿宋_GB2312"/>
                <w:kern w:val="0"/>
                <w:szCs w:val="21"/>
              </w:rPr>
              <w:t>⑤资产有偿使用及处置收入及时足额上缴；</w:t>
            </w:r>
            <w:r>
              <w:rPr>
                <w:rFonts w:eastAsia="仿宋_GB2312"/>
                <w:kern w:val="0"/>
                <w:szCs w:val="21"/>
              </w:rPr>
              <w:br w:type="textWrapping"/>
            </w:r>
            <w:r>
              <w:rPr>
                <w:rFonts w:eastAsia="仿宋_GB2312"/>
                <w:kern w:val="0"/>
                <w:szCs w:val="21"/>
              </w:rPr>
              <w:t>以上情况每出现一例不符合有关要求的扣1分，扣完为止。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部门（单位）的资产是否保存完整、使用合规、配置合理、处置规范、收入及时足额上缴，用以反映和考核部门（单位）资产安全运行情况</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ascii="宋体" w:cs="宋体"/>
                <w:kern w:val="0"/>
                <w:sz w:val="24"/>
              </w:rPr>
              <w:t>4分（①+②+③+④+⑤）资产未及时处置扣1分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固定资产</w:t>
            </w:r>
            <w:r>
              <w:rPr>
                <w:rFonts w:eastAsia="仿宋_GB2312"/>
                <w:kern w:val="0"/>
                <w:szCs w:val="21"/>
              </w:rPr>
              <w:br w:type="textWrapping"/>
            </w:r>
            <w:r>
              <w:rPr>
                <w:rFonts w:eastAsia="仿宋_GB2312"/>
                <w:kern w:val="0"/>
                <w:szCs w:val="21"/>
              </w:rPr>
              <w:t>利用率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每低于100%一个百分点扣0.2分，扣完为止。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固定资产利用率=（实际在用固定资产总额/所有固定资产总额）×100%</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color w:val="FF0000"/>
                <w:kern w:val="0"/>
                <w:szCs w:val="21"/>
              </w:rPr>
              <w:t>　</w:t>
            </w:r>
            <w:r>
              <w:rPr>
                <w:rFonts w:hint="eastAsia" w:ascii="宋体" w:cs="宋体"/>
                <w:kern w:val="0"/>
                <w:sz w:val="24"/>
              </w:rPr>
              <w:t>0.5分（182.1万元/207.71万元）*100%＝87.67%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重点工作实际完成率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①（重点工作完成件数/重点工作计划件数）*6</w:t>
            </w:r>
          </w:p>
          <w:p>
            <w:pPr>
              <w:widowControl/>
              <w:jc w:val="left"/>
              <w:rPr>
                <w:rFonts w:eastAsia="仿宋_GB2312"/>
                <w:kern w:val="0"/>
                <w:szCs w:val="21"/>
              </w:rPr>
            </w:pPr>
            <w:r>
              <w:rPr>
                <w:rFonts w:eastAsia="仿宋_GB2312"/>
                <w:kern w:val="0"/>
                <w:szCs w:val="21"/>
              </w:rPr>
              <w:t>②根据绩效办2013年对各部门为民办实事和部门重点工程与重点工作考核分数折算。</w:t>
            </w:r>
            <w:r>
              <w:rPr>
                <w:rFonts w:eastAsia="仿宋_GB2312"/>
                <w:kern w:val="0"/>
                <w:szCs w:val="21"/>
              </w:rPr>
              <w:br w:type="textWrapping"/>
            </w:r>
            <w:r>
              <w:rPr>
                <w:rFonts w:eastAsia="仿宋_GB2312"/>
                <w:kern w:val="0"/>
                <w:szCs w:val="21"/>
              </w:rPr>
              <w:t>该项得分=（绩效办考核得分/总分）*4</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①+②为此项指标考评得分</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重点工作质量达标率</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质量达标率达到100%，计6分；</w:t>
            </w:r>
            <w:r>
              <w:rPr>
                <w:rFonts w:eastAsia="仿宋_GB2312"/>
                <w:kern w:val="0"/>
                <w:szCs w:val="21"/>
              </w:rPr>
              <w:br w:type="textWrapping"/>
            </w:r>
            <w:r>
              <w:rPr>
                <w:rFonts w:eastAsia="仿宋_GB2312"/>
                <w:kern w:val="0"/>
                <w:szCs w:val="21"/>
              </w:rPr>
              <w:t>每低于100%一个百分点扣0.5分，扣完为止。</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质量达标率=（质量达标实际工作数/计划工作数）×100%</w:t>
            </w:r>
            <w:r>
              <w:rPr>
                <w:rFonts w:eastAsia="仿宋_GB2312"/>
                <w:kern w:val="0"/>
                <w:szCs w:val="21"/>
              </w:rPr>
              <w:br w:type="textWrapping"/>
            </w:r>
            <w:r>
              <w:rPr>
                <w:rFonts w:eastAsia="仿宋_GB2312"/>
                <w:kern w:val="0"/>
                <w:szCs w:val="21"/>
              </w:rPr>
              <w:t>质量达标实际工作数：2013年部门（单位）实际完成为民办实事和部门重点工程与重点工作数中，质量达到绩效标准值的工作任务数量。</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 xml:space="preserve">      </w:t>
            </w:r>
            <w:r>
              <w:rPr>
                <w:rFonts w:hint="eastAsia" w:ascii="宋体" w:cs="宋体"/>
                <w:kern w:val="0"/>
                <w:sz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96"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jc w:val="center"/>
              <w:rPr>
                <w:rFonts w:eastAsia="仿宋_GB2312"/>
                <w:kern w:val="0"/>
                <w:szCs w:val="21"/>
              </w:rPr>
            </w:pPr>
            <w:r>
              <w:rPr>
                <w:rFonts w:eastAsia="仿宋_GB2312"/>
                <w:kern w:val="0"/>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20</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经济效益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2013年专项资金绩效目标，汇总提炼部门整体支出绩效评价指标。</w:t>
            </w:r>
          </w:p>
        </w:tc>
        <w:tc>
          <w:tcPr>
            <w:tcW w:w="3432"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kern w:val="0"/>
                <w:szCs w:val="21"/>
              </w:rPr>
              <w:t>　</w:t>
            </w:r>
            <w:r>
              <w:rPr>
                <w:rFonts w:hint="eastAsia"/>
                <w:kern w:val="0"/>
                <w:szCs w:val="21"/>
              </w:rPr>
              <w:t>12分</w:t>
            </w:r>
          </w:p>
          <w:p>
            <w:pPr>
              <w:widowControl/>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社会效益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生态效益</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9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抽取服务对象和社会公众各10名进行问卷调查，调查问卷共计得分/1000分*8。</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kern w:val="0"/>
                <w:szCs w:val="21"/>
              </w:rPr>
              <w:t>　</w:t>
            </w:r>
            <w:r>
              <w:rPr>
                <w:rFonts w:hint="eastAsia"/>
                <w:kern w:val="0"/>
                <w:szCs w:val="21"/>
              </w:rPr>
              <w:t xml:space="preserve">      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99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合   计</w:t>
            </w:r>
          </w:p>
        </w:tc>
        <w:tc>
          <w:tcPr>
            <w:tcW w:w="133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p>
        </w:tc>
        <w:tc>
          <w:tcPr>
            <w:tcW w:w="79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100</w:t>
            </w:r>
          </w:p>
        </w:tc>
        <w:tc>
          <w:tcPr>
            <w:tcW w:w="4140"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343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rPr>
            </w:pPr>
            <w:r>
              <w:rPr>
                <w:rFonts w:hint="eastAsia"/>
                <w:kern w:val="0"/>
                <w:szCs w:val="21"/>
              </w:rPr>
              <w:t>96.5</w:t>
            </w:r>
          </w:p>
        </w:tc>
      </w:tr>
    </w:tbl>
    <w:p/>
    <w:p>
      <w:pPr>
        <w:sectPr>
          <w:pgSz w:w="16838" w:h="11906" w:orient="landscape"/>
          <w:pgMar w:top="1797" w:right="1440" w:bottom="1797" w:left="1440" w:header="851" w:footer="992" w:gutter="0"/>
          <w:pgNumType w:fmt="numberInDash"/>
          <w:cols w:space="720" w:num="1"/>
          <w:docGrid w:type="lines" w:linePitch="312" w:charSpace="0"/>
        </w:sectPr>
      </w:pPr>
    </w:p>
    <w:p>
      <w:pPr>
        <w:spacing w:line="560" w:lineRule="exact"/>
        <w:rPr>
          <w:rFonts w:eastAsia="黑体"/>
          <w:sz w:val="30"/>
          <w:szCs w:val="30"/>
        </w:rPr>
      </w:pPr>
      <w:r>
        <w:rPr>
          <w:rFonts w:eastAsia="黑体"/>
          <w:kern w:val="0"/>
          <w:sz w:val="30"/>
          <w:szCs w:val="30"/>
        </w:rPr>
        <w:t>附件</w:t>
      </w:r>
      <w:r>
        <w:rPr>
          <w:rFonts w:hint="eastAsia" w:eastAsia="黑体"/>
          <w:kern w:val="0"/>
          <w:sz w:val="30"/>
          <w:szCs w:val="30"/>
        </w:rPr>
        <w:t>5</w:t>
      </w:r>
    </w:p>
    <w:p>
      <w:pPr>
        <w:spacing w:line="560" w:lineRule="exact"/>
        <w:jc w:val="center"/>
        <w:rPr>
          <w:rFonts w:eastAsia="方正小标宋简体"/>
          <w:bCs/>
          <w:sz w:val="36"/>
          <w:szCs w:val="36"/>
        </w:rPr>
      </w:pPr>
      <w:r>
        <w:rPr>
          <w:rFonts w:eastAsia="方正小标宋简体"/>
          <w:bCs/>
          <w:sz w:val="36"/>
          <w:szCs w:val="36"/>
        </w:rPr>
        <w:t>公众或服务对象满意度调查问卷</w:t>
      </w:r>
    </w:p>
    <w:p>
      <w:pPr>
        <w:spacing w:line="560" w:lineRule="exact"/>
        <w:jc w:val="left"/>
        <w:rPr>
          <w:rFonts w:eastAsia="仿宋_GB2312"/>
          <w:sz w:val="24"/>
        </w:rPr>
      </w:pPr>
    </w:p>
    <w:p>
      <w:pPr>
        <w:spacing w:line="560" w:lineRule="exact"/>
        <w:jc w:val="left"/>
        <w:rPr>
          <w:rFonts w:eastAsia="仿宋_GB2312"/>
          <w:sz w:val="24"/>
        </w:rPr>
      </w:pPr>
      <w:r>
        <w:rPr>
          <w:rFonts w:eastAsia="仿宋_GB2312"/>
          <w:sz w:val="24"/>
        </w:rPr>
        <w:t>问卷编号：No.________调查时间：___________调查地点：___________</w:t>
      </w:r>
    </w:p>
    <w:p>
      <w:pPr>
        <w:spacing w:line="560" w:lineRule="exact"/>
        <w:jc w:val="left"/>
        <w:rPr>
          <w:rFonts w:eastAsia="仿宋_GB2312"/>
          <w:sz w:val="24"/>
        </w:rPr>
      </w:pPr>
      <w:r>
        <w:rPr>
          <w:rFonts w:eastAsia="仿宋_GB2312"/>
          <w:sz w:val="24"/>
        </w:rPr>
        <w:t>调查人员：___________调查对象：___________性    别：___________</w:t>
      </w:r>
    </w:p>
    <w:p>
      <w:pPr>
        <w:spacing w:line="560" w:lineRule="exact"/>
        <w:jc w:val="left"/>
        <w:rPr>
          <w:rFonts w:eastAsia="仿宋_GB2312"/>
          <w:sz w:val="24"/>
        </w:rPr>
      </w:pPr>
      <w:r>
        <w:rPr>
          <w:rFonts w:eastAsia="仿宋_GB2312"/>
          <w:sz w:val="24"/>
        </w:rPr>
        <w:t>授权单位：炎陵县财政局绩效</w:t>
      </w:r>
      <w:r>
        <w:rPr>
          <w:rFonts w:hint="eastAsia" w:eastAsia="仿宋_GB2312"/>
          <w:sz w:val="24"/>
        </w:rPr>
        <w:t>管理</w:t>
      </w:r>
      <w:r>
        <w:rPr>
          <w:rFonts w:eastAsia="仿宋_GB2312"/>
          <w:sz w:val="24"/>
        </w:rPr>
        <w:t>股</w:t>
      </w:r>
    </w:p>
    <w:p>
      <w:pPr>
        <w:spacing w:line="560" w:lineRule="exact"/>
        <w:jc w:val="left"/>
        <w:rPr>
          <w:rFonts w:eastAsia="仿宋_GB2312"/>
          <w:sz w:val="24"/>
        </w:rPr>
      </w:pPr>
      <w:r>
        <w:rPr>
          <w:rFonts w:eastAsia="仿宋_GB2312"/>
          <w:sz w:val="24"/>
        </w:rPr>
        <w:t>您好！我们是炎陵县财政局绩效</w:t>
      </w:r>
      <w:r>
        <w:rPr>
          <w:rFonts w:hint="eastAsia" w:eastAsia="仿宋_GB2312"/>
          <w:sz w:val="24"/>
        </w:rPr>
        <w:t>管理</w:t>
      </w:r>
      <w:r>
        <w:rPr>
          <w:rFonts w:eastAsia="仿宋_GB2312"/>
          <w:sz w:val="24"/>
        </w:rPr>
        <w:t>股安排的调查员。为做好财政资金绩效评价，了解社会公众对部门工作的满意度，我们设计了问卷调查。请您选择合适的答案填写。您的所填问卷将是匿名的，对于您的问卷内容我们将严格予以保密，您所提供的意见仅用于统计分析，谢谢您的合作！</w:t>
      </w:r>
    </w:p>
    <w:p>
      <w:pPr>
        <w:spacing w:line="560" w:lineRule="exact"/>
        <w:jc w:val="left"/>
        <w:rPr>
          <w:rFonts w:eastAsia="仿宋_GB2312"/>
          <w:sz w:val="24"/>
        </w:rPr>
      </w:pPr>
      <w:r>
        <w:rPr>
          <w:rFonts w:eastAsia="仿宋_GB2312"/>
          <w:sz w:val="24"/>
        </w:rPr>
        <w:t>Q1.您对该部门工作现状的总体评价是：</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Q2.您认为该部门深入基层调查研究，倾听群众意见，掌握真实、准确情况方面做得如何：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Q3.您认为该部门在解决群众反映强烈的热点、难点、焦点问题方面做得如何：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Q4.您对该部门支出项目在促进社会经济发展、提高人民生活水平方面的满意度</w:t>
      </w:r>
    </w:p>
    <w:p>
      <w:pPr>
        <w:spacing w:line="560" w:lineRule="exact"/>
        <w:jc w:val="left"/>
        <w:rPr>
          <w:rFonts w:eastAsia="仿宋_GB2312"/>
          <w:sz w:val="24"/>
        </w:rPr>
      </w:pPr>
      <w:r>
        <w:rPr>
          <w:rFonts w:eastAsia="仿宋_GB2312"/>
          <w:sz w:val="24"/>
        </w:rPr>
        <w:t xml:space="preserve">   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Q5.您认为该部门在履行服务承诺以及服务态度、服务质量方面做得如何：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Q6.您认为该部门在依法办事、依法行政，杜绝不作为和乱作为方面做得如何：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Q7.您认为该部门在宣传国家政策、普及法规常识方面做得如何：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Q8.您认为该部门在改革和完善机关办事制度，缩短办事时间，提高工作效率方面做得如何：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Q9.您认为该部门在实施信息公开方面，如党务、政务、办事程序、财务公开等方面做得如何：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ind w:left="360" w:hanging="360"/>
        <w:jc w:val="left"/>
        <w:rPr>
          <w:rFonts w:eastAsia="仿宋_GB2312"/>
          <w:sz w:val="24"/>
        </w:rPr>
      </w:pPr>
      <w:r>
        <w:rPr>
          <w:rFonts w:eastAsia="仿宋_GB2312"/>
          <w:sz w:val="24"/>
        </w:rPr>
        <w:t>Q10.您认为该部门在厉行节约、制止奢侈浪费行为等方面做得如何：</w:t>
      </w:r>
    </w:p>
    <w:p>
      <w:pPr>
        <w:spacing w:line="560" w:lineRule="exact"/>
        <w:ind w:firstLine="360"/>
        <w:jc w:val="left"/>
        <w:rPr>
          <w:rFonts w:eastAsia="仿宋_GB2312"/>
          <w:sz w:val="24"/>
        </w:rPr>
      </w:pPr>
      <w:r>
        <w:rPr>
          <w:rFonts w:eastAsia="仿宋_GB2312"/>
          <w:sz w:val="24"/>
        </w:rPr>
        <w:t xml:space="preserve">□非常满意   □满意   □一般   □不满意   </w:t>
      </w:r>
    </w:p>
    <w:p>
      <w:pPr>
        <w:spacing w:line="560" w:lineRule="exact"/>
        <w:jc w:val="left"/>
        <w:rPr>
          <w:rFonts w:eastAsia="仿宋_GB2312"/>
          <w:sz w:val="24"/>
        </w:rPr>
      </w:pPr>
      <w:r>
        <w:rPr>
          <w:rFonts w:eastAsia="仿宋_GB2312"/>
          <w:sz w:val="24"/>
        </w:rPr>
        <w:t>如果您对部门工作还存在有见解性的意见或建议，请您在此处进行说明：</w:t>
      </w:r>
    </w:p>
    <w:p>
      <w:pPr>
        <w:spacing w:line="560" w:lineRule="exact"/>
        <w:jc w:val="left"/>
        <w:rPr>
          <w:rFonts w:eastAsia="仿宋_GB2312"/>
          <w:sz w:val="24"/>
        </w:rPr>
      </w:pPr>
      <w:r>
        <w:rPr>
          <w:rFonts w:eastAsia="仿宋_GB2312"/>
          <w:sz w:val="24"/>
        </w:rPr>
        <w:t>____________________________________________________________________________________________________________________________________________________________________________________________________________</w:t>
      </w:r>
      <w:r>
        <w:rPr>
          <w:rFonts w:hint="eastAsia" w:eastAsia="仿宋_GB2312"/>
          <w:sz w:val="24"/>
        </w:rPr>
        <w:t xml:space="preserve"> </w:t>
      </w:r>
    </w:p>
    <w:p>
      <w:r>
        <w:rPr>
          <w:rFonts w:eastAsia="仿宋_GB2312"/>
          <w:sz w:val="24"/>
        </w:rPr>
        <w:t>备注：本问卷计分50分，10个问题，每个问题5分：非常满意计5分，满意计4分，一般计3分，不满意计0分</w:t>
      </w:r>
      <w:r>
        <w:rPr>
          <w:rFonts w:hint="eastAsia"/>
        </w:rPr>
        <w:t>。</w:t>
      </w:r>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ascii="宋体" w:hAnsi="宋体"/>
        <w:sz w:val="24"/>
        <w:szCs w:val="24"/>
      </w:rPr>
    </w:pPr>
    <w:r>
      <w:rPr>
        <w:rStyle w:val="6"/>
        <w:rFonts w:hint="eastAsia" w:ascii="宋体" w:hAnsi="宋体"/>
        <w:sz w:val="24"/>
        <w:szCs w:val="24"/>
      </w:rPr>
      <w:t xml:space="preserve"> </w:t>
    </w:r>
    <w:r>
      <w:rPr>
        <w:rFonts w:hint="eastAsia" w:ascii="宋体" w:hAnsi="宋体"/>
        <w:sz w:val="24"/>
        <w:szCs w:val="24"/>
      </w:rPr>
      <w:fldChar w:fldCharType="begin"/>
    </w:r>
    <w:r>
      <w:rPr>
        <w:rStyle w:val="6"/>
        <w:rFonts w:hint="eastAsia" w:ascii="宋体" w:hAnsi="宋体"/>
        <w:sz w:val="24"/>
        <w:szCs w:val="24"/>
      </w:rPr>
      <w:instrText xml:space="preserve">PAGE  </w:instrText>
    </w:r>
    <w:r>
      <w:rPr>
        <w:rFonts w:hint="eastAsia" w:ascii="宋体" w:hAnsi="宋体"/>
        <w:sz w:val="24"/>
        <w:szCs w:val="24"/>
      </w:rPr>
      <w:fldChar w:fldCharType="separate"/>
    </w:r>
    <w:r>
      <w:rPr>
        <w:rStyle w:val="6"/>
        <w:rFonts w:ascii="宋体" w:hAnsi="宋体"/>
        <w:sz w:val="24"/>
        <w:szCs w:val="24"/>
      </w:rPr>
      <w:t>- 2 -</w:t>
    </w:r>
    <w:r>
      <w:rPr>
        <w:rFonts w:hint="eastAsia" w:ascii="宋体" w:hAnsi="宋体"/>
        <w:sz w:val="24"/>
        <w:szCs w:val="24"/>
      </w:rPr>
      <w:fldChar w:fldCharType="end"/>
    </w:r>
    <w:r>
      <w:rPr>
        <w:rStyle w:val="6"/>
        <w:rFonts w:hint="eastAsia" w:ascii="宋体" w:hAnsi="宋体"/>
        <w:sz w:val="24"/>
        <w:szCs w:val="24"/>
      </w:rPr>
      <w:t xml:space="preserve"> </w:t>
    </w:r>
  </w:p>
  <w:p>
    <w:pPr>
      <w:pStyle w:val="3"/>
      <w:framePr w:wrap="around" w:vAnchor="text" w:hAnchor="margin" w:xAlign="outside" w:y="1"/>
      <w:rPr>
        <w:rStyle w:val="6"/>
        <w:rFonts w:ascii="宋体" w:hAnsi="宋体"/>
        <w:sz w:val="24"/>
        <w:szCs w:val="24"/>
      </w:rPr>
    </w:pP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A43289"/>
    <w:multiLevelType w:val="singleLevel"/>
    <w:tmpl w:val="FEA43289"/>
    <w:lvl w:ilvl="0" w:tentative="0">
      <w:start w:val="7"/>
      <w:numFmt w:val="chineseCounting"/>
      <w:suff w:val="nothing"/>
      <w:lvlText w:val="%1、"/>
      <w:lvlJc w:val="left"/>
      <w:rPr>
        <w:rFonts w:hint="eastAsia"/>
      </w:rPr>
    </w:lvl>
  </w:abstractNum>
  <w:abstractNum w:abstractNumId="1">
    <w:nsid w:val="5D95F3B7"/>
    <w:multiLevelType w:val="singleLevel"/>
    <w:tmpl w:val="5D95F3B7"/>
    <w:lvl w:ilvl="0" w:tentative="0">
      <w:start w:val="1"/>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06CC"/>
    <w:rsid w:val="009926F5"/>
    <w:rsid w:val="00A6106A"/>
    <w:rsid w:val="00B706CC"/>
    <w:rsid w:val="00FC35EB"/>
    <w:rsid w:val="0CBE6AE5"/>
    <w:rsid w:val="0DCB64D5"/>
    <w:rsid w:val="155B43DE"/>
    <w:rsid w:val="24F52724"/>
    <w:rsid w:val="36F17AE7"/>
    <w:rsid w:val="3B6D117C"/>
    <w:rsid w:val="45156A76"/>
    <w:rsid w:val="457843A9"/>
    <w:rsid w:val="47102465"/>
    <w:rsid w:val="49463F4F"/>
    <w:rsid w:val="4C320C7E"/>
    <w:rsid w:val="537C2474"/>
    <w:rsid w:val="53847F40"/>
    <w:rsid w:val="58975F4D"/>
    <w:rsid w:val="5AD9663A"/>
    <w:rsid w:val="669E4CBA"/>
    <w:rsid w:val="735712F7"/>
    <w:rsid w:val="79014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qFormat/>
    <w:uiPriority w:val="0"/>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1376</Words>
  <Characters>7844</Characters>
  <Lines>65</Lines>
  <Paragraphs>18</Paragraphs>
  <TotalTime>45</TotalTime>
  <ScaleCrop>false</ScaleCrop>
  <LinksUpToDate>false</LinksUpToDate>
  <CharactersWithSpaces>9202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2021-10-07T02:19:00Z</dcterms:created>
  <dc:creator>Administrator</dc:creator>
  <cp:lastModifiedBy>米宝宝</cp:lastModifiedBy>
  <dcterms:modified xsi:type="dcterms:W3CDTF">2021-11-04T08:24:50Z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AEA6068B42054CA9AC601CDCF0A29753</vt:lpwstr>
  </property>
</Properties>
</file>