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ind w:left="0"/>
        <w:rPr>
          <w:rFonts w:ascii="Times New Roman"/>
          <w:sz w:val="20"/>
        </w:rPr>
      </w:pPr>
    </w:p>
    <w:p>
      <w:pPr>
        <w:pStyle w:val="6"/>
        <w:spacing w:before="11"/>
        <w:ind w:left="0"/>
        <w:rPr>
          <w:rFonts w:ascii="Times New Roman"/>
          <w:sz w:val="21"/>
        </w:rPr>
      </w:pPr>
    </w:p>
    <w:p>
      <w:pPr>
        <w:pStyle w:val="2"/>
        <w:spacing w:line="1344" w:lineRule="exact"/>
        <w:ind w:left="0" w:leftChars="0" w:right="0" w:firstLine="0" w:firstLineChars="0"/>
        <w:jc w:val="center"/>
        <w:rPr>
          <w:rFonts w:hint="eastAsia" w:ascii="方正小标宋_GBK" w:eastAsia="方正小标宋_GBK"/>
          <w:sz w:val="84"/>
        </w:rPr>
      </w:pPr>
      <w:r>
        <w:rPr>
          <w:rFonts w:hint="eastAsia" w:ascii="方正小标宋_GBK" w:eastAsia="方正小标宋_GBK"/>
        </w:rPr>
        <w:t>株洲市石峰区</w:t>
      </w:r>
      <w:r>
        <w:rPr>
          <w:rFonts w:hint="eastAsia" w:ascii="方正小标宋_GBK" w:eastAsia="方正小标宋_GBK"/>
          <w:sz w:val="84"/>
        </w:rPr>
        <w:t>区委组织部2019年度部</w:t>
      </w:r>
      <w:bookmarkStart w:id="0" w:name="_GoBack"/>
      <w:bookmarkEnd w:id="0"/>
      <w:r>
        <w:rPr>
          <w:rFonts w:hint="eastAsia" w:ascii="方正小标宋_GBK" w:eastAsia="方正小标宋_GBK"/>
          <w:sz w:val="84"/>
        </w:rPr>
        <w:t>门决算</w:t>
      </w:r>
    </w:p>
    <w:p>
      <w:pPr>
        <w:spacing w:after="0" w:line="252" w:lineRule="auto"/>
        <w:jc w:val="center"/>
        <w:rPr>
          <w:rFonts w:hint="eastAsia" w:ascii="方正小标宋_GBK" w:eastAsia="方正小标宋_GBK"/>
          <w:sz w:val="84"/>
        </w:rPr>
        <w:sectPr>
          <w:type w:val="continuous"/>
          <w:pgSz w:w="11910" w:h="16840"/>
          <w:pgMar w:top="1580" w:right="740" w:bottom="280" w:left="440" w:header="720" w:footer="720" w:gutter="0"/>
          <w:cols w:space="720" w:num="1"/>
        </w:sectPr>
      </w:pPr>
    </w:p>
    <w:p>
      <w:pPr>
        <w:spacing w:before="11"/>
        <w:ind w:left="2992" w:right="2690" w:firstLine="0"/>
        <w:jc w:val="center"/>
        <w:rPr>
          <w:rFonts w:hint="eastAsia" w:ascii="黑体" w:eastAsia="黑体"/>
          <w:sz w:val="52"/>
        </w:rPr>
      </w:pPr>
      <w:r>
        <w:rPr>
          <w:rFonts w:hint="eastAsia" w:ascii="黑体" w:eastAsia="黑体"/>
          <w:sz w:val="52"/>
        </w:rPr>
        <w:t>目录</w:t>
      </w:r>
    </w:p>
    <w:p>
      <w:pPr>
        <w:spacing w:before="94"/>
        <w:ind w:left="640" w:right="0" w:firstLine="0"/>
        <w:jc w:val="left"/>
        <w:rPr>
          <w:rFonts w:hint="eastAsia" w:ascii="黑体" w:eastAsia="黑体"/>
          <w:b/>
          <w:sz w:val="28"/>
        </w:rPr>
      </w:pPr>
      <w:r>
        <w:rPr>
          <w:rFonts w:hint="eastAsia" w:ascii="黑体" w:eastAsia="黑体"/>
          <w:b/>
          <w:sz w:val="28"/>
        </w:rPr>
        <w:t>第一部分石峰区区委组织部办公室概况</w:t>
      </w:r>
    </w:p>
    <w:p>
      <w:pPr>
        <w:pStyle w:val="6"/>
        <w:spacing w:before="122" w:line="304" w:lineRule="auto"/>
        <w:ind w:left="1439" w:right="7365"/>
      </w:pPr>
      <w:r>
        <w:t>一、部门职责二、机构设置</w:t>
      </w:r>
    </w:p>
    <w:p>
      <w:pPr>
        <w:spacing w:before="38" w:line="314" w:lineRule="auto"/>
        <w:ind w:left="1439" w:right="6085" w:hanging="800"/>
        <w:jc w:val="left"/>
        <w:rPr>
          <w:sz w:val="32"/>
        </w:rPr>
      </w:pPr>
      <w:r>
        <w:rPr>
          <w:rFonts w:hint="eastAsia" w:ascii="黑体" w:eastAsia="黑体"/>
          <w:b/>
          <w:sz w:val="28"/>
        </w:rPr>
        <w:t xml:space="preserve">第二部分2019年度部门决算表 </w:t>
      </w:r>
      <w:r>
        <w:rPr>
          <w:spacing w:val="-2"/>
          <w:sz w:val="32"/>
        </w:rPr>
        <w:t>一、收入支出决算总表</w:t>
      </w:r>
      <w:r>
        <w:rPr>
          <w:sz w:val="32"/>
        </w:rPr>
        <w:t>二、收入决算表</w:t>
      </w:r>
    </w:p>
    <w:p>
      <w:pPr>
        <w:pStyle w:val="6"/>
        <w:spacing w:line="386" w:lineRule="exact"/>
        <w:ind w:left="1439"/>
      </w:pPr>
      <w:r>
        <w:rPr>
          <w:w w:val="95"/>
        </w:rPr>
        <w:t>三、支出决算表</w:t>
      </w:r>
    </w:p>
    <w:p>
      <w:pPr>
        <w:pStyle w:val="6"/>
        <w:spacing w:before="111"/>
        <w:ind w:left="1439"/>
      </w:pPr>
      <w:r>
        <w:t>四、财政拨款收入支出决算总表</w:t>
      </w:r>
    </w:p>
    <w:p>
      <w:pPr>
        <w:pStyle w:val="6"/>
        <w:spacing w:before="111"/>
        <w:ind w:left="1439"/>
      </w:pPr>
      <w:r>
        <w:t>五、一般公共预算财政拨款支出决算表</w:t>
      </w:r>
    </w:p>
    <w:p>
      <w:pPr>
        <w:pStyle w:val="6"/>
        <w:spacing w:before="108"/>
        <w:ind w:left="1439"/>
      </w:pPr>
      <w:r>
        <w:t>六、一般公共预算财政拨款基本支出决算表</w:t>
      </w:r>
    </w:p>
    <w:p>
      <w:pPr>
        <w:pStyle w:val="6"/>
        <w:spacing w:before="111" w:line="304" w:lineRule="auto"/>
        <w:ind w:left="1439" w:right="1924"/>
      </w:pPr>
      <w:r>
        <w:t>七、一般公共预算财政拨款“三公”经费支出决算表八、政府性基金预算财政拨款收入支出决算表</w:t>
      </w:r>
    </w:p>
    <w:p>
      <w:pPr>
        <w:spacing w:before="38"/>
        <w:ind w:left="640" w:right="0" w:firstLine="0"/>
        <w:jc w:val="left"/>
        <w:rPr>
          <w:rFonts w:hint="eastAsia" w:ascii="黑体" w:eastAsia="黑体"/>
          <w:b/>
          <w:sz w:val="28"/>
        </w:rPr>
      </w:pPr>
      <w:r>
        <w:rPr>
          <w:rFonts w:hint="eastAsia" w:ascii="黑体" w:eastAsia="黑体"/>
          <w:b/>
          <w:sz w:val="28"/>
        </w:rPr>
        <w:t>第三部分2019年度部门决算情况说明</w:t>
      </w:r>
    </w:p>
    <w:p>
      <w:pPr>
        <w:pStyle w:val="6"/>
        <w:spacing w:before="122" w:line="304" w:lineRule="auto"/>
        <w:ind w:left="1439" w:right="4806"/>
      </w:pPr>
      <w:r>
        <w:rPr>
          <w:spacing w:val="-1"/>
        </w:rPr>
        <w:t>一、收入支出决算总体情况说明</w:t>
      </w:r>
      <w:r>
        <w:t>二、收入决算情况说明</w:t>
      </w:r>
    </w:p>
    <w:p>
      <w:pPr>
        <w:pStyle w:val="6"/>
        <w:spacing w:line="408" w:lineRule="exact"/>
        <w:ind w:left="1439"/>
      </w:pPr>
      <w:r>
        <w:rPr>
          <w:w w:val="95"/>
        </w:rPr>
        <w:t>三、支出决算情况说明</w:t>
      </w:r>
    </w:p>
    <w:p>
      <w:pPr>
        <w:pStyle w:val="6"/>
        <w:spacing w:before="111"/>
        <w:ind w:left="1439"/>
      </w:pPr>
      <w:r>
        <w:t>四、财政拨款收入支出决算总体情况说明</w:t>
      </w:r>
    </w:p>
    <w:p>
      <w:pPr>
        <w:pStyle w:val="6"/>
        <w:spacing w:before="110"/>
        <w:ind w:left="1439"/>
      </w:pPr>
      <w:r>
        <w:t>五、一般公共预算财政拨款支出决算情况说明</w:t>
      </w:r>
    </w:p>
    <w:p>
      <w:pPr>
        <w:pStyle w:val="6"/>
        <w:spacing w:before="109"/>
        <w:ind w:left="1439"/>
      </w:pPr>
      <w:r>
        <w:t>六、一般公共预算财政拨款基本支出决算情况说明</w:t>
      </w:r>
    </w:p>
    <w:p>
      <w:pPr>
        <w:pStyle w:val="6"/>
        <w:spacing w:before="111" w:line="304" w:lineRule="auto"/>
        <w:ind w:left="1439" w:right="1605"/>
      </w:pPr>
      <w:r>
        <w:t>七、一般公共预算财政拨款三公经费支出决算情况说明八、政府性基金预算收入支出决算情况</w:t>
      </w:r>
    </w:p>
    <w:p>
      <w:pPr>
        <w:pStyle w:val="6"/>
        <w:spacing w:line="408" w:lineRule="exact"/>
        <w:ind w:left="1439"/>
      </w:pPr>
      <w:r>
        <w:t>九、预算绩效情况说明</w:t>
      </w:r>
    </w:p>
    <w:p>
      <w:pPr>
        <w:pStyle w:val="6"/>
        <w:spacing w:before="110"/>
        <w:ind w:left="1439"/>
      </w:pPr>
      <w:r>
        <w:t>十、其他重要事项情况说明</w:t>
      </w:r>
    </w:p>
    <w:p>
      <w:pPr>
        <w:spacing w:before="151" w:line="348" w:lineRule="auto"/>
        <w:ind w:left="640" w:right="7835" w:firstLine="0"/>
        <w:jc w:val="left"/>
        <w:rPr>
          <w:rFonts w:hint="eastAsia" w:ascii="黑体" w:eastAsia="黑体"/>
          <w:b/>
          <w:sz w:val="28"/>
        </w:rPr>
      </w:pPr>
      <w:r>
        <w:rPr>
          <w:rFonts w:hint="eastAsia" w:ascii="黑体" w:eastAsia="黑体"/>
          <w:b/>
          <w:sz w:val="28"/>
        </w:rPr>
        <w:t>第四部分名词解释第五部分其他</w:t>
      </w:r>
    </w:p>
    <w:p>
      <w:pPr>
        <w:spacing w:after="0" w:line="348" w:lineRule="auto"/>
        <w:jc w:val="left"/>
        <w:rPr>
          <w:rFonts w:hint="eastAsia" w:ascii="黑体" w:eastAsia="黑体"/>
          <w:sz w:val="28"/>
        </w:rPr>
        <w:sectPr>
          <w:pgSz w:w="11910" w:h="16840"/>
          <w:pgMar w:top="1540" w:right="740" w:bottom="280" w:left="440" w:header="720" w:footer="720" w:gutter="0"/>
          <w:cols w:space="720" w:num="1"/>
        </w:sect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6"/>
        <w:ind w:left="0"/>
        <w:rPr>
          <w:rFonts w:ascii="黑体"/>
          <w:b/>
          <w:sz w:val="20"/>
        </w:rPr>
      </w:pPr>
    </w:p>
    <w:p>
      <w:pPr>
        <w:pStyle w:val="2"/>
        <w:spacing w:before="124"/>
        <w:ind w:left="2991"/>
        <w:jc w:val="center"/>
      </w:pPr>
      <w:r>
        <w:t>第一部分</w:t>
      </w:r>
    </w:p>
    <w:p>
      <w:pPr>
        <w:pStyle w:val="6"/>
        <w:spacing w:before="10"/>
        <w:ind w:left="0"/>
        <w:rPr>
          <w:rFonts w:ascii="黑体"/>
          <w:sz w:val="110"/>
        </w:rPr>
      </w:pPr>
    </w:p>
    <w:p>
      <w:pPr>
        <w:spacing w:before="0" w:line="278" w:lineRule="auto"/>
        <w:ind w:left="2992" w:right="2693" w:firstLine="0"/>
        <w:jc w:val="center"/>
        <w:rPr>
          <w:rFonts w:hint="eastAsia" w:ascii="黑体" w:eastAsia="黑体"/>
          <w:sz w:val="84"/>
        </w:rPr>
      </w:pPr>
      <w:r>
        <w:rPr>
          <w:rFonts w:hint="eastAsia" w:ascii="黑体" w:eastAsia="黑体"/>
          <w:spacing w:val="-4"/>
          <w:sz w:val="84"/>
        </w:rPr>
        <w:t>株洲市石峰区</w:t>
      </w:r>
      <w:r>
        <w:rPr>
          <w:rFonts w:hint="eastAsia" w:ascii="黑体" w:eastAsia="黑体"/>
          <w:sz w:val="84"/>
        </w:rPr>
        <w:t>区委组织部 概况</w:t>
      </w:r>
    </w:p>
    <w:p>
      <w:pPr>
        <w:spacing w:after="0" w:line="278" w:lineRule="auto"/>
        <w:jc w:val="center"/>
        <w:rPr>
          <w:rFonts w:hint="eastAsia" w:ascii="黑体" w:eastAsia="黑体"/>
          <w:sz w:val="84"/>
        </w:rPr>
        <w:sectPr>
          <w:pgSz w:w="11910" w:h="16840"/>
          <w:pgMar w:top="1580" w:right="740" w:bottom="280" w:left="440" w:header="720" w:footer="720" w:gutter="0"/>
          <w:cols w:space="720" w:num="1"/>
        </w:sectPr>
      </w:pPr>
    </w:p>
    <w:p>
      <w:pPr>
        <w:pStyle w:val="6"/>
        <w:spacing w:before="35"/>
        <w:rPr>
          <w:rFonts w:hint="eastAsia" w:ascii="黑体" w:eastAsia="黑体"/>
        </w:rPr>
      </w:pPr>
      <w:r>
        <w:rPr>
          <w:rFonts w:hint="eastAsia" w:ascii="黑体" w:eastAsia="黑体"/>
        </w:rPr>
        <w:t>一、部门职责</w:t>
      </w:r>
    </w:p>
    <w:p>
      <w:pPr>
        <w:pStyle w:val="6"/>
        <w:spacing w:before="159" w:line="326" w:lineRule="auto"/>
        <w:ind w:right="179" w:firstLine="640"/>
        <w:jc w:val="both"/>
      </w:pPr>
      <w:r>
        <w:t>区委组织部的主要职责是：</w:t>
      </w:r>
    </w:p>
    <w:p>
      <w:pPr>
        <w:pStyle w:val="6"/>
        <w:spacing w:before="6" w:line="328" w:lineRule="auto"/>
        <w:ind w:right="484" w:firstLine="640"/>
        <w:jc w:val="both"/>
      </w:pPr>
      <w:r>
        <w:t>（一）负责研究和指导全区党组织建设以及党组织的设置、隶属关系和活动内容、工作方式等有关工作；统筹全区非公有制经济组织和社会组织党的建设工作；研究、指导全区党员队伍建设，主管党员发展、管理和培训等工作；会同有关部门对街道党委和村（社区）“两委”换届选举及单位党委（党组）民主生活会进行指导。</w:t>
      </w:r>
    </w:p>
    <w:p>
      <w:pPr>
        <w:pStyle w:val="6"/>
        <w:spacing w:line="328" w:lineRule="auto"/>
        <w:ind w:right="484" w:firstLine="640"/>
        <w:jc w:val="both"/>
      </w:pPr>
      <w:r>
        <w:t>（二）负责区管领导班子及其成员的年度考核，提出区管领导班子调整、配备的意见和建议；负责区委管理和区委授权组织部管理的干部的考察、任免、调配和交流以及有关手续的办理；承办转业军官接收的有关工作；负责全区干部人事档案管理、干部统计和干部信息工作；负责区级领导班子换届选举和换届中调整的有关选举工作；承办区内市管干部和区管干部离退休等手续的办理，组织实施全区行政机关公务员和参照公务员法管理单位工作人员的管理工作；落实培养选拔中青年干部、妇女干部、少数民族干部、党外干部的有关工作； 指导街道、区直单位、国有企事业单位领导班子的思想作风建设。</w:t>
      </w:r>
    </w:p>
    <w:p>
      <w:pPr>
        <w:pStyle w:val="6"/>
        <w:spacing w:line="395" w:lineRule="exact"/>
        <w:ind w:left="1280"/>
      </w:pPr>
      <w:r>
        <w:t>（三）负责指导和实施干部监督工作，督促检查全区干部工作，</w:t>
      </w:r>
    </w:p>
    <w:p>
      <w:pPr>
        <w:pStyle w:val="6"/>
        <w:spacing w:before="139" w:line="326" w:lineRule="auto"/>
        <w:ind w:right="484"/>
      </w:pPr>
      <w:r>
        <w:t>提出建议并对反映领导班子和领导干部的重要问题进行调查和督办， 督查有关干部监督制度落实情况，审查历史遗留问题。</w:t>
      </w:r>
    </w:p>
    <w:p>
      <w:pPr>
        <w:pStyle w:val="6"/>
        <w:spacing w:before="5" w:line="326" w:lineRule="auto"/>
        <w:ind w:right="484" w:firstLine="640"/>
      </w:pPr>
      <w:r>
        <w:t>（四）负责制定全区干部教育培训规划，贯彻落实上级干部调训等工作，指导区委党校开展工作。</w:t>
      </w:r>
    </w:p>
    <w:p>
      <w:pPr>
        <w:pStyle w:val="6"/>
        <w:spacing w:before="4" w:line="328" w:lineRule="auto"/>
        <w:ind w:right="484" w:firstLine="640"/>
        <w:jc w:val="both"/>
      </w:pPr>
      <w:r>
        <w:t>（五）负责指导区老干服务中心工作，督促老干部政治、生活待遇的落实，指导老干部开展相关活动、发挥作用，依法保护老干部的合法权益。</w:t>
      </w:r>
    </w:p>
    <w:p>
      <w:pPr>
        <w:spacing w:after="0" w:line="328" w:lineRule="auto"/>
        <w:jc w:val="both"/>
        <w:sectPr>
          <w:pgSz w:w="11910" w:h="16840"/>
          <w:pgMar w:top="1240" w:right="740" w:bottom="280" w:left="440" w:header="720" w:footer="720" w:gutter="0"/>
          <w:cols w:space="720" w:num="1"/>
        </w:sectPr>
      </w:pPr>
    </w:p>
    <w:p>
      <w:pPr>
        <w:pStyle w:val="6"/>
        <w:spacing w:before="24" w:line="326" w:lineRule="auto"/>
        <w:ind w:right="484" w:firstLine="640"/>
      </w:pPr>
      <w:r>
        <w:t>（六）主管全区人才工作，落实上级人才政策，制定和实施区级人才政策，并检查贯彻执行情况。</w:t>
      </w:r>
    </w:p>
    <w:p>
      <w:pPr>
        <w:pStyle w:val="6"/>
        <w:spacing w:before="6"/>
        <w:ind w:left="1280"/>
      </w:pPr>
      <w:r>
        <w:t>（七）统一管理区委机构编制委员会办公室。</w:t>
      </w:r>
    </w:p>
    <w:p>
      <w:pPr>
        <w:pStyle w:val="6"/>
        <w:spacing w:before="149"/>
        <w:ind w:left="1280"/>
      </w:pPr>
      <w:r>
        <w:t>（八）承办上级和区委交办的其他工作。</w:t>
      </w:r>
    </w:p>
    <w:p>
      <w:pPr>
        <w:pStyle w:val="6"/>
        <w:spacing w:before="178"/>
        <w:rPr>
          <w:rFonts w:hint="eastAsia" w:ascii="黑体" w:eastAsia="黑体"/>
        </w:rPr>
      </w:pPr>
      <w:r>
        <w:rPr>
          <w:rFonts w:hint="eastAsia" w:ascii="黑体" w:eastAsia="黑体"/>
        </w:rPr>
        <w:t>二、机构设置及决算单位构成</w:t>
      </w:r>
    </w:p>
    <w:p>
      <w:pPr>
        <w:pStyle w:val="6"/>
        <w:spacing w:before="190"/>
        <w:rPr>
          <w:rFonts w:hint="eastAsia" w:ascii="楷体" w:eastAsia="楷体"/>
        </w:rPr>
      </w:pPr>
      <w:r>
        <w:rPr>
          <w:rFonts w:hint="eastAsia" w:ascii="楷体" w:eastAsia="楷体"/>
        </w:rPr>
        <w:t>（一）内设机构设置。</w:t>
      </w:r>
    </w:p>
    <w:p>
      <w:pPr>
        <w:pStyle w:val="6"/>
        <w:spacing w:before="159" w:line="326" w:lineRule="auto"/>
        <w:ind w:right="179" w:firstLine="640"/>
      </w:pPr>
      <w:r>
        <w:t>石峰区区委组织部内设机构包括：单位属于</w:t>
      </w:r>
      <w:r>
        <w:rPr>
          <w:rFonts w:hint="eastAsia" w:ascii="仿宋_GB2312" w:eastAsia="仿宋_GB2312"/>
        </w:rPr>
        <w:t>正科级行政单位</w:t>
      </w:r>
      <w:r>
        <w:t xml:space="preserve">， </w:t>
      </w:r>
      <w:r>
        <w:rPr>
          <w:spacing w:val="-14"/>
        </w:rPr>
        <w:t xml:space="preserve">石峰区一级预算单位，现有预算单位 </w:t>
      </w:r>
      <w:r>
        <w:t>1</w:t>
      </w:r>
      <w:r>
        <w:rPr>
          <w:spacing w:val="-23"/>
        </w:rPr>
        <w:t xml:space="preserve"> 个。本部门</w:t>
      </w:r>
      <w:r>
        <w:rPr>
          <w:rFonts w:hint="eastAsia"/>
          <w:spacing w:val="-23"/>
          <w:lang w:eastAsia="zh-CN"/>
        </w:rPr>
        <w:t>核定</w:t>
      </w:r>
      <w:r>
        <w:rPr>
          <w:spacing w:val="-23"/>
        </w:rPr>
        <w:t xml:space="preserve">编制 </w:t>
      </w:r>
      <w:r>
        <w:t>1</w:t>
      </w:r>
      <w:r>
        <w:rPr>
          <w:rFonts w:hint="eastAsia"/>
          <w:lang w:val="en-US" w:eastAsia="zh-CN"/>
        </w:rPr>
        <w:t>9</w:t>
      </w:r>
      <w:r>
        <w:rPr>
          <w:spacing w:val="-28"/>
        </w:rPr>
        <w:t xml:space="preserve"> </w:t>
      </w:r>
      <w:r>
        <w:rPr>
          <w:rFonts w:hint="eastAsia"/>
          <w:spacing w:val="-28"/>
          <w:lang w:eastAsia="zh-CN"/>
        </w:rPr>
        <w:t>人</w:t>
      </w:r>
      <w:r>
        <w:rPr>
          <w:spacing w:val="-22"/>
        </w:rPr>
        <w:t>。</w:t>
      </w:r>
      <w:r>
        <w:rPr>
          <w:rFonts w:hint="eastAsia"/>
          <w:spacing w:val="-22"/>
          <w:lang w:eastAsia="zh-CN"/>
        </w:rPr>
        <w:t>现实有</w:t>
      </w:r>
      <w:r>
        <w:rPr>
          <w:spacing w:val="-12"/>
        </w:rPr>
        <w:t>在职人</w:t>
      </w:r>
      <w:r>
        <w:rPr>
          <w:spacing w:val="-41"/>
        </w:rPr>
        <w:t xml:space="preserve">员 </w:t>
      </w:r>
      <w:r>
        <w:t>16</w:t>
      </w:r>
      <w:r>
        <w:rPr>
          <w:spacing w:val="-28"/>
        </w:rPr>
        <w:t xml:space="preserve"> 人</w:t>
      </w:r>
      <w:r>
        <w:rPr>
          <w:spacing w:val="-17"/>
        </w:rPr>
        <w:t xml:space="preserve">。我单位内设处室 </w:t>
      </w:r>
      <w:r>
        <w:t>4</w:t>
      </w:r>
      <w:r>
        <w:rPr>
          <w:spacing w:val="-41"/>
        </w:rPr>
        <w:t xml:space="preserve"> 个</w:t>
      </w:r>
      <w:r>
        <w:rPr>
          <w:rFonts w:hint="eastAsia" w:ascii="仿宋_GB2312" w:eastAsia="仿宋_GB2312"/>
        </w:rPr>
        <w:t>，</w:t>
      </w:r>
      <w:r>
        <w:t>内设机构为区委直属机关工作委员会、区委老干部局、区委非公有制经济组织和</w:t>
      </w:r>
      <w:r>
        <w:rPr>
          <w:spacing w:val="-3"/>
          <w:w w:val="95"/>
        </w:rPr>
        <w:t>社会组织工作委员会和区公务员局，</w:t>
      </w:r>
      <w:r>
        <w:rPr>
          <w:rFonts w:hint="eastAsia" w:ascii="仿宋_GB2312" w:eastAsia="仿宋_GB2312"/>
          <w:w w:val="95"/>
          <w:sz w:val="31"/>
        </w:rPr>
        <w:t>纳入本年部门决算编制范围包括</w:t>
      </w:r>
      <w:r>
        <w:rPr>
          <w:w w:val="95"/>
        </w:rPr>
        <w:t xml:space="preserve">区  </w:t>
      </w:r>
      <w:r>
        <w:t>委直属机关工作委员会</w:t>
      </w:r>
      <w:r>
        <w:rPr>
          <w:rFonts w:hint="eastAsia" w:ascii="宋体" w:eastAsia="宋体"/>
          <w:sz w:val="21"/>
        </w:rPr>
        <w:t>，</w:t>
      </w:r>
      <w:r>
        <w:t>区委老干部局单独编制决算报表。</w:t>
      </w:r>
    </w:p>
    <w:p>
      <w:pPr>
        <w:pStyle w:val="6"/>
        <w:spacing w:line="328" w:lineRule="auto"/>
        <w:ind w:right="484" w:firstLine="640"/>
        <w:jc w:val="both"/>
      </w:pPr>
      <w:r>
        <w:rPr>
          <w:rFonts w:hint="eastAsia" w:ascii="仿宋_GB2312" w:eastAsia="仿宋_GB2312"/>
        </w:rPr>
        <w:t>内设处分别是</w:t>
      </w:r>
      <w:r>
        <w:t>党建组、干部组、人才组、办公室，加挂区委直属机关工作委员会、区委老干部局、区委非公有制经济组织和社会组织工作委员会和区公务员局牌子。</w:t>
      </w:r>
    </w:p>
    <w:p>
      <w:pPr>
        <w:pStyle w:val="6"/>
        <w:spacing w:before="18"/>
        <w:rPr>
          <w:rFonts w:hint="eastAsia" w:ascii="楷体" w:eastAsia="楷体"/>
        </w:rPr>
      </w:pPr>
      <w:r>
        <w:rPr>
          <w:rFonts w:hint="eastAsia" w:ascii="楷体" w:eastAsia="楷体"/>
        </w:rPr>
        <w:t>（二）决算单位构成。</w:t>
      </w:r>
    </w:p>
    <w:p>
      <w:pPr>
        <w:pStyle w:val="6"/>
        <w:spacing w:before="190" w:line="350" w:lineRule="auto"/>
        <w:ind w:right="272" w:firstLine="640"/>
        <w:jc w:val="both"/>
      </w:pPr>
      <w:r>
        <w:rPr>
          <w:spacing w:val="-7"/>
        </w:rPr>
        <w:t xml:space="preserve">从决算单位构成看，石峰区区委组织部 </w:t>
      </w:r>
      <w:r>
        <w:t>2019</w:t>
      </w:r>
      <w:r>
        <w:rPr>
          <w:spacing w:val="-10"/>
        </w:rPr>
        <w:t xml:space="preserve"> 年部门决算汇总公开单位构成包括</w:t>
      </w:r>
      <w:r>
        <w:rPr>
          <w:b/>
          <w:spacing w:val="-10"/>
        </w:rPr>
        <w:t>：</w:t>
      </w:r>
      <w:r>
        <w:rPr>
          <w:spacing w:val="-10"/>
        </w:rPr>
        <w:t>石峰区区委组织部本级</w:t>
      </w:r>
      <w:r>
        <w:rPr>
          <w:rFonts w:hint="eastAsia" w:ascii="仿宋_GB2312" w:eastAsia="仿宋_GB2312"/>
          <w:spacing w:val="-10"/>
        </w:rPr>
        <w:t>以及</w:t>
      </w:r>
      <w:r>
        <w:rPr>
          <w:spacing w:val="-10"/>
        </w:rPr>
        <w:t>区委直属机关工作委员会</w:t>
      </w:r>
      <w:r>
        <w:rPr>
          <w:rFonts w:hint="eastAsia" w:ascii="宋体" w:eastAsia="宋体"/>
          <w:spacing w:val="-10"/>
          <w:sz w:val="21"/>
        </w:rPr>
        <w:t xml:space="preserve">， </w:t>
      </w:r>
      <w:r>
        <w:rPr>
          <w:spacing w:val="-18"/>
        </w:rPr>
        <w:t xml:space="preserve">区委老干部局单独编制决算报表，石峰区委组织部所属二级事业单位 </w:t>
      </w:r>
      <w:r>
        <w:t>2 个，区委老干部局、区党员教育中心，为副科级公益一类事业单位。</w:t>
      </w:r>
    </w:p>
    <w:p>
      <w:pPr>
        <w:spacing w:after="0" w:line="350" w:lineRule="auto"/>
        <w:jc w:val="both"/>
        <w:sectPr>
          <w:pgSz w:w="11910" w:h="16840"/>
          <w:pgMar w:top="1220" w:right="740" w:bottom="280" w:left="440" w:header="720" w:footer="720" w:gutter="0"/>
          <w:cols w:space="720" w:num="1"/>
        </w:sect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6"/>
        <w:ind w:left="0"/>
        <w:rPr>
          <w:sz w:val="20"/>
        </w:rPr>
      </w:pPr>
    </w:p>
    <w:p>
      <w:pPr>
        <w:pStyle w:val="2"/>
        <w:spacing w:before="113" w:line="556" w:lineRule="auto"/>
        <w:ind w:left="3412" w:right="3113" w:firstLine="420"/>
      </w:pPr>
      <w:r>
        <w:t>第二部分部门决算表</w:t>
      </w:r>
    </w:p>
    <w:p>
      <w:pPr>
        <w:spacing w:after="0" w:line="556" w:lineRule="auto"/>
        <w:sectPr>
          <w:pgSz w:w="11910" w:h="16840"/>
          <w:pgMar w:top="1580" w:right="740" w:bottom="280" w:left="440" w:header="720" w:footer="720" w:gutter="0"/>
          <w:cols w:space="720" w:num="1"/>
        </w:sectPr>
      </w:pPr>
    </w:p>
    <w:p>
      <w:pPr>
        <w:pStyle w:val="5"/>
        <w:spacing w:before="43" w:line="364" w:lineRule="auto"/>
        <w:ind w:right="6873"/>
        <w:rPr>
          <w:rFonts w:hint="eastAsia" w:ascii="仿宋_GB2312" w:eastAsia="仿宋_GB2312"/>
        </w:rPr>
      </w:pPr>
      <w:r>
        <w:rPr>
          <w:rFonts w:hint="eastAsia" w:ascii="仿宋_GB2312" w:eastAsia="仿宋_GB2312"/>
          <w:spacing w:val="-2"/>
        </w:rPr>
        <w:t>一、收入支出决算总表</w:t>
      </w:r>
      <w:r>
        <w:rPr>
          <w:rFonts w:hint="eastAsia" w:ascii="仿宋_GB2312" w:eastAsia="仿宋_GB2312"/>
        </w:rPr>
        <w:t>二、收入决算表</w:t>
      </w:r>
    </w:p>
    <w:p>
      <w:pPr>
        <w:spacing w:before="1"/>
        <w:ind w:left="640" w:right="0" w:firstLine="0"/>
        <w:jc w:val="left"/>
        <w:rPr>
          <w:rFonts w:hint="eastAsia" w:ascii="仿宋_GB2312" w:eastAsia="仿宋_GB2312"/>
          <w:b/>
          <w:sz w:val="32"/>
        </w:rPr>
      </w:pPr>
      <w:r>
        <w:rPr>
          <w:rFonts w:hint="eastAsia" w:ascii="仿宋_GB2312" w:eastAsia="仿宋_GB2312"/>
          <w:b/>
          <w:w w:val="95"/>
          <w:sz w:val="32"/>
        </w:rPr>
        <w:t>三、支出决算表</w:t>
      </w:r>
    </w:p>
    <w:p>
      <w:pPr>
        <w:spacing w:before="214"/>
        <w:ind w:left="640" w:right="0" w:firstLine="0"/>
        <w:jc w:val="left"/>
        <w:rPr>
          <w:rFonts w:hint="eastAsia" w:ascii="仿宋_GB2312" w:eastAsia="仿宋_GB2312"/>
          <w:b/>
          <w:sz w:val="32"/>
        </w:rPr>
      </w:pPr>
      <w:r>
        <w:rPr>
          <w:rFonts w:hint="eastAsia" w:ascii="仿宋_GB2312" w:eastAsia="仿宋_GB2312"/>
          <w:b/>
          <w:sz w:val="32"/>
        </w:rPr>
        <w:t>四、财政拨款收入支出决算总表</w:t>
      </w:r>
    </w:p>
    <w:p>
      <w:pPr>
        <w:spacing w:before="214"/>
        <w:ind w:left="640" w:right="0" w:firstLine="0"/>
        <w:jc w:val="left"/>
        <w:rPr>
          <w:rFonts w:hint="eastAsia" w:ascii="仿宋_GB2312" w:eastAsia="仿宋_GB2312"/>
          <w:b/>
          <w:sz w:val="32"/>
        </w:rPr>
      </w:pPr>
      <w:r>
        <w:rPr>
          <w:rFonts w:hint="eastAsia" w:ascii="仿宋_GB2312" w:eastAsia="仿宋_GB2312"/>
          <w:b/>
          <w:sz w:val="32"/>
        </w:rPr>
        <w:t>五、一般公共预算财政拨款支出决算表</w:t>
      </w:r>
    </w:p>
    <w:p>
      <w:pPr>
        <w:spacing w:before="214"/>
        <w:ind w:left="640" w:right="0" w:firstLine="0"/>
        <w:jc w:val="left"/>
        <w:rPr>
          <w:rFonts w:hint="eastAsia" w:ascii="仿宋_GB2312" w:eastAsia="仿宋_GB2312"/>
          <w:b/>
          <w:sz w:val="32"/>
        </w:rPr>
      </w:pPr>
      <w:r>
        <w:rPr>
          <w:rFonts w:hint="eastAsia" w:ascii="仿宋_GB2312" w:eastAsia="仿宋_GB2312"/>
          <w:b/>
          <w:sz w:val="32"/>
        </w:rPr>
        <w:t>六、一般公共预算财政拨款基本支出决算表</w:t>
      </w:r>
    </w:p>
    <w:p>
      <w:pPr>
        <w:spacing w:before="214" w:line="364" w:lineRule="auto"/>
        <w:ind w:left="640" w:right="3021" w:firstLine="0"/>
        <w:jc w:val="left"/>
        <w:rPr>
          <w:rFonts w:hint="eastAsia" w:ascii="仿宋_GB2312" w:hAnsi="仿宋_GB2312" w:eastAsia="仿宋_GB2312"/>
          <w:b/>
          <w:sz w:val="32"/>
        </w:rPr>
      </w:pPr>
      <w:r>
        <w:rPr>
          <w:rFonts w:hint="eastAsia" w:ascii="仿宋_GB2312" w:hAnsi="仿宋_GB2312" w:eastAsia="仿宋_GB2312"/>
          <w:b/>
          <w:w w:val="95"/>
          <w:sz w:val="32"/>
        </w:rPr>
        <w:t>七、一般公共预算财政拨款</w:t>
      </w:r>
      <w:r>
        <w:rPr>
          <w:rFonts w:ascii="Times New Roman" w:hAnsi="Times New Roman" w:eastAsia="Times New Roman"/>
          <w:b/>
          <w:w w:val="95"/>
          <w:sz w:val="32"/>
        </w:rPr>
        <w:t>“</w:t>
      </w:r>
      <w:r>
        <w:rPr>
          <w:rFonts w:hint="eastAsia" w:ascii="仿宋_GB2312" w:hAnsi="仿宋_GB2312" w:eastAsia="仿宋_GB2312"/>
          <w:b/>
          <w:w w:val="95"/>
          <w:sz w:val="32"/>
        </w:rPr>
        <w:t>三公</w:t>
      </w:r>
      <w:r>
        <w:rPr>
          <w:rFonts w:ascii="Times New Roman" w:hAnsi="Times New Roman" w:eastAsia="Times New Roman"/>
          <w:b/>
          <w:w w:val="95"/>
          <w:sz w:val="32"/>
        </w:rPr>
        <w:t>”</w:t>
      </w:r>
      <w:r>
        <w:rPr>
          <w:rFonts w:hint="eastAsia" w:ascii="仿宋_GB2312" w:hAnsi="仿宋_GB2312" w:eastAsia="仿宋_GB2312"/>
          <w:b/>
          <w:w w:val="95"/>
          <w:sz w:val="32"/>
        </w:rPr>
        <w:t xml:space="preserve">经费支出决算表 </w:t>
      </w:r>
      <w:r>
        <w:rPr>
          <w:rFonts w:hint="eastAsia" w:ascii="仿宋_GB2312" w:hAnsi="仿宋_GB2312" w:eastAsia="仿宋_GB2312"/>
          <w:b/>
          <w:sz w:val="32"/>
        </w:rPr>
        <w:t>八、政府性基金预算财政拨款收入支出决算表</w:t>
      </w:r>
    </w:p>
    <w:p>
      <w:pPr>
        <w:pStyle w:val="6"/>
        <w:ind w:left="0"/>
        <w:rPr>
          <w:rFonts w:ascii="仿宋_GB2312"/>
          <w:b/>
          <w:sz w:val="20"/>
        </w:rPr>
      </w:pPr>
    </w:p>
    <w:p>
      <w:pPr>
        <w:pStyle w:val="6"/>
        <w:spacing w:before="4"/>
        <w:ind w:left="0"/>
        <w:rPr>
          <w:rFonts w:ascii="仿宋_GB2312"/>
          <w:b/>
          <w:sz w:val="26"/>
        </w:rPr>
      </w:pPr>
      <w:r>
        <w:drawing>
          <wp:anchor distT="0" distB="0" distL="0" distR="0" simplePos="0" relativeHeight="251659264" behindDoc="0" locked="0" layoutInCell="1" allowOverlap="1">
            <wp:simplePos x="0" y="0"/>
            <wp:positionH relativeFrom="page">
              <wp:posOffset>705485</wp:posOffset>
            </wp:positionH>
            <wp:positionV relativeFrom="paragraph">
              <wp:posOffset>238760</wp:posOffset>
            </wp:positionV>
            <wp:extent cx="6107430" cy="298640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6107161" cy="2986659"/>
                    </a:xfrm>
                    <a:prstGeom prst="rect">
                      <a:avLst/>
                    </a:prstGeom>
                  </pic:spPr>
                </pic:pic>
              </a:graphicData>
            </a:graphic>
          </wp:anchor>
        </w:drawing>
      </w:r>
    </w:p>
    <w:p>
      <w:pPr>
        <w:spacing w:after="0"/>
        <w:rPr>
          <w:rFonts w:ascii="仿宋_GB2312"/>
          <w:sz w:val="26"/>
        </w:rPr>
        <w:sectPr>
          <w:pgSz w:w="11910" w:h="16840"/>
          <w:pgMar w:top="1180" w:right="740" w:bottom="280" w:left="440" w:header="720" w:footer="720" w:gutter="0"/>
          <w:cols w:space="720" w:num="1"/>
        </w:sectPr>
      </w:pPr>
    </w:p>
    <w:p>
      <w:pPr>
        <w:pStyle w:val="6"/>
        <w:ind w:left="671"/>
        <w:rPr>
          <w:rFonts w:ascii="仿宋_GB2312"/>
          <w:sz w:val="20"/>
        </w:rPr>
      </w:pPr>
      <w:r>
        <w:rPr>
          <w:rFonts w:ascii="仿宋_GB2312"/>
          <w:sz w:val="20"/>
        </w:rPr>
        <w:drawing>
          <wp:inline distT="0" distB="0" distL="0" distR="0">
            <wp:extent cx="6207125" cy="372300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6207542" cy="3723608"/>
                    </a:xfrm>
                    <a:prstGeom prst="rect">
                      <a:avLst/>
                    </a:prstGeom>
                  </pic:spPr>
                </pic:pic>
              </a:graphicData>
            </a:graphic>
          </wp:inline>
        </w:drawing>
      </w:r>
    </w:p>
    <w:p>
      <w:pPr>
        <w:pStyle w:val="6"/>
        <w:spacing w:before="1"/>
        <w:ind w:left="0"/>
        <w:rPr>
          <w:rFonts w:ascii="仿宋_GB2312"/>
          <w:b/>
          <w:sz w:val="26"/>
        </w:rPr>
      </w:pPr>
      <w:r>
        <w:drawing>
          <wp:anchor distT="0" distB="0" distL="0" distR="0" simplePos="0" relativeHeight="251660288" behindDoc="0" locked="0" layoutInCell="1" allowOverlap="1">
            <wp:simplePos x="0" y="0"/>
            <wp:positionH relativeFrom="page">
              <wp:posOffset>705485</wp:posOffset>
            </wp:positionH>
            <wp:positionV relativeFrom="paragraph">
              <wp:posOffset>237490</wp:posOffset>
            </wp:positionV>
            <wp:extent cx="6182360" cy="41103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6182087" cy="4110228"/>
                    </a:xfrm>
                    <a:prstGeom prst="rect">
                      <a:avLst/>
                    </a:prstGeom>
                  </pic:spPr>
                </pic:pic>
              </a:graphicData>
            </a:graphic>
          </wp:anchor>
        </w:drawing>
      </w:r>
    </w:p>
    <w:p>
      <w:pPr>
        <w:spacing w:after="0"/>
        <w:rPr>
          <w:rFonts w:ascii="仿宋_GB2312"/>
          <w:sz w:val="26"/>
        </w:rPr>
        <w:sectPr>
          <w:pgSz w:w="11910" w:h="16840"/>
          <w:pgMar w:top="1460" w:right="740" w:bottom="280" w:left="440" w:header="720" w:footer="720" w:gutter="0"/>
          <w:cols w:space="720" w:num="1"/>
        </w:sectPr>
      </w:pPr>
    </w:p>
    <w:p>
      <w:pPr>
        <w:pStyle w:val="6"/>
        <w:ind w:left="671"/>
        <w:rPr>
          <w:rFonts w:ascii="仿宋_GB2312"/>
          <w:sz w:val="20"/>
        </w:rPr>
      </w:pPr>
      <w:r>
        <w:rPr>
          <w:rFonts w:ascii="仿宋_GB2312"/>
          <w:sz w:val="20"/>
        </w:rPr>
        <w:drawing>
          <wp:inline distT="0" distB="0" distL="0" distR="0">
            <wp:extent cx="6199505" cy="300863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6199561" cy="3008947"/>
                    </a:xfrm>
                    <a:prstGeom prst="rect">
                      <a:avLst/>
                    </a:prstGeom>
                  </pic:spPr>
                </pic:pic>
              </a:graphicData>
            </a:graphic>
          </wp:inline>
        </w:drawing>
      </w:r>
    </w:p>
    <w:p>
      <w:pPr>
        <w:pStyle w:val="6"/>
        <w:spacing w:before="11"/>
        <w:ind w:left="0"/>
        <w:rPr>
          <w:rFonts w:ascii="仿宋_GB2312"/>
          <w:b/>
          <w:sz w:val="11"/>
        </w:rPr>
      </w:pPr>
      <w:r>
        <w:drawing>
          <wp:anchor distT="0" distB="0" distL="0" distR="0" simplePos="0" relativeHeight="251660288" behindDoc="0" locked="0" layoutInCell="1" allowOverlap="1">
            <wp:simplePos x="0" y="0"/>
            <wp:positionH relativeFrom="page">
              <wp:posOffset>941705</wp:posOffset>
            </wp:positionH>
            <wp:positionV relativeFrom="paragraph">
              <wp:posOffset>121285</wp:posOffset>
            </wp:positionV>
            <wp:extent cx="5791200" cy="461137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5791094" cy="4611147"/>
                    </a:xfrm>
                    <a:prstGeom prst="rect">
                      <a:avLst/>
                    </a:prstGeom>
                  </pic:spPr>
                </pic:pic>
              </a:graphicData>
            </a:graphic>
          </wp:anchor>
        </w:drawing>
      </w:r>
    </w:p>
    <w:p>
      <w:pPr>
        <w:spacing w:after="0"/>
        <w:rPr>
          <w:rFonts w:ascii="仿宋_GB2312"/>
          <w:sz w:val="11"/>
        </w:rPr>
        <w:sectPr>
          <w:pgSz w:w="11910" w:h="16840"/>
          <w:pgMar w:top="1560" w:right="740" w:bottom="280" w:left="440" w:header="720" w:footer="720" w:gutter="0"/>
          <w:cols w:space="720" w:num="1"/>
        </w:sectPr>
      </w:pPr>
    </w:p>
    <w:p>
      <w:pPr>
        <w:pStyle w:val="6"/>
        <w:ind w:left="671"/>
        <w:rPr>
          <w:rFonts w:ascii="仿宋_GB2312"/>
          <w:sz w:val="20"/>
        </w:rPr>
      </w:pPr>
      <w:r>
        <w:rPr>
          <w:rFonts w:ascii="仿宋_GB2312"/>
          <w:sz w:val="20"/>
        </w:rPr>
        <w:drawing>
          <wp:inline distT="0" distB="0" distL="0" distR="0">
            <wp:extent cx="6184900" cy="325310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6185161" cy="3253263"/>
                    </a:xfrm>
                    <a:prstGeom prst="rect">
                      <a:avLst/>
                    </a:prstGeom>
                  </pic:spPr>
                </pic:pic>
              </a:graphicData>
            </a:graphic>
          </wp:inline>
        </w:drawing>
      </w:r>
    </w:p>
    <w:p>
      <w:pPr>
        <w:pStyle w:val="6"/>
        <w:ind w:left="0"/>
        <w:rPr>
          <w:rFonts w:ascii="仿宋_GB2312"/>
          <w:b/>
          <w:sz w:val="20"/>
        </w:rPr>
      </w:pPr>
    </w:p>
    <w:p>
      <w:pPr>
        <w:pStyle w:val="6"/>
        <w:spacing w:before="6"/>
        <w:ind w:left="0"/>
        <w:rPr>
          <w:rFonts w:ascii="仿宋_GB2312"/>
          <w:b/>
          <w:sz w:val="13"/>
        </w:rPr>
      </w:pPr>
      <w:r>
        <w:drawing>
          <wp:anchor distT="0" distB="0" distL="0" distR="0" simplePos="0" relativeHeight="251660288" behindDoc="0" locked="0" layoutInCell="1" allowOverlap="1">
            <wp:simplePos x="0" y="0"/>
            <wp:positionH relativeFrom="page">
              <wp:posOffset>705485</wp:posOffset>
            </wp:positionH>
            <wp:positionV relativeFrom="paragraph">
              <wp:posOffset>134620</wp:posOffset>
            </wp:positionV>
            <wp:extent cx="6214110" cy="129730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2" cstate="print"/>
                    <a:stretch>
                      <a:fillRect/>
                    </a:stretch>
                  </pic:blipFill>
                  <pic:spPr>
                    <a:xfrm>
                      <a:off x="0" y="0"/>
                      <a:ext cx="6214051" cy="1297590"/>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705485</wp:posOffset>
            </wp:positionH>
            <wp:positionV relativeFrom="paragraph">
              <wp:posOffset>1544320</wp:posOffset>
            </wp:positionV>
            <wp:extent cx="6155690" cy="2028190"/>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r:embed="rId13" cstate="print"/>
                    <a:stretch>
                      <a:fillRect/>
                    </a:stretch>
                  </pic:blipFill>
                  <pic:spPr>
                    <a:xfrm>
                      <a:off x="0" y="0"/>
                      <a:ext cx="6156007" cy="2028253"/>
                    </a:xfrm>
                    <a:prstGeom prst="rect">
                      <a:avLst/>
                    </a:prstGeom>
                  </pic:spPr>
                </pic:pic>
              </a:graphicData>
            </a:graphic>
          </wp:anchor>
        </w:drawing>
      </w:r>
    </w:p>
    <w:p>
      <w:pPr>
        <w:pStyle w:val="6"/>
        <w:spacing w:before="6"/>
        <w:ind w:left="0"/>
        <w:rPr>
          <w:rFonts w:ascii="仿宋_GB2312"/>
          <w:b/>
          <w:sz w:val="8"/>
        </w:rPr>
      </w:pPr>
    </w:p>
    <w:p>
      <w:pPr>
        <w:pStyle w:val="6"/>
        <w:spacing w:before="11"/>
        <w:ind w:left="0"/>
        <w:rPr>
          <w:rFonts w:ascii="仿宋_GB2312"/>
          <w:b/>
          <w:sz w:val="11"/>
        </w:rPr>
      </w:pPr>
    </w:p>
    <w:p>
      <w:pPr>
        <w:spacing w:before="54"/>
        <w:ind w:left="1568" w:right="0" w:firstLine="0"/>
        <w:jc w:val="left"/>
        <w:rPr>
          <w:rFonts w:hint="eastAsia" w:ascii="仿宋_GB2312" w:eastAsia="仿宋_GB2312"/>
          <w:b/>
          <w:sz w:val="32"/>
        </w:rPr>
      </w:pPr>
      <w:r>
        <w:rPr>
          <w:sz w:val="31"/>
        </w:rPr>
        <w:t>2019 年度我单位无政府性基金预算收入支出</w:t>
      </w:r>
      <w:r>
        <w:rPr>
          <w:rFonts w:hint="eastAsia" w:ascii="仿宋_GB2312" w:eastAsia="仿宋_GB2312"/>
          <w:b/>
          <w:sz w:val="32"/>
        </w:rPr>
        <w:t>。</w:t>
      </w:r>
    </w:p>
    <w:p>
      <w:pPr>
        <w:spacing w:after="0"/>
        <w:jc w:val="left"/>
        <w:rPr>
          <w:rFonts w:hint="eastAsia" w:ascii="仿宋_GB2312" w:eastAsia="仿宋_GB2312"/>
          <w:sz w:val="32"/>
        </w:rPr>
        <w:sectPr>
          <w:pgSz w:w="11910" w:h="16840"/>
          <w:pgMar w:top="1520" w:right="740" w:bottom="280" w:left="440" w:header="720" w:footer="720" w:gutter="0"/>
          <w:cols w:space="720" w:num="1"/>
        </w:sectPr>
      </w:pPr>
    </w:p>
    <w:p>
      <w:pPr>
        <w:pStyle w:val="6"/>
        <w:ind w:left="0"/>
        <w:rPr>
          <w:rFonts w:ascii="仿宋_GB2312"/>
          <w:b/>
          <w:sz w:val="20"/>
        </w:rPr>
      </w:pPr>
    </w:p>
    <w:p>
      <w:pPr>
        <w:pStyle w:val="6"/>
        <w:ind w:left="0"/>
        <w:rPr>
          <w:rFonts w:ascii="仿宋_GB2312"/>
          <w:b/>
          <w:sz w:val="20"/>
        </w:rPr>
      </w:pPr>
    </w:p>
    <w:p>
      <w:pPr>
        <w:pStyle w:val="6"/>
        <w:spacing w:before="3"/>
        <w:ind w:left="0"/>
        <w:rPr>
          <w:rFonts w:ascii="仿宋_GB2312"/>
          <w:b/>
          <w:sz w:val="21"/>
        </w:rPr>
      </w:pPr>
    </w:p>
    <w:p>
      <w:pPr>
        <w:spacing w:before="0" w:line="922" w:lineRule="exact"/>
        <w:ind w:left="2991" w:right="2693" w:firstLine="0"/>
        <w:jc w:val="center"/>
        <w:rPr>
          <w:rFonts w:hint="eastAsia" w:ascii="黑体" w:eastAsia="黑体"/>
          <w:sz w:val="72"/>
        </w:rPr>
      </w:pPr>
      <w:r>
        <w:rPr>
          <w:rFonts w:hint="eastAsia" w:ascii="黑体" w:eastAsia="黑体"/>
          <w:sz w:val="72"/>
        </w:rPr>
        <w:t>第三部分</w:t>
      </w:r>
    </w:p>
    <w:p>
      <w:pPr>
        <w:pStyle w:val="6"/>
        <w:ind w:left="0"/>
        <w:rPr>
          <w:rFonts w:ascii="黑体"/>
          <w:sz w:val="72"/>
        </w:rPr>
      </w:pPr>
    </w:p>
    <w:p>
      <w:pPr>
        <w:pStyle w:val="6"/>
        <w:spacing w:before="4"/>
        <w:ind w:left="0"/>
        <w:rPr>
          <w:rFonts w:ascii="黑体"/>
          <w:sz w:val="76"/>
        </w:rPr>
      </w:pPr>
    </w:p>
    <w:p>
      <w:pPr>
        <w:pStyle w:val="4"/>
      </w:pPr>
      <w:r>
        <w:t>2019年度部门决算情况说明</w:t>
      </w:r>
    </w:p>
    <w:p>
      <w:pPr>
        <w:spacing w:after="0"/>
        <w:sectPr>
          <w:pgSz w:w="11910" w:h="16840"/>
          <w:pgMar w:top="1580" w:right="740" w:bottom="280" w:left="440" w:header="720" w:footer="720" w:gutter="0"/>
          <w:cols w:space="720" w:num="1"/>
        </w:sectPr>
      </w:pPr>
    </w:p>
    <w:p>
      <w:pPr>
        <w:pStyle w:val="5"/>
        <w:spacing w:before="30"/>
        <w:ind w:left="621" w:right="5570"/>
        <w:jc w:val="center"/>
        <w:rPr>
          <w:rFonts w:hint="eastAsia" w:ascii="黑体" w:eastAsia="黑体"/>
        </w:rPr>
      </w:pPr>
      <w:r>
        <w:rPr>
          <w:rFonts w:hint="eastAsia" w:ascii="黑体" w:eastAsia="黑体"/>
        </w:rPr>
        <w:t>一、收入支出决算总体情况说明</w:t>
      </w:r>
    </w:p>
    <w:p>
      <w:pPr>
        <w:pStyle w:val="6"/>
        <w:spacing w:before="214" w:line="364" w:lineRule="auto"/>
        <w:ind w:right="179" w:firstLine="640"/>
      </w:pPr>
      <w:r>
        <w:rPr>
          <w:w w:val="95"/>
        </w:rPr>
        <w:t>2019年度收入总计1047.31</w:t>
      </w:r>
      <w:r>
        <w:rPr>
          <w:spacing w:val="-22"/>
          <w:w w:val="95"/>
        </w:rPr>
        <w:t>万元。与</w:t>
      </w:r>
      <w:r>
        <w:rPr>
          <w:w w:val="95"/>
        </w:rPr>
        <w:t>2018</w:t>
      </w:r>
      <w:r>
        <w:rPr>
          <w:spacing w:val="-15"/>
          <w:w w:val="95"/>
        </w:rPr>
        <w:t>年相比，增加</w:t>
      </w:r>
      <w:r>
        <w:rPr>
          <w:w w:val="95"/>
        </w:rPr>
        <w:t xml:space="preserve">332.36万元，  </w:t>
      </w:r>
      <w:r>
        <w:t xml:space="preserve">增长46.49%，增长的主要原因是一般公共预算财政拨款收入增加了254.04万元，是因为机构改革的原因，机关工委和老干部局合并入组 </w:t>
      </w:r>
      <w:r>
        <w:rPr>
          <w:spacing w:val="-15"/>
          <w:w w:val="95"/>
        </w:rPr>
        <w:t>织部，人员增加，人员工资和社保费用增加，人员经费增加</w:t>
      </w:r>
      <w:r>
        <w:rPr>
          <w:w w:val="95"/>
        </w:rPr>
        <w:t xml:space="preserve">75.03万元；  </w:t>
      </w:r>
      <w:r>
        <w:t>人才专项经费、“不忘初心、牢记使命”主题教育及“两新”党组织经费等增加179.01万元，其他收入增加78.32万元。</w:t>
      </w:r>
    </w:p>
    <w:p>
      <w:pPr>
        <w:pStyle w:val="6"/>
        <w:spacing w:before="5" w:line="364" w:lineRule="auto"/>
        <w:ind w:right="179" w:firstLine="640"/>
      </w:pPr>
      <w:r>
        <w:rPr>
          <w:w w:val="95"/>
        </w:rPr>
        <w:t>2019年度支出总计1047.31</w:t>
      </w:r>
      <w:r>
        <w:rPr>
          <w:spacing w:val="-22"/>
          <w:w w:val="95"/>
        </w:rPr>
        <w:t>万元。与</w:t>
      </w:r>
      <w:r>
        <w:rPr>
          <w:w w:val="95"/>
        </w:rPr>
        <w:t>2018</w:t>
      </w:r>
      <w:r>
        <w:rPr>
          <w:spacing w:val="-15"/>
          <w:w w:val="95"/>
        </w:rPr>
        <w:t>年相比，增加</w:t>
      </w:r>
      <w:r>
        <w:rPr>
          <w:w w:val="95"/>
        </w:rPr>
        <w:t xml:space="preserve">332.36万元，  </w:t>
      </w:r>
      <w:r>
        <w:t>增长46.49%，增长的主要原因是一般公共预算财政拨款收入增加了254.04万元，一是机构改革的原因，机关工委和老干部局合并入组织部，人员增加，人员工资和社保费用增加，人员经费增加75.03万元； 二是人才专项经费、“不忘初心、牢记使命”主题教育及“两新”党组织经费等增加179.01万元，其他收入增加78.32万元。</w:t>
      </w:r>
    </w:p>
    <w:p>
      <w:pPr>
        <w:pStyle w:val="5"/>
        <w:spacing w:before="4"/>
        <w:ind w:left="619" w:right="5570"/>
        <w:jc w:val="center"/>
        <w:rPr>
          <w:rFonts w:hint="eastAsia" w:ascii="黑体" w:eastAsia="黑体"/>
        </w:rPr>
      </w:pPr>
      <w:r>
        <w:rPr>
          <w:rFonts w:hint="eastAsia" w:ascii="黑体" w:eastAsia="黑体"/>
        </w:rPr>
        <w:t>二、收入决算情况说明</w:t>
      </w:r>
    </w:p>
    <w:p>
      <w:pPr>
        <w:pStyle w:val="6"/>
        <w:spacing w:before="214" w:line="364" w:lineRule="auto"/>
        <w:ind w:right="287" w:firstLine="640"/>
      </w:pPr>
      <w:r>
        <w:rPr>
          <w:w w:val="95"/>
        </w:rPr>
        <w:t xml:space="preserve">本年收入合计1047.31万元，其中：财政拨款收入813.51万元，占 </w:t>
      </w:r>
      <w:r>
        <w:t>比77.68%；上级补助收入0万元，占0%；事业收入0万元，占0%；经营收入0万元，占0%；附属单位上缴收入0万元，占0%；其他收入233.80 万元，占比22.32%。</w:t>
      </w:r>
    </w:p>
    <w:p>
      <w:pPr>
        <w:pStyle w:val="5"/>
        <w:spacing w:before="4"/>
        <w:rPr>
          <w:rFonts w:hint="eastAsia" w:ascii="黑体" w:eastAsia="黑体"/>
        </w:rPr>
      </w:pPr>
      <w:r>
        <w:rPr>
          <w:rFonts w:hint="eastAsia" w:ascii="黑体" w:eastAsia="黑体"/>
        </w:rPr>
        <w:t>三、支出决算情况说明</w:t>
      </w:r>
    </w:p>
    <w:p>
      <w:pPr>
        <w:pStyle w:val="6"/>
        <w:spacing w:before="214" w:line="364" w:lineRule="auto"/>
        <w:ind w:right="340" w:firstLine="640"/>
      </w:pPr>
      <w:r>
        <w:t>本年支出合计1047.31万元，其中：基本支出527.19万元，占比</w:t>
      </w:r>
      <w:r>
        <w:rPr>
          <w:w w:val="95"/>
        </w:rPr>
        <w:t>50.34%，项目支出520.12万元，占比49.66%；上缴上级支出0万元，占</w:t>
      </w:r>
    </w:p>
    <w:p>
      <w:pPr>
        <w:pStyle w:val="6"/>
        <w:spacing w:before="1"/>
      </w:pPr>
      <w:r>
        <w:t>0%；经营支出0万元，占0%；对附属单位补助支出0万元，占0%。</w:t>
      </w:r>
    </w:p>
    <w:p>
      <w:pPr>
        <w:spacing w:after="0"/>
        <w:sectPr>
          <w:pgSz w:w="11910" w:h="16840"/>
          <w:pgMar w:top="1500" w:right="740" w:bottom="280" w:left="440" w:header="720" w:footer="720" w:gutter="0"/>
          <w:cols w:space="720" w:num="1"/>
        </w:sectPr>
      </w:pPr>
    </w:p>
    <w:p>
      <w:pPr>
        <w:pStyle w:val="5"/>
        <w:spacing w:before="30"/>
        <w:rPr>
          <w:rFonts w:hint="eastAsia" w:ascii="黑体" w:eastAsia="黑体"/>
        </w:rPr>
      </w:pPr>
      <w:r>
        <w:rPr>
          <w:rFonts w:hint="eastAsia" w:ascii="黑体" w:eastAsia="黑体"/>
        </w:rPr>
        <w:t>四、财政拨款收入支出决算总体情况说明</w:t>
      </w:r>
    </w:p>
    <w:p>
      <w:pPr>
        <w:pStyle w:val="6"/>
        <w:spacing w:before="214"/>
        <w:ind w:left="1280"/>
      </w:pPr>
      <w:r>
        <w:t>2019年度财政拨款收入总计813.51万元，与2018年相比，增加</w:t>
      </w:r>
    </w:p>
    <w:p>
      <w:pPr>
        <w:pStyle w:val="6"/>
        <w:spacing w:before="214" w:line="364" w:lineRule="auto"/>
        <w:ind w:right="340"/>
      </w:pPr>
      <w:r>
        <w:t>254.04万元，增长45.41%，增长的主要原因一是机构改革的原因，机关工委和老干部局合并入组织部，人员增加，人员工资和社保费用增</w:t>
      </w:r>
      <w:r>
        <w:rPr>
          <w:spacing w:val="-2"/>
          <w:w w:val="95"/>
        </w:rPr>
        <w:t>加，人员经费增加</w:t>
      </w:r>
      <w:r>
        <w:rPr>
          <w:w w:val="95"/>
        </w:rPr>
        <w:t>75.03</w:t>
      </w:r>
      <w:r>
        <w:rPr>
          <w:spacing w:val="-3"/>
          <w:w w:val="95"/>
        </w:rPr>
        <w:t xml:space="preserve">万元；二是人才专项经费、“不忘初心、牢记  </w:t>
      </w:r>
      <w:r>
        <w:rPr>
          <w:spacing w:val="-3"/>
        </w:rPr>
        <w:t>使命”主题教育及“两新”党组织经费等项目经费增加179.01万元。</w:t>
      </w:r>
    </w:p>
    <w:p>
      <w:pPr>
        <w:pStyle w:val="5"/>
        <w:spacing w:before="3"/>
        <w:ind w:left="1280"/>
        <w:rPr>
          <w:rFonts w:hint="eastAsia" w:ascii="黑体" w:eastAsia="黑体"/>
        </w:rPr>
      </w:pPr>
      <w:r>
        <w:rPr>
          <w:rFonts w:hint="eastAsia" w:ascii="黑体" w:eastAsia="黑体"/>
        </w:rPr>
        <w:t>五、一般公共预算财政拨款支出决算情况说明</w:t>
      </w:r>
    </w:p>
    <w:p>
      <w:pPr>
        <w:pStyle w:val="6"/>
        <w:spacing w:before="214"/>
        <w:ind w:left="959"/>
        <w:rPr>
          <w:rFonts w:hint="eastAsia" w:ascii="楷体" w:eastAsia="楷体"/>
        </w:rPr>
      </w:pPr>
      <w:r>
        <w:rPr>
          <w:rFonts w:hint="eastAsia" w:ascii="楷体" w:eastAsia="楷体"/>
        </w:rPr>
        <w:t>（一）财政拨款支出决算总体情况</w:t>
      </w:r>
    </w:p>
    <w:p>
      <w:pPr>
        <w:pStyle w:val="6"/>
        <w:spacing w:before="214" w:line="364" w:lineRule="auto"/>
        <w:ind w:right="179" w:firstLine="640"/>
      </w:pPr>
      <w:r>
        <w:t xml:space="preserve">2019年度财政拨款支出813.51万元，占本年支出合计的95.35%， 与2018年相比，增加254.04万元，增长45.41%，增长的主要原因一是机构改革的原因，机关工委和老干部局合并入组织部，人员增加，人 </w:t>
      </w:r>
      <w:r>
        <w:rPr>
          <w:spacing w:val="-8"/>
          <w:w w:val="95"/>
        </w:rPr>
        <w:t>员工资和社保费用增加，人员经费增加</w:t>
      </w:r>
      <w:r>
        <w:rPr>
          <w:w w:val="95"/>
        </w:rPr>
        <w:t>75.03</w:t>
      </w:r>
      <w:r>
        <w:rPr>
          <w:spacing w:val="-10"/>
          <w:w w:val="95"/>
        </w:rPr>
        <w:t xml:space="preserve">万元；二是人才专项经费、  </w:t>
      </w:r>
      <w:r>
        <w:rPr>
          <w:spacing w:val="-10"/>
        </w:rPr>
        <w:t>“不忘初心、牢记使命”主题教育及“两新”党组织经费等项目经费增加179.01万元。</w:t>
      </w:r>
    </w:p>
    <w:p>
      <w:pPr>
        <w:pStyle w:val="6"/>
        <w:spacing w:before="5"/>
        <w:ind w:left="1280"/>
        <w:rPr>
          <w:rFonts w:hint="eastAsia" w:ascii="楷体" w:eastAsia="楷体"/>
        </w:rPr>
      </w:pPr>
      <w:r>
        <w:rPr>
          <w:rFonts w:hint="eastAsia" w:ascii="楷体" w:eastAsia="楷体"/>
        </w:rPr>
        <w:t>（二）财政拨款支出决算结构情况</w:t>
      </w:r>
    </w:p>
    <w:p>
      <w:pPr>
        <w:pStyle w:val="6"/>
        <w:spacing w:before="214" w:line="364" w:lineRule="auto"/>
        <w:ind w:right="336" w:firstLine="640"/>
      </w:pPr>
      <w:r>
        <w:t>2019年度财政拨款支出813.51万元，主要用于以下方面：一般公共服务（类）支出437.94万元，占53.83%；教育支出（类）支出57万</w:t>
      </w:r>
      <w:r>
        <w:rPr>
          <w:spacing w:val="-2"/>
          <w:w w:val="95"/>
        </w:rPr>
        <w:t>元，占</w:t>
      </w:r>
      <w:r>
        <w:rPr>
          <w:w w:val="95"/>
        </w:rPr>
        <w:t>7</w:t>
      </w:r>
      <w:r>
        <w:rPr>
          <w:spacing w:val="-1"/>
          <w:w w:val="95"/>
        </w:rPr>
        <w:t>%；科学技术支出</w:t>
      </w:r>
      <w:r>
        <w:rPr>
          <w:w w:val="95"/>
        </w:rPr>
        <w:t>（类</w:t>
      </w:r>
      <w:r>
        <w:rPr>
          <w:spacing w:val="-3"/>
          <w:w w:val="95"/>
        </w:rPr>
        <w:t>）</w:t>
      </w:r>
      <w:r>
        <w:rPr>
          <w:w w:val="95"/>
        </w:rPr>
        <w:t xml:space="preserve">支出53万元，占6.52%；社会保障和就  </w:t>
      </w:r>
      <w:r>
        <w:rPr>
          <w:spacing w:val="-1"/>
          <w:w w:val="95"/>
        </w:rPr>
        <w:t>业支出</w:t>
      </w:r>
      <w:r>
        <w:rPr>
          <w:w w:val="95"/>
        </w:rPr>
        <w:t>（类）支出0.32</w:t>
      </w:r>
      <w:r>
        <w:rPr>
          <w:spacing w:val="-1"/>
          <w:w w:val="95"/>
        </w:rPr>
        <w:t>万元，占</w:t>
      </w:r>
      <w:r>
        <w:rPr>
          <w:w w:val="95"/>
        </w:rPr>
        <w:t>0.04%；农林水支出（类</w:t>
      </w:r>
      <w:r>
        <w:rPr>
          <w:spacing w:val="-3"/>
          <w:w w:val="95"/>
        </w:rPr>
        <w:t>）</w:t>
      </w:r>
      <w:r>
        <w:rPr>
          <w:w w:val="95"/>
        </w:rPr>
        <w:t xml:space="preserve">支出265.25  </w:t>
      </w:r>
      <w:r>
        <w:t>万元，占32.61%。</w:t>
      </w:r>
    </w:p>
    <w:p>
      <w:pPr>
        <w:pStyle w:val="6"/>
        <w:spacing w:before="4"/>
        <w:ind w:left="1439"/>
        <w:rPr>
          <w:rFonts w:hint="eastAsia" w:ascii="楷体" w:eastAsia="楷体"/>
        </w:rPr>
      </w:pPr>
      <w:r>
        <w:rPr>
          <w:rFonts w:hint="eastAsia" w:ascii="楷体" w:eastAsia="楷体"/>
        </w:rPr>
        <w:t>（三）财政拨款支出决算具体情况</w:t>
      </w:r>
    </w:p>
    <w:p>
      <w:pPr>
        <w:pStyle w:val="6"/>
        <w:spacing w:before="214"/>
        <w:ind w:left="1280"/>
      </w:pPr>
      <w:r>
        <w:t>2019年度财政拨款支出年初预算数为623.24万元，支出决算数为</w:t>
      </w:r>
    </w:p>
    <w:p>
      <w:pPr>
        <w:spacing w:after="0"/>
        <w:sectPr>
          <w:pgSz w:w="11910" w:h="16840"/>
          <w:pgMar w:top="1500" w:right="740" w:bottom="280" w:left="440" w:header="720" w:footer="720" w:gutter="0"/>
          <w:cols w:space="720" w:num="1"/>
        </w:sectPr>
      </w:pPr>
    </w:p>
    <w:p>
      <w:pPr>
        <w:pStyle w:val="6"/>
        <w:spacing w:before="30"/>
      </w:pPr>
      <w:r>
        <w:t>813.51万元，完成年初预算的130.53%，其中：</w:t>
      </w:r>
    </w:p>
    <w:p>
      <w:pPr>
        <w:pStyle w:val="5"/>
        <w:numPr>
          <w:ilvl w:val="0"/>
          <w:numId w:val="1"/>
        </w:numPr>
        <w:tabs>
          <w:tab w:val="left" w:pos="1603"/>
        </w:tabs>
        <w:spacing w:before="214" w:after="0" w:line="240" w:lineRule="auto"/>
        <w:ind w:left="1602" w:right="0" w:hanging="323"/>
        <w:jc w:val="left"/>
      </w:pPr>
      <w:r>
        <w:t>一般公共服务（类）组织事务（款）行政运行（项）。</w:t>
      </w:r>
    </w:p>
    <w:p>
      <w:pPr>
        <w:pStyle w:val="6"/>
        <w:spacing w:before="214" w:line="364" w:lineRule="auto"/>
        <w:ind w:right="179" w:firstLine="640"/>
      </w:pPr>
      <w:r>
        <w:t>年初预算为197万元，支出决算为260.11万元，完成年初预算的</w:t>
      </w:r>
      <w:r>
        <w:rPr>
          <w:spacing w:val="-11"/>
          <w:w w:val="95"/>
        </w:rPr>
        <w:t>132.04</w:t>
      </w:r>
      <w:r>
        <w:rPr>
          <w:spacing w:val="-10"/>
          <w:w w:val="95"/>
        </w:rPr>
        <w:t xml:space="preserve">%，决算数大于年初预算数的主要原因是：人员增加及工资调整，  </w:t>
      </w:r>
      <w:r>
        <w:rPr>
          <w:spacing w:val="-10"/>
        </w:rPr>
        <w:t>人员经费增加75.03万元，其他交通服务支出等日常公用经费增加。</w:t>
      </w:r>
    </w:p>
    <w:p>
      <w:pPr>
        <w:pStyle w:val="10"/>
        <w:numPr>
          <w:ilvl w:val="0"/>
          <w:numId w:val="1"/>
        </w:numPr>
        <w:tabs>
          <w:tab w:val="left" w:pos="1603"/>
        </w:tabs>
        <w:spacing w:before="2" w:after="0" w:line="364" w:lineRule="auto"/>
        <w:ind w:left="1280" w:right="179" w:firstLine="0"/>
        <w:jc w:val="left"/>
        <w:rPr>
          <w:sz w:val="32"/>
        </w:rPr>
      </w:pPr>
      <w:r>
        <w:rPr>
          <w:b/>
          <w:spacing w:val="-1"/>
          <w:w w:val="95"/>
          <w:sz w:val="32"/>
        </w:rPr>
        <w:t>一般公共服务</w:t>
      </w:r>
      <w:r>
        <w:rPr>
          <w:b/>
          <w:w w:val="95"/>
          <w:sz w:val="32"/>
        </w:rPr>
        <w:t>（类</w:t>
      </w:r>
      <w:r>
        <w:rPr>
          <w:b/>
          <w:spacing w:val="-7"/>
          <w:w w:val="95"/>
          <w:sz w:val="32"/>
        </w:rPr>
        <w:t>）</w:t>
      </w:r>
      <w:r>
        <w:rPr>
          <w:b/>
          <w:spacing w:val="-2"/>
          <w:w w:val="95"/>
          <w:sz w:val="32"/>
        </w:rPr>
        <w:t>组织事务</w:t>
      </w:r>
      <w:r>
        <w:rPr>
          <w:b/>
          <w:w w:val="95"/>
          <w:sz w:val="32"/>
        </w:rPr>
        <w:t>（款</w:t>
      </w:r>
      <w:r>
        <w:rPr>
          <w:b/>
          <w:spacing w:val="-7"/>
          <w:w w:val="95"/>
          <w:sz w:val="32"/>
        </w:rPr>
        <w:t>）</w:t>
      </w:r>
      <w:r>
        <w:rPr>
          <w:b/>
          <w:spacing w:val="-1"/>
          <w:w w:val="95"/>
          <w:sz w:val="32"/>
        </w:rPr>
        <w:t>一般行政管理事务</w:t>
      </w:r>
      <w:r>
        <w:rPr>
          <w:b/>
          <w:w w:val="95"/>
          <w:sz w:val="32"/>
        </w:rPr>
        <w:t>（项</w:t>
      </w:r>
      <w:r>
        <w:rPr>
          <w:b/>
          <w:spacing w:val="-5"/>
          <w:w w:val="95"/>
          <w:sz w:val="32"/>
        </w:rPr>
        <w:t>）</w:t>
      </w:r>
      <w:r>
        <w:rPr>
          <w:b/>
          <w:w w:val="95"/>
          <w:sz w:val="32"/>
        </w:rPr>
        <w:t xml:space="preserve">。 </w:t>
      </w:r>
      <w:r>
        <w:rPr>
          <w:sz w:val="32"/>
        </w:rPr>
        <w:t>年初预算为61.2万元，支出决算为56.83万元，完成年初预算的</w:t>
      </w:r>
    </w:p>
    <w:p>
      <w:pPr>
        <w:pStyle w:val="6"/>
        <w:spacing w:before="2" w:line="364" w:lineRule="auto"/>
        <w:ind w:right="179"/>
      </w:pPr>
      <w:r>
        <w:rPr>
          <w:w w:val="95"/>
        </w:rPr>
        <w:t>92.86</w:t>
      </w:r>
      <w:r>
        <w:rPr>
          <w:spacing w:val="-1"/>
          <w:w w:val="95"/>
        </w:rPr>
        <w:t xml:space="preserve">%，决算数小于年初预算数的主要原因是：本着节约支出的原则，  </w:t>
      </w:r>
      <w:r>
        <w:rPr>
          <w:spacing w:val="-1"/>
        </w:rPr>
        <w:t>缩减项目经费。</w:t>
      </w:r>
    </w:p>
    <w:p>
      <w:pPr>
        <w:pStyle w:val="10"/>
        <w:numPr>
          <w:ilvl w:val="0"/>
          <w:numId w:val="1"/>
        </w:numPr>
        <w:tabs>
          <w:tab w:val="left" w:pos="1603"/>
        </w:tabs>
        <w:spacing w:before="1" w:after="0" w:line="364" w:lineRule="auto"/>
        <w:ind w:left="1280" w:right="179" w:firstLine="0"/>
        <w:jc w:val="left"/>
        <w:rPr>
          <w:sz w:val="32"/>
        </w:rPr>
      </w:pPr>
      <w:r>
        <w:rPr>
          <w:b/>
          <w:spacing w:val="-1"/>
          <w:w w:val="95"/>
          <w:sz w:val="32"/>
        </w:rPr>
        <w:t>一般公共服务</w:t>
      </w:r>
      <w:r>
        <w:rPr>
          <w:b/>
          <w:w w:val="95"/>
          <w:sz w:val="32"/>
        </w:rPr>
        <w:t>（类</w:t>
      </w:r>
      <w:r>
        <w:rPr>
          <w:b/>
          <w:spacing w:val="-7"/>
          <w:w w:val="95"/>
          <w:sz w:val="32"/>
        </w:rPr>
        <w:t>）</w:t>
      </w:r>
      <w:r>
        <w:rPr>
          <w:b/>
          <w:spacing w:val="-2"/>
          <w:w w:val="95"/>
          <w:sz w:val="32"/>
        </w:rPr>
        <w:t>组织事务</w:t>
      </w:r>
      <w:r>
        <w:rPr>
          <w:b/>
          <w:w w:val="95"/>
          <w:sz w:val="32"/>
        </w:rPr>
        <w:t>（款</w:t>
      </w:r>
      <w:r>
        <w:rPr>
          <w:b/>
          <w:spacing w:val="-7"/>
          <w:w w:val="95"/>
          <w:sz w:val="32"/>
        </w:rPr>
        <w:t>）</w:t>
      </w:r>
      <w:r>
        <w:rPr>
          <w:b/>
          <w:spacing w:val="-1"/>
          <w:w w:val="95"/>
          <w:sz w:val="32"/>
        </w:rPr>
        <w:t>其他组织事务支出</w:t>
      </w:r>
      <w:r>
        <w:rPr>
          <w:b/>
          <w:w w:val="95"/>
          <w:sz w:val="32"/>
        </w:rPr>
        <w:t>（项</w:t>
      </w:r>
      <w:r>
        <w:rPr>
          <w:b/>
          <w:spacing w:val="-5"/>
          <w:w w:val="95"/>
          <w:sz w:val="32"/>
        </w:rPr>
        <w:t>）</w:t>
      </w:r>
      <w:r>
        <w:rPr>
          <w:b/>
          <w:w w:val="95"/>
          <w:sz w:val="32"/>
        </w:rPr>
        <w:t xml:space="preserve">。 </w:t>
      </w:r>
      <w:r>
        <w:rPr>
          <w:sz w:val="32"/>
        </w:rPr>
        <w:t>年初预算为54.05万元，支出决算为87.55万元，完成年初预算的</w:t>
      </w:r>
    </w:p>
    <w:p>
      <w:pPr>
        <w:pStyle w:val="6"/>
        <w:spacing w:before="2" w:line="364" w:lineRule="auto"/>
        <w:ind w:right="484"/>
      </w:pPr>
      <w:r>
        <w:t>61.91%，决算数大于年初预算数的主要原因是：机构改革的原因，机关工委和老干部局合并入组织部，该项支出增加。</w:t>
      </w:r>
    </w:p>
    <w:p>
      <w:pPr>
        <w:pStyle w:val="10"/>
        <w:numPr>
          <w:ilvl w:val="0"/>
          <w:numId w:val="1"/>
        </w:numPr>
        <w:tabs>
          <w:tab w:val="left" w:pos="1603"/>
        </w:tabs>
        <w:spacing w:before="2" w:after="0" w:line="364" w:lineRule="auto"/>
        <w:ind w:left="1280" w:right="179" w:firstLine="0"/>
        <w:jc w:val="left"/>
        <w:rPr>
          <w:sz w:val="32"/>
        </w:rPr>
      </w:pPr>
      <w:r>
        <w:rPr>
          <w:b/>
          <w:spacing w:val="-7"/>
          <w:w w:val="95"/>
          <w:sz w:val="32"/>
        </w:rPr>
        <w:t>一般公共服务</w:t>
      </w:r>
      <w:r>
        <w:rPr>
          <w:b/>
          <w:w w:val="95"/>
          <w:sz w:val="32"/>
        </w:rPr>
        <w:t>（类</w:t>
      </w:r>
      <w:r>
        <w:rPr>
          <w:b/>
          <w:spacing w:val="-41"/>
          <w:w w:val="95"/>
          <w:sz w:val="32"/>
        </w:rPr>
        <w:t>）</w:t>
      </w:r>
      <w:r>
        <w:rPr>
          <w:b/>
          <w:spacing w:val="-5"/>
          <w:w w:val="95"/>
          <w:sz w:val="32"/>
        </w:rPr>
        <w:t>其他共产党事务支出</w:t>
      </w:r>
      <w:r>
        <w:rPr>
          <w:b/>
          <w:w w:val="95"/>
          <w:sz w:val="32"/>
        </w:rPr>
        <w:t>（款</w:t>
      </w:r>
      <w:r>
        <w:rPr>
          <w:b/>
          <w:spacing w:val="-41"/>
          <w:w w:val="95"/>
          <w:sz w:val="32"/>
        </w:rPr>
        <w:t>）</w:t>
      </w:r>
      <w:r>
        <w:rPr>
          <w:b/>
          <w:spacing w:val="-11"/>
          <w:w w:val="95"/>
          <w:sz w:val="32"/>
        </w:rPr>
        <w:t>行政运行</w:t>
      </w:r>
      <w:r>
        <w:rPr>
          <w:b/>
          <w:w w:val="95"/>
          <w:sz w:val="32"/>
        </w:rPr>
        <w:t>（项</w:t>
      </w:r>
      <w:r>
        <w:rPr>
          <w:b/>
          <w:spacing w:val="-159"/>
          <w:w w:val="95"/>
          <w:sz w:val="32"/>
        </w:rPr>
        <w:t>）</w:t>
      </w:r>
      <w:r>
        <w:rPr>
          <w:b/>
          <w:w w:val="95"/>
          <w:sz w:val="32"/>
        </w:rPr>
        <w:t xml:space="preserve">。  </w:t>
      </w:r>
      <w:r>
        <w:rPr>
          <w:w w:val="95"/>
          <w:sz w:val="32"/>
        </w:rPr>
        <w:t>年初预算为0</w:t>
      </w:r>
      <w:r>
        <w:rPr>
          <w:spacing w:val="-12"/>
          <w:w w:val="95"/>
          <w:sz w:val="32"/>
        </w:rPr>
        <w:t>万元，支出决算为</w:t>
      </w:r>
      <w:r>
        <w:rPr>
          <w:w w:val="95"/>
          <w:sz w:val="32"/>
        </w:rPr>
        <w:t>33.46</w:t>
      </w:r>
      <w:r>
        <w:rPr>
          <w:spacing w:val="-10"/>
          <w:w w:val="95"/>
          <w:sz w:val="32"/>
        </w:rPr>
        <w:t>万元，完成年初预算的</w:t>
      </w:r>
      <w:r>
        <w:rPr>
          <w:w w:val="95"/>
          <w:sz w:val="32"/>
        </w:rPr>
        <w:t>3346%，</w:t>
      </w:r>
    </w:p>
    <w:p>
      <w:pPr>
        <w:pStyle w:val="6"/>
        <w:spacing w:before="1" w:line="364" w:lineRule="auto"/>
        <w:ind w:right="484"/>
      </w:pPr>
      <w:r>
        <w:t>决算数大于年初预算数的主要原因是：机构改革的原因，机关工委和老干部局合并入组织部，该项支出增加。</w:t>
      </w:r>
    </w:p>
    <w:p>
      <w:pPr>
        <w:pStyle w:val="5"/>
        <w:numPr>
          <w:ilvl w:val="0"/>
          <w:numId w:val="1"/>
        </w:numPr>
        <w:tabs>
          <w:tab w:val="left" w:pos="1603"/>
        </w:tabs>
        <w:spacing w:before="2" w:after="0" w:line="364" w:lineRule="auto"/>
        <w:ind w:left="640" w:right="450" w:firstLine="640"/>
        <w:jc w:val="left"/>
      </w:pPr>
      <w:r>
        <w:rPr>
          <w:w w:val="95"/>
        </w:rPr>
        <w:t xml:space="preserve">一般公共服务（类）其他共产党事务支出（款）其他共产党事 </w:t>
      </w:r>
      <w:r>
        <w:t>务支出（项）。</w:t>
      </w:r>
    </w:p>
    <w:p>
      <w:pPr>
        <w:pStyle w:val="6"/>
        <w:spacing w:before="1" w:line="364" w:lineRule="auto"/>
        <w:ind w:right="484" w:firstLine="640"/>
        <w:jc w:val="both"/>
      </w:pPr>
      <w:r>
        <w:rPr>
          <w:w w:val="95"/>
        </w:rPr>
        <w:t xml:space="preserve">年初预算为0万元，支出决算为0.18万元，完成年初预算的18%， </w:t>
      </w:r>
      <w:r>
        <w:t>决算数大于年初预算数的主要原因是：机构改革的原因，机关工委和老干部局合并入组织部，该项支出增加。</w:t>
      </w:r>
    </w:p>
    <w:p>
      <w:pPr>
        <w:spacing w:after="0" w:line="364" w:lineRule="auto"/>
        <w:jc w:val="both"/>
        <w:sectPr>
          <w:pgSz w:w="11910" w:h="16840"/>
          <w:pgMar w:top="1500" w:right="740" w:bottom="280" w:left="440" w:header="720" w:footer="720" w:gutter="0"/>
          <w:cols w:space="720" w:num="1"/>
        </w:sectPr>
      </w:pPr>
    </w:p>
    <w:p>
      <w:pPr>
        <w:pStyle w:val="10"/>
        <w:numPr>
          <w:ilvl w:val="0"/>
          <w:numId w:val="1"/>
        </w:numPr>
        <w:tabs>
          <w:tab w:val="left" w:pos="1723"/>
        </w:tabs>
        <w:spacing w:before="30" w:after="0" w:line="364" w:lineRule="auto"/>
        <w:ind w:left="1280" w:right="484" w:firstLine="0"/>
        <w:jc w:val="left"/>
        <w:rPr>
          <w:sz w:val="32"/>
        </w:rPr>
      </w:pPr>
      <w:r>
        <w:rPr>
          <w:b/>
          <w:sz w:val="32"/>
        </w:rPr>
        <w:t>教育支出（类）其他教育支出（款）其他教育支出（项）。</w:t>
      </w:r>
      <w:r>
        <w:rPr>
          <w:sz w:val="32"/>
        </w:rPr>
        <w:t>年初预算为0万元，支出决算为57万元，完成年初预算的5700%，</w:t>
      </w:r>
    </w:p>
    <w:p>
      <w:pPr>
        <w:pStyle w:val="6"/>
        <w:spacing w:before="1" w:line="364" w:lineRule="auto"/>
        <w:ind w:right="486"/>
      </w:pPr>
      <w:r>
        <w:rPr>
          <w:w w:val="95"/>
        </w:rPr>
        <w:t xml:space="preserve">决算数大于年初预算数的主要原因是：“不忘初心、牢记使命”主题  </w:t>
      </w:r>
      <w:r>
        <w:t>教育等项目支出增加。</w:t>
      </w:r>
    </w:p>
    <w:p>
      <w:pPr>
        <w:pStyle w:val="5"/>
        <w:numPr>
          <w:ilvl w:val="0"/>
          <w:numId w:val="1"/>
        </w:numPr>
        <w:tabs>
          <w:tab w:val="left" w:pos="1723"/>
        </w:tabs>
        <w:spacing w:before="2" w:after="0" w:line="364" w:lineRule="auto"/>
        <w:ind w:left="640" w:right="340" w:firstLine="640"/>
        <w:jc w:val="left"/>
      </w:pPr>
      <w:r>
        <w:rPr>
          <w:w w:val="95"/>
        </w:rPr>
        <w:t xml:space="preserve">科学技术支出（类）科学技术管理事务（款）其他科学技术管 </w:t>
      </w:r>
      <w:r>
        <w:t>理事务支出（项）。</w:t>
      </w:r>
    </w:p>
    <w:p>
      <w:pPr>
        <w:pStyle w:val="6"/>
        <w:spacing w:before="2" w:line="364" w:lineRule="auto"/>
        <w:ind w:right="179" w:firstLine="640"/>
      </w:pPr>
      <w:r>
        <w:t xml:space="preserve">年初预算为0万元，支出决算为53万元，完成年初预算的5300%， </w:t>
      </w:r>
      <w:r>
        <w:rPr>
          <w:spacing w:val="-1"/>
          <w:w w:val="95"/>
        </w:rPr>
        <w:t>决算数大于年初预算数的主要原因是：人才专项经费支出增加</w:t>
      </w:r>
      <w:r>
        <w:rPr>
          <w:w w:val="95"/>
        </w:rPr>
        <w:t>53万元。</w:t>
      </w:r>
    </w:p>
    <w:p>
      <w:pPr>
        <w:pStyle w:val="5"/>
        <w:numPr>
          <w:ilvl w:val="0"/>
          <w:numId w:val="1"/>
        </w:numPr>
        <w:tabs>
          <w:tab w:val="left" w:pos="1764"/>
        </w:tabs>
        <w:spacing w:before="1" w:after="0" w:line="364" w:lineRule="auto"/>
        <w:ind w:left="640" w:right="340" w:firstLine="640"/>
        <w:jc w:val="left"/>
      </w:pPr>
      <w:r>
        <w:rPr>
          <w:spacing w:val="-2"/>
          <w:w w:val="95"/>
        </w:rPr>
        <w:t>社会保障和就业支出</w:t>
      </w:r>
      <w:r>
        <w:rPr>
          <w:w w:val="95"/>
        </w:rPr>
        <w:t>（类</w:t>
      </w:r>
      <w:r>
        <w:rPr>
          <w:spacing w:val="-12"/>
          <w:w w:val="95"/>
        </w:rPr>
        <w:t>）</w:t>
      </w:r>
      <w:r>
        <w:rPr>
          <w:spacing w:val="-2"/>
          <w:w w:val="95"/>
        </w:rPr>
        <w:t>残疾人事业</w:t>
      </w:r>
      <w:r>
        <w:rPr>
          <w:w w:val="95"/>
        </w:rPr>
        <w:t>（款</w:t>
      </w:r>
      <w:r>
        <w:rPr>
          <w:spacing w:val="-10"/>
          <w:w w:val="95"/>
        </w:rPr>
        <w:t>）</w:t>
      </w:r>
      <w:r>
        <w:rPr>
          <w:w w:val="95"/>
        </w:rPr>
        <w:t xml:space="preserve">其他残疾人事业 </w:t>
      </w:r>
      <w:r>
        <w:t>支出（项）。</w:t>
      </w:r>
    </w:p>
    <w:p>
      <w:pPr>
        <w:pStyle w:val="6"/>
        <w:spacing w:before="2" w:line="364" w:lineRule="auto"/>
        <w:ind w:right="179" w:firstLine="640"/>
      </w:pPr>
      <w:r>
        <w:t xml:space="preserve">年初预算为0万元，支出决算为0.32万元，完成年初预算的320%， </w:t>
      </w:r>
      <w:r>
        <w:rPr>
          <w:w w:val="95"/>
        </w:rPr>
        <w:t>决算数大于年初预算数的主要原因是：2019年支付残保基金0.32万元。</w:t>
      </w:r>
    </w:p>
    <w:p>
      <w:pPr>
        <w:pStyle w:val="10"/>
        <w:numPr>
          <w:ilvl w:val="0"/>
          <w:numId w:val="1"/>
        </w:numPr>
        <w:tabs>
          <w:tab w:val="left" w:pos="1764"/>
        </w:tabs>
        <w:spacing w:before="1" w:after="0" w:line="364" w:lineRule="auto"/>
        <w:ind w:left="1280" w:right="179" w:firstLine="0"/>
        <w:jc w:val="left"/>
        <w:rPr>
          <w:sz w:val="32"/>
        </w:rPr>
      </w:pPr>
      <w:r>
        <w:rPr>
          <w:b/>
          <w:spacing w:val="-27"/>
          <w:w w:val="95"/>
          <w:sz w:val="32"/>
        </w:rPr>
        <w:t>农林水支出</w:t>
      </w:r>
      <w:r>
        <w:rPr>
          <w:b/>
          <w:w w:val="95"/>
          <w:sz w:val="32"/>
        </w:rPr>
        <w:t>（类</w:t>
      </w:r>
      <w:r>
        <w:rPr>
          <w:b/>
          <w:spacing w:val="-137"/>
          <w:w w:val="95"/>
          <w:sz w:val="32"/>
        </w:rPr>
        <w:t>）</w:t>
      </w:r>
      <w:r>
        <w:rPr>
          <w:b/>
          <w:spacing w:val="-69"/>
          <w:w w:val="95"/>
          <w:sz w:val="32"/>
        </w:rPr>
        <w:t>农业</w:t>
      </w:r>
      <w:r>
        <w:rPr>
          <w:b/>
          <w:w w:val="95"/>
          <w:sz w:val="32"/>
        </w:rPr>
        <w:t>（款</w:t>
      </w:r>
      <w:r>
        <w:rPr>
          <w:b/>
          <w:spacing w:val="-137"/>
          <w:w w:val="95"/>
          <w:sz w:val="32"/>
        </w:rPr>
        <w:t>）</w:t>
      </w:r>
      <w:r>
        <w:rPr>
          <w:b/>
          <w:spacing w:val="-11"/>
          <w:w w:val="95"/>
          <w:sz w:val="32"/>
        </w:rPr>
        <w:t>对高校毕业生到基层任职补助</w:t>
      </w:r>
      <w:r>
        <w:rPr>
          <w:b/>
          <w:w w:val="95"/>
          <w:sz w:val="32"/>
        </w:rPr>
        <w:t>（项</w:t>
      </w:r>
      <w:r>
        <w:rPr>
          <w:b/>
          <w:spacing w:val="-159"/>
          <w:w w:val="95"/>
          <w:sz w:val="32"/>
        </w:rPr>
        <w:t>）</w:t>
      </w:r>
      <w:r>
        <w:rPr>
          <w:b/>
          <w:w w:val="95"/>
          <w:sz w:val="32"/>
        </w:rPr>
        <w:t xml:space="preserve">。 </w:t>
      </w:r>
      <w:r>
        <w:rPr>
          <w:sz w:val="32"/>
        </w:rPr>
        <w:t>年初预算为0万元，支出决算为9.2万元，完成年初预算的920%，</w:t>
      </w:r>
    </w:p>
    <w:p>
      <w:pPr>
        <w:pStyle w:val="6"/>
        <w:spacing w:before="2" w:line="364" w:lineRule="auto"/>
        <w:ind w:right="486"/>
      </w:pPr>
      <w:r>
        <w:rPr>
          <w:w w:val="95"/>
        </w:rPr>
        <w:t xml:space="preserve">决算数大于年初预算数的主要原因是：2019增加对高校毕业生到的基  </w:t>
      </w:r>
      <w:r>
        <w:t>层任职补助。</w:t>
      </w:r>
    </w:p>
    <w:p>
      <w:pPr>
        <w:pStyle w:val="5"/>
        <w:numPr>
          <w:ilvl w:val="0"/>
          <w:numId w:val="1"/>
        </w:numPr>
        <w:tabs>
          <w:tab w:val="left" w:pos="1924"/>
        </w:tabs>
        <w:spacing w:before="2" w:after="0" w:line="364" w:lineRule="auto"/>
        <w:ind w:left="640" w:right="450" w:firstLine="640"/>
        <w:jc w:val="left"/>
      </w:pPr>
      <w:r>
        <w:rPr>
          <w:w w:val="95"/>
        </w:rPr>
        <w:t xml:space="preserve">农林水支出（类）农村综合改革（款）对村民委员会和村党 </w:t>
      </w:r>
      <w:r>
        <w:t>支部的补助（项）。</w:t>
      </w:r>
    </w:p>
    <w:p>
      <w:pPr>
        <w:pStyle w:val="6"/>
        <w:spacing w:before="1" w:line="364" w:lineRule="auto"/>
        <w:ind w:right="484" w:firstLine="640"/>
      </w:pPr>
      <w:r>
        <w:t>年初预算为311万元，支出决算为256.05万元，完成年初预算的</w:t>
      </w:r>
      <w:r>
        <w:rPr>
          <w:w w:val="95"/>
        </w:rPr>
        <w:t xml:space="preserve">82.33%，决算数小于年初预算数的主要原因是：2019年四季度应付给  村民委员会和村党支部的补助因为需要季度考核，在2020年一季度支  </w:t>
      </w:r>
      <w:r>
        <w:t>付，该项目资金有结余资金。</w:t>
      </w:r>
    </w:p>
    <w:p>
      <w:pPr>
        <w:spacing w:after="0" w:line="364" w:lineRule="auto"/>
        <w:sectPr>
          <w:pgSz w:w="11910" w:h="16840"/>
          <w:pgMar w:top="1500" w:right="740" w:bottom="280" w:left="440" w:header="720" w:footer="720" w:gutter="0"/>
          <w:cols w:space="720" w:num="1"/>
        </w:sectPr>
      </w:pPr>
    </w:p>
    <w:p>
      <w:pPr>
        <w:pStyle w:val="6"/>
        <w:ind w:left="0"/>
        <w:rPr>
          <w:sz w:val="20"/>
        </w:rPr>
      </w:pPr>
    </w:p>
    <w:p>
      <w:pPr>
        <w:pStyle w:val="6"/>
        <w:spacing w:before="7"/>
        <w:ind w:left="0"/>
        <w:rPr>
          <w:sz w:val="20"/>
        </w:rPr>
      </w:pPr>
    </w:p>
    <w:p>
      <w:pPr>
        <w:pStyle w:val="5"/>
        <w:spacing w:before="54"/>
        <w:rPr>
          <w:rFonts w:hint="eastAsia" w:ascii="黑体" w:eastAsia="黑体"/>
        </w:rPr>
      </w:pPr>
      <w:r>
        <w:rPr>
          <w:rFonts w:hint="eastAsia" w:ascii="黑体" w:eastAsia="黑体"/>
        </w:rPr>
        <w:t>六、一般公共预算财政拨款基本支出决算情况说明</w:t>
      </w:r>
    </w:p>
    <w:p>
      <w:pPr>
        <w:pStyle w:val="6"/>
        <w:spacing w:before="214" w:line="364" w:lineRule="auto"/>
        <w:ind w:right="340" w:firstLine="640"/>
      </w:pPr>
      <w:r>
        <w:t xml:space="preserve">2019年度财政拨款基本支出293.39万元，其中：人员经费255.42 </w:t>
      </w:r>
      <w:r>
        <w:rPr>
          <w:spacing w:val="-2"/>
          <w:w w:val="95"/>
        </w:rPr>
        <w:t>万元，占基本支出的</w:t>
      </w:r>
      <w:r>
        <w:rPr>
          <w:w w:val="95"/>
        </w:rPr>
        <w:t>87.06</w:t>
      </w:r>
      <w:r>
        <w:rPr>
          <w:spacing w:val="-3"/>
          <w:w w:val="95"/>
        </w:rPr>
        <w:t xml:space="preserve">%,主要包括基本工资、津贴补贴、奖金、伙  </w:t>
      </w:r>
      <w:r>
        <w:rPr>
          <w:spacing w:val="-3"/>
        </w:rPr>
        <w:t>食补助费、机关事业单位基本养老保险缴费、职业年金缴费、职工基本医疗保险缴费、公务员医疗补助缴费、其他社会保障缴费、住房公积金、医疗费、对个人和家庭的补助－退休费、对个人和家庭的补助</w:t>
      </w:r>
    </w:p>
    <w:p>
      <w:pPr>
        <w:pStyle w:val="6"/>
        <w:spacing w:before="4" w:line="364" w:lineRule="auto"/>
        <w:ind w:right="340"/>
      </w:pPr>
      <w:r>
        <w:rPr>
          <w:spacing w:val="-1"/>
          <w:w w:val="95"/>
        </w:rPr>
        <w:t>－奖励金支出等；公用经费</w:t>
      </w:r>
      <w:r>
        <w:rPr>
          <w:w w:val="95"/>
        </w:rPr>
        <w:t>37.97</w:t>
      </w:r>
      <w:r>
        <w:rPr>
          <w:spacing w:val="-2"/>
          <w:w w:val="95"/>
        </w:rPr>
        <w:t>万元，占基本支出的</w:t>
      </w:r>
      <w:r>
        <w:rPr>
          <w:w w:val="95"/>
        </w:rPr>
        <w:t xml:space="preserve">12.94%，主要包  </w:t>
      </w:r>
      <w:r>
        <w:t>括办公费、印刷费、咨询费、电费、邮电费、差旅费、专用材料费、维修（护）费、劳务费、会议费、公务接待费、劳务费、工会经费、福利费、其他交通费用、其他商品和服务支出等。</w:t>
      </w:r>
    </w:p>
    <w:p>
      <w:pPr>
        <w:pStyle w:val="5"/>
        <w:spacing w:before="4"/>
        <w:rPr>
          <w:rFonts w:hint="eastAsia" w:ascii="黑体" w:eastAsia="黑体"/>
        </w:rPr>
      </w:pPr>
      <w:r>
        <w:rPr>
          <w:rFonts w:hint="eastAsia" w:ascii="黑体" w:eastAsia="黑体"/>
        </w:rPr>
        <w:t>七、一般公共预算财政拨款三公经费支出决算情况说明</w:t>
      </w:r>
    </w:p>
    <w:p>
      <w:pPr>
        <w:pStyle w:val="6"/>
        <w:spacing w:before="214"/>
        <w:ind w:left="1439"/>
        <w:rPr>
          <w:rFonts w:hint="eastAsia" w:ascii="楷体" w:hAnsi="楷体" w:eastAsia="楷体"/>
        </w:rPr>
      </w:pPr>
      <w:r>
        <w:rPr>
          <w:rFonts w:hint="eastAsia" w:ascii="楷体" w:hAnsi="楷体" w:eastAsia="楷体"/>
        </w:rPr>
        <w:t>（一）“三公”经费财政拨款支出决算总体情况说明</w:t>
      </w:r>
    </w:p>
    <w:p>
      <w:pPr>
        <w:pStyle w:val="6"/>
        <w:spacing w:before="214" w:line="364" w:lineRule="auto"/>
        <w:ind w:right="484" w:firstLine="640"/>
        <w:jc w:val="both"/>
      </w:pPr>
      <w:r>
        <w:rPr>
          <w:w w:val="95"/>
        </w:rPr>
        <w:t xml:space="preserve">“三公”经费财政拨款支出预算为8.43万元，支出决算为7.64万 元，完成预算的90.63%，与上年相比增加8.43万元，增加843%，增加  </w:t>
      </w:r>
      <w:r>
        <w:t>的主要原因是省市级部门组织出国考察，因公出国（境）费支出增加7.64万元，接待省市级上级部门增加的公务接待0.31万元。</w:t>
      </w:r>
    </w:p>
    <w:p>
      <w:pPr>
        <w:pStyle w:val="6"/>
        <w:spacing w:before="3"/>
        <w:ind w:left="1280"/>
      </w:pPr>
      <w:r>
        <w:t>其中：</w:t>
      </w:r>
    </w:p>
    <w:p>
      <w:pPr>
        <w:pStyle w:val="6"/>
        <w:spacing w:before="214" w:line="364" w:lineRule="auto"/>
        <w:ind w:right="484" w:firstLine="640"/>
      </w:pPr>
      <w:r>
        <w:t>因公出国（境）费支出预算为7.33万元，支出决算为7.33万元， 完成预算的100%，与上年相比增加7.33万元，增长733%。</w:t>
      </w:r>
    </w:p>
    <w:p>
      <w:pPr>
        <w:pStyle w:val="6"/>
        <w:spacing w:before="1" w:line="364" w:lineRule="auto"/>
        <w:ind w:right="287" w:firstLine="640"/>
      </w:pPr>
      <w:r>
        <w:rPr>
          <w:w w:val="95"/>
        </w:rPr>
        <w:t xml:space="preserve">公务接待费支出预算为1.1万元，支出决算为0.31万元，完成预算 </w:t>
      </w:r>
      <w:r>
        <w:t>的28.18%，决算数小于年初预算数的主要原因是励行节约，减少公务</w:t>
      </w:r>
    </w:p>
    <w:p>
      <w:pPr>
        <w:spacing w:after="0" w:line="364" w:lineRule="auto"/>
        <w:sectPr>
          <w:pgSz w:w="11910" w:h="16840"/>
          <w:pgMar w:top="1580" w:right="740" w:bottom="280" w:left="440" w:header="720" w:footer="720" w:gutter="0"/>
          <w:cols w:space="720" w:num="1"/>
        </w:sectPr>
      </w:pPr>
    </w:p>
    <w:p>
      <w:pPr>
        <w:pStyle w:val="6"/>
        <w:spacing w:before="30" w:line="364" w:lineRule="auto"/>
        <w:ind w:right="486"/>
      </w:pPr>
      <w:r>
        <w:rPr>
          <w:w w:val="95"/>
        </w:rPr>
        <w:t xml:space="preserve">接待，与上年相比增加0.31万元，增加100%，增加的主要原因接待省  </w:t>
      </w:r>
      <w:r>
        <w:t>市级上级部门增加的公务接待0.31万元。</w:t>
      </w:r>
    </w:p>
    <w:p>
      <w:pPr>
        <w:pStyle w:val="6"/>
        <w:spacing w:before="1" w:line="364" w:lineRule="auto"/>
        <w:ind w:right="484" w:firstLine="640"/>
      </w:pPr>
      <w:r>
        <w:t>公务用车购置费及运行维护费支出预算为0万元，支出决算为0万元，完成预算的0%，与上年相比增加0万元，增长0%。</w:t>
      </w:r>
    </w:p>
    <w:p>
      <w:pPr>
        <w:pStyle w:val="6"/>
        <w:spacing w:before="2"/>
        <w:ind w:left="1439"/>
        <w:rPr>
          <w:rFonts w:hint="eastAsia" w:ascii="楷体" w:hAnsi="楷体" w:eastAsia="楷体"/>
        </w:rPr>
      </w:pPr>
      <w:r>
        <w:rPr>
          <w:rFonts w:hint="eastAsia" w:ascii="楷体" w:hAnsi="楷体" w:eastAsia="楷体"/>
        </w:rPr>
        <w:t>（二）“三公”经费财政拨款支出决算具体情况说明</w:t>
      </w:r>
    </w:p>
    <w:p>
      <w:pPr>
        <w:pStyle w:val="6"/>
        <w:spacing w:before="214" w:line="364" w:lineRule="auto"/>
        <w:ind w:right="336" w:firstLine="640"/>
      </w:pPr>
      <w:r>
        <w:t>2019年度“三公”经费财政拨款支出决算中，公务接待费支出决算0.31</w:t>
      </w:r>
      <w:r>
        <w:rPr>
          <w:spacing w:val="-10"/>
        </w:rPr>
        <w:t>万元，占</w:t>
      </w:r>
      <w:r>
        <w:rPr>
          <w:spacing w:val="-8"/>
        </w:rPr>
        <w:t>4.1%</w:t>
      </w:r>
      <w:r>
        <w:rPr>
          <w:spacing w:val="-9"/>
        </w:rPr>
        <w:t>，因公出国</w:t>
      </w:r>
      <w:r>
        <w:rPr>
          <w:spacing w:val="-3"/>
        </w:rPr>
        <w:t>（</w:t>
      </w:r>
      <w:r>
        <w:t>境</w:t>
      </w:r>
      <w:r>
        <w:rPr>
          <w:spacing w:val="-36"/>
        </w:rPr>
        <w:t>）</w:t>
      </w:r>
      <w:r>
        <w:t>费支出决算7.33</w:t>
      </w:r>
      <w:r>
        <w:rPr>
          <w:spacing w:val="-9"/>
        </w:rPr>
        <w:t>万元，占</w:t>
      </w:r>
      <w:r>
        <w:t>95.9%, 公务用车购置费及运行维护费支出决算0万元，占0%。其中：</w:t>
      </w:r>
    </w:p>
    <w:p>
      <w:pPr>
        <w:pStyle w:val="6"/>
        <w:spacing w:before="2" w:line="364" w:lineRule="auto"/>
        <w:ind w:right="179" w:firstLine="640"/>
      </w:pPr>
      <w:r>
        <w:rPr>
          <w:w w:val="95"/>
        </w:rPr>
        <w:t>1</w:t>
      </w:r>
      <w:r>
        <w:rPr>
          <w:spacing w:val="-40"/>
          <w:w w:val="95"/>
        </w:rPr>
        <w:t>、因公出国</w:t>
      </w:r>
      <w:r>
        <w:rPr>
          <w:spacing w:val="-3"/>
          <w:w w:val="95"/>
        </w:rPr>
        <w:t>（</w:t>
      </w:r>
      <w:r>
        <w:rPr>
          <w:w w:val="95"/>
        </w:rPr>
        <w:t>境</w:t>
      </w:r>
      <w:r>
        <w:rPr>
          <w:spacing w:val="-99"/>
          <w:w w:val="95"/>
        </w:rPr>
        <w:t>）</w:t>
      </w:r>
      <w:r>
        <w:rPr>
          <w:w w:val="95"/>
        </w:rPr>
        <w:t>费支出决算为7.33</w:t>
      </w:r>
      <w:r>
        <w:rPr>
          <w:spacing w:val="-20"/>
          <w:w w:val="95"/>
        </w:rPr>
        <w:t>万元，全年安排因公出国</w:t>
      </w:r>
      <w:r>
        <w:rPr>
          <w:w w:val="95"/>
        </w:rPr>
        <w:t xml:space="preserve">（境）  </w:t>
      </w:r>
      <w:r>
        <w:t>团组1个，累计6人次。</w:t>
      </w:r>
    </w:p>
    <w:p>
      <w:pPr>
        <w:pStyle w:val="6"/>
        <w:spacing w:before="2" w:line="364" w:lineRule="auto"/>
        <w:ind w:right="486" w:firstLine="640"/>
      </w:pPr>
      <w:r>
        <w:rPr>
          <w:w w:val="95"/>
        </w:rPr>
        <w:t xml:space="preserve">2、公务接待费支出决算为0.31万元，全年共接待来访团组1个、 </w:t>
      </w:r>
      <w:r>
        <w:t>来宾21人次，主要是机构改革工作增加的公务接待。</w:t>
      </w:r>
    </w:p>
    <w:p>
      <w:pPr>
        <w:pStyle w:val="6"/>
        <w:spacing w:before="2" w:line="364" w:lineRule="auto"/>
        <w:ind w:right="338" w:firstLine="640"/>
      </w:pPr>
      <w:r>
        <w:t>3、公务用车购置费及运行维护费支出决算为0万元，其中：公务</w:t>
      </w:r>
      <w:r>
        <w:rPr>
          <w:w w:val="95"/>
        </w:rPr>
        <w:t>用车购置费0</w:t>
      </w:r>
      <w:r>
        <w:rPr>
          <w:spacing w:val="-3"/>
          <w:w w:val="95"/>
        </w:rPr>
        <w:t>万元，区编办更新公务用车</w:t>
      </w:r>
      <w:r>
        <w:rPr>
          <w:w w:val="95"/>
        </w:rPr>
        <w:t>0</w:t>
      </w:r>
      <w:r>
        <w:rPr>
          <w:spacing w:val="-2"/>
          <w:w w:val="95"/>
        </w:rPr>
        <w:t>辆。公务用车运行维护费</w:t>
      </w:r>
      <w:r>
        <w:rPr>
          <w:w w:val="95"/>
        </w:rPr>
        <w:t xml:space="preserve">0万  </w:t>
      </w:r>
      <w:r>
        <w:rPr>
          <w:spacing w:val="-2"/>
          <w:w w:val="95"/>
        </w:rPr>
        <w:t>元，截止</w:t>
      </w:r>
      <w:r>
        <w:rPr>
          <w:w w:val="95"/>
        </w:rPr>
        <w:t>2019年12月31</w:t>
      </w:r>
      <w:r>
        <w:rPr>
          <w:spacing w:val="-3"/>
          <w:w w:val="95"/>
        </w:rPr>
        <w:t>日，我单位开支财政拨款的公务用车保有量为</w:t>
      </w:r>
      <w:r>
        <w:rPr>
          <w:w w:val="95"/>
        </w:rPr>
        <w:t xml:space="preserve">0  </w:t>
      </w:r>
      <w:r>
        <w:t>辆。</w:t>
      </w:r>
    </w:p>
    <w:p>
      <w:pPr>
        <w:pStyle w:val="5"/>
        <w:spacing w:before="3"/>
        <w:rPr>
          <w:rFonts w:hint="eastAsia" w:ascii="黑体" w:eastAsia="黑体"/>
        </w:rPr>
      </w:pPr>
      <w:r>
        <w:rPr>
          <w:rFonts w:hint="eastAsia" w:ascii="黑体" w:eastAsia="黑体"/>
        </w:rPr>
        <w:t>八、政府性基金预算收入支出决算情况</w:t>
      </w:r>
    </w:p>
    <w:p>
      <w:pPr>
        <w:pStyle w:val="6"/>
        <w:spacing w:before="214" w:line="364" w:lineRule="auto"/>
        <w:ind w:right="340" w:firstLine="640"/>
      </w:pPr>
      <w:r>
        <w:t xml:space="preserve">2019年度政府性基金预算财政拨款收入0万元；年初结转和结余0 </w:t>
      </w:r>
      <w:r>
        <w:rPr>
          <w:spacing w:val="-2"/>
          <w:w w:val="95"/>
        </w:rPr>
        <w:t>万元；支出</w:t>
      </w:r>
      <w:r>
        <w:rPr>
          <w:w w:val="95"/>
        </w:rPr>
        <w:t>0</w:t>
      </w:r>
      <w:r>
        <w:rPr>
          <w:spacing w:val="-1"/>
          <w:w w:val="95"/>
        </w:rPr>
        <w:t>万元，其中基本支出</w:t>
      </w:r>
      <w:r>
        <w:rPr>
          <w:w w:val="95"/>
        </w:rPr>
        <w:t>0</w:t>
      </w:r>
      <w:r>
        <w:rPr>
          <w:spacing w:val="-2"/>
          <w:w w:val="95"/>
        </w:rPr>
        <w:t>万元，项目支出</w:t>
      </w:r>
      <w:r>
        <w:rPr>
          <w:w w:val="95"/>
        </w:rPr>
        <w:t>0</w:t>
      </w:r>
      <w:r>
        <w:rPr>
          <w:spacing w:val="-1"/>
          <w:w w:val="95"/>
        </w:rPr>
        <w:t xml:space="preserve">万元；年末结转和  </w:t>
      </w:r>
      <w:r>
        <w:rPr>
          <w:spacing w:val="-1"/>
        </w:rPr>
        <w:t>结余0万元。2019年度我单位无政府性基金预算收入支出。</w:t>
      </w:r>
    </w:p>
    <w:p>
      <w:pPr>
        <w:pStyle w:val="5"/>
        <w:spacing w:before="2"/>
        <w:rPr>
          <w:rFonts w:hint="eastAsia" w:ascii="黑体" w:eastAsia="黑体"/>
        </w:rPr>
      </w:pPr>
      <w:r>
        <w:rPr>
          <w:rFonts w:hint="eastAsia" w:ascii="黑体" w:eastAsia="黑体"/>
        </w:rPr>
        <w:t>九、关于2019年度预算绩效情况说明</w:t>
      </w:r>
    </w:p>
    <w:p>
      <w:pPr>
        <w:pStyle w:val="6"/>
        <w:spacing w:before="214"/>
        <w:ind w:left="1439"/>
        <w:rPr>
          <w:rFonts w:hint="eastAsia" w:ascii="楷体" w:eastAsia="楷体"/>
        </w:rPr>
      </w:pPr>
      <w:r>
        <w:rPr>
          <w:rFonts w:hint="eastAsia" w:ascii="楷体" w:eastAsia="楷体"/>
        </w:rPr>
        <w:t>（一）预算绩效管理工作开展情况</w:t>
      </w:r>
    </w:p>
    <w:p>
      <w:pPr>
        <w:spacing w:after="0"/>
        <w:rPr>
          <w:rFonts w:hint="eastAsia" w:ascii="楷体" w:eastAsia="楷体"/>
        </w:rPr>
        <w:sectPr>
          <w:pgSz w:w="11910" w:h="16840"/>
          <w:pgMar w:top="1500" w:right="740" w:bottom="280" w:left="440" w:header="720" w:footer="720" w:gutter="0"/>
          <w:cols w:space="720" w:num="1"/>
        </w:sectPr>
      </w:pPr>
    </w:p>
    <w:p>
      <w:pPr>
        <w:pStyle w:val="6"/>
        <w:spacing w:before="30"/>
        <w:ind w:left="100"/>
      </w:pPr>
      <w:r>
        <w:t>根据预算绩效管理要求，本单位组织对 2019 年度一般公共服务支出项目</w:t>
      </w:r>
    </w:p>
    <w:p>
      <w:pPr>
        <w:pStyle w:val="6"/>
        <w:spacing w:before="214" w:line="364" w:lineRule="auto"/>
        <w:ind w:left="637" w:right="424"/>
      </w:pPr>
      <w:r>
        <w:rPr>
          <w:spacing w:val="-1"/>
        </w:rPr>
        <w:t xml:space="preserve">支出开展了绩效自评，共涉及资金 </w:t>
      </w:r>
      <w:r>
        <w:t>520.12</w:t>
      </w:r>
      <w:r>
        <w:rPr>
          <w:spacing w:val="-10"/>
        </w:rPr>
        <w:t xml:space="preserve"> 万元，占项目支出预算总</w:t>
      </w:r>
      <w:r>
        <w:rPr>
          <w:spacing w:val="-37"/>
        </w:rPr>
        <w:t xml:space="preserve">额的 </w:t>
      </w:r>
      <w:r>
        <w:t>100</w:t>
      </w:r>
      <w:r>
        <w:rPr>
          <w:spacing w:val="-4"/>
        </w:rPr>
        <w:t>%。本单位为共组织对一般公共服务支出一级项目和一般行政</w:t>
      </w:r>
      <w:r>
        <w:rPr>
          <w:spacing w:val="-10"/>
          <w:w w:val="95"/>
        </w:rPr>
        <w:t xml:space="preserve">管理事务-体制外网格及“两新”等党务工作者补助经费、村级服务群  </w:t>
      </w:r>
      <w:r>
        <w:rPr>
          <w:spacing w:val="-19"/>
        </w:rPr>
        <w:t xml:space="preserve">众专项工作经费 </w:t>
      </w:r>
      <w:r>
        <w:t>2</w:t>
      </w:r>
      <w:r>
        <w:rPr>
          <w:spacing w:val="-14"/>
        </w:rPr>
        <w:t xml:space="preserve"> 个二级项目开展了重点绩效评价，涉及资金 </w:t>
      </w:r>
      <w:r>
        <w:t>310.1 万元。上述项目均委托第三方机构开展绩效评价。从评价情况来看， 有关项目立项程序完整、规范，预算执行及时、有效，绩效目标得到较好实现，绩效管理水平不断提高，绩效指标体系建设逐渐丰富和完善。</w:t>
      </w:r>
    </w:p>
    <w:p>
      <w:pPr>
        <w:pStyle w:val="6"/>
        <w:spacing w:before="6"/>
        <w:ind w:left="1439"/>
        <w:rPr>
          <w:rFonts w:hint="eastAsia" w:ascii="楷体" w:eastAsia="楷体"/>
        </w:rPr>
      </w:pPr>
      <w:r>
        <w:rPr>
          <w:rFonts w:hint="eastAsia" w:ascii="楷体" w:eastAsia="楷体"/>
        </w:rPr>
        <w:t>（二）部门决算中项目绩效自评结果</w:t>
      </w:r>
    </w:p>
    <w:p>
      <w:pPr>
        <w:pStyle w:val="5"/>
        <w:ind w:left="1280"/>
      </w:pPr>
      <w:r>
        <w:t>1.整体绩效评价报告</w:t>
      </w:r>
    </w:p>
    <w:p>
      <w:pPr>
        <w:pStyle w:val="6"/>
        <w:spacing w:before="214" w:line="364" w:lineRule="auto"/>
        <w:ind w:right="424" w:firstLine="799"/>
        <w:jc w:val="both"/>
      </w:pPr>
      <w:r>
        <w:t>2019 年，石峰区委组织部以党的十九大精神为指导，认真贯彻落实全国、全省和全市组织工作会议精神及区委工作要求，以“火车头”城市基层党建品牌为抓手，扎实推进基层党建、干部队伍建设、人才等组织工作高质量发展。</w:t>
      </w:r>
    </w:p>
    <w:p>
      <w:pPr>
        <w:pStyle w:val="6"/>
        <w:spacing w:before="3"/>
        <w:ind w:left="1280"/>
      </w:pPr>
      <w:r>
        <w:t>（一）以提升组织力为重点，推进基层党建高质量发展。</w:t>
      </w:r>
    </w:p>
    <w:p>
      <w:pPr>
        <w:pStyle w:val="6"/>
        <w:spacing w:before="214" w:line="364" w:lineRule="auto"/>
        <w:ind w:right="263" w:firstLine="640"/>
      </w:pPr>
      <w:r>
        <w:t>1.强化理论武装，扎实开展主题教育。一是紧扣主线集中发力。二是瞄准问题精准发力。三是注重结合有效发力。2.统筹工作重点， 全面夯实基层基础。一是全面推进党支部“五化”建设。二是两新党</w:t>
      </w:r>
      <w:r>
        <w:rPr>
          <w:spacing w:val="-8"/>
        </w:rPr>
        <w:t>建工作体系不断完善。三是党员教育管理持续加强。</w:t>
      </w:r>
      <w:r>
        <w:t>3.抓实城市党建， 创新服务基层治理。一是搭建城市基层党建新载体。二是构建共驻共建共享新方式。三是打造服务群众工作新机制。4.加大整治力度，全</w:t>
      </w:r>
    </w:p>
    <w:p>
      <w:pPr>
        <w:spacing w:after="0" w:line="364" w:lineRule="auto"/>
        <w:sectPr>
          <w:pgSz w:w="11910" w:h="16840"/>
          <w:pgMar w:top="1500" w:right="740" w:bottom="280" w:left="440" w:header="720" w:footer="720" w:gutter="0"/>
          <w:cols w:space="720" w:num="1"/>
        </w:sectPr>
      </w:pPr>
    </w:p>
    <w:p>
      <w:pPr>
        <w:pStyle w:val="6"/>
        <w:spacing w:before="30" w:line="364" w:lineRule="auto"/>
        <w:ind w:right="426"/>
      </w:pPr>
      <w:r>
        <w:t>力改善基层形象。一是积极推进软弱涣散党组织整顿。二是抓好中央扫黑除恶督导组反馈问题整改。三是开展基层党建减负提质。</w:t>
      </w:r>
    </w:p>
    <w:p>
      <w:pPr>
        <w:pStyle w:val="6"/>
        <w:spacing w:before="1"/>
        <w:ind w:left="954"/>
      </w:pPr>
      <w:r>
        <w:rPr>
          <w:w w:val="95"/>
        </w:rPr>
        <w:t>（二）聚焦三大主线，着力推进领导班子和干部队伍建设。</w:t>
      </w:r>
    </w:p>
    <w:p>
      <w:pPr>
        <w:pStyle w:val="6"/>
        <w:spacing w:before="214" w:line="364" w:lineRule="auto"/>
        <w:ind w:right="424" w:firstLine="640"/>
        <w:jc w:val="both"/>
      </w:pPr>
      <w:r>
        <w:t>1.积极推进领导班子和队伍建设。一是积极走访调研全面掌握干部队伍情况。二是调优配强科级领导班子。三是创新面谈考察机制， 旗帜鲜明选任“干将”。四是顺利完成职务与职级并行工作。2.稳步推进干部教育工作。一是全面完成上级调训任务。二是开展年轻干部业务能力培训。三是选派优秀年轻干部到乡村任职锻炼。3.扎实做好干部监督工作。一是严格执行干部调整配备预审制度。二是做好干监日常工作。</w:t>
      </w:r>
    </w:p>
    <w:p>
      <w:pPr>
        <w:pStyle w:val="6"/>
        <w:spacing w:before="6"/>
        <w:ind w:left="1266"/>
      </w:pPr>
      <w:r>
        <w:t>（三）开展精细服务，营造重才引才良好氛围。</w:t>
      </w:r>
    </w:p>
    <w:p>
      <w:pPr>
        <w:pStyle w:val="6"/>
        <w:spacing w:before="214" w:line="364" w:lineRule="auto"/>
        <w:ind w:right="202" w:firstLine="640"/>
      </w:pPr>
      <w:r>
        <w:rPr>
          <w:spacing w:val="-16"/>
        </w:rPr>
        <w:t xml:space="preserve">积极协助辖区企业开展奖补申报，认真抓好区人才 </w:t>
      </w:r>
      <w:r>
        <w:t>20</w:t>
      </w:r>
      <w:r>
        <w:rPr>
          <w:spacing w:val="-17"/>
        </w:rPr>
        <w:t xml:space="preserve"> 条政策落实， 主动服务好辖区企业和人才。</w:t>
      </w:r>
    </w:p>
    <w:p>
      <w:pPr>
        <w:pStyle w:val="6"/>
        <w:spacing w:before="2"/>
        <w:ind w:left="1266"/>
      </w:pPr>
      <w:r>
        <w:t>（四）用心用情服务，切实发挥老干部“余热”。</w:t>
      </w:r>
    </w:p>
    <w:p>
      <w:pPr>
        <w:pStyle w:val="6"/>
        <w:spacing w:before="214" w:line="364" w:lineRule="auto"/>
        <w:ind w:right="424" w:firstLine="640"/>
      </w:pPr>
      <w:r>
        <w:t>全面落实老干部政治待遇，全面落实老干部生活待遇，不断丰富老干部精神文化需求，涉老组织工作成效明显。</w:t>
      </w:r>
    </w:p>
    <w:p>
      <w:pPr>
        <w:pStyle w:val="6"/>
        <w:spacing w:before="1"/>
        <w:ind w:left="1280"/>
      </w:pPr>
      <w:r>
        <w:rPr>
          <w:w w:val="95"/>
        </w:rPr>
        <w:t>（五）推进内部建设，争创模范先进部门。</w:t>
      </w:r>
    </w:p>
    <w:p>
      <w:pPr>
        <w:pStyle w:val="10"/>
        <w:numPr>
          <w:ilvl w:val="0"/>
          <w:numId w:val="2"/>
        </w:numPr>
        <w:tabs>
          <w:tab w:val="left" w:pos="1603"/>
        </w:tabs>
        <w:spacing w:before="214" w:after="0" w:line="364" w:lineRule="auto"/>
        <w:ind w:left="640" w:right="424" w:firstLine="640"/>
        <w:jc w:val="both"/>
        <w:rPr>
          <w:sz w:val="30"/>
        </w:rPr>
      </w:pPr>
      <w:r>
        <w:rPr>
          <w:sz w:val="32"/>
        </w:rPr>
        <w:t>把政治建部摆在首位。2.发挥组工干部先锋模范作用。充分运</w:t>
      </w:r>
      <w:r>
        <w:rPr>
          <w:spacing w:val="-3"/>
          <w:sz w:val="32"/>
        </w:rPr>
        <w:t xml:space="preserve">用“五问工作法”和网格考核，统筹完成预安事项工作 </w:t>
      </w:r>
      <w:r>
        <w:rPr>
          <w:sz w:val="32"/>
        </w:rPr>
        <w:t>200</w:t>
      </w:r>
      <w:r>
        <w:rPr>
          <w:spacing w:val="-16"/>
          <w:sz w:val="32"/>
        </w:rPr>
        <w:t xml:space="preserve"> 多项。认</w:t>
      </w:r>
      <w:r>
        <w:rPr>
          <w:spacing w:val="-7"/>
          <w:sz w:val="32"/>
        </w:rPr>
        <w:t xml:space="preserve">真落实“每月一日下网格”，为联点社区开展卫生整治、政策宣传， </w:t>
      </w:r>
      <w:r>
        <w:rPr>
          <w:spacing w:val="-2"/>
          <w:sz w:val="32"/>
        </w:rPr>
        <w:t>协调电梯加装等相关事宜；为联系企业解决道路安全、子女就学等相</w:t>
      </w:r>
      <w:r>
        <w:rPr>
          <w:sz w:val="32"/>
        </w:rPr>
        <w:t>关困难。组工干部深入基层开展防汛、创文值守，深入全区微信网格</w:t>
      </w:r>
    </w:p>
    <w:p>
      <w:pPr>
        <w:spacing w:after="0" w:line="364" w:lineRule="auto"/>
        <w:jc w:val="both"/>
        <w:rPr>
          <w:sz w:val="30"/>
        </w:rPr>
        <w:sectPr>
          <w:pgSz w:w="11910" w:h="16840"/>
          <w:pgMar w:top="1500" w:right="740" w:bottom="280" w:left="440" w:header="720" w:footer="720" w:gutter="0"/>
          <w:cols w:space="720" w:num="1"/>
        </w:sectPr>
      </w:pPr>
    </w:p>
    <w:p>
      <w:pPr>
        <w:pStyle w:val="6"/>
        <w:spacing w:before="1" w:line="364" w:lineRule="auto"/>
        <w:ind w:right="424"/>
        <w:jc w:val="both"/>
      </w:pPr>
      <w:r>
        <w:t>群，进一步拉进了党群干部关系。《经济日报》</w:t>
      </w:r>
      <w:r>
        <w:rPr>
          <w:rFonts w:hint="eastAsia"/>
          <w:lang w:eastAsia="zh-CN"/>
        </w:rPr>
        <w:t>、</w:t>
      </w:r>
      <w:r>
        <w:t xml:space="preserve"> </w:t>
      </w:r>
      <w:r>
        <w:rPr>
          <w:spacing w:val="-6"/>
        </w:rPr>
        <w:t>株洲日报</w:t>
      </w:r>
      <w:r>
        <w:rPr>
          <w:rFonts w:hint="eastAsia"/>
          <w:spacing w:val="-6"/>
          <w:lang w:eastAsia="zh-CN"/>
        </w:rPr>
        <w:t>、</w:t>
      </w:r>
      <w:r>
        <w:rPr>
          <w:spacing w:val="-8"/>
        </w:rPr>
        <w:t>株洲组工网</w:t>
      </w:r>
      <w:r>
        <w:rPr>
          <w:rFonts w:hint="eastAsia"/>
          <w:spacing w:val="-8"/>
          <w:lang w:eastAsia="zh-CN"/>
        </w:rPr>
        <w:t>对我区组织工作进行报道</w:t>
      </w:r>
      <w:r>
        <w:rPr>
          <w:spacing w:val="-46"/>
        </w:rPr>
        <w:t>。</w:t>
      </w:r>
      <w:r>
        <w:t>2019</w:t>
      </w:r>
      <w:r>
        <w:rPr>
          <w:spacing w:val="-16"/>
        </w:rPr>
        <w:t xml:space="preserve"> 年度实际使用专项资金 </w:t>
      </w:r>
      <w:r>
        <w:t>520.12</w:t>
      </w:r>
      <w:r>
        <w:rPr>
          <w:spacing w:val="-13"/>
        </w:rPr>
        <w:t xml:space="preserve"> 万元，按进度申请和支付专项资金，确保不挪用，不截留，专款专用。</w:t>
      </w:r>
    </w:p>
    <w:p>
      <w:pPr>
        <w:pStyle w:val="6"/>
        <w:spacing w:before="21" w:line="326" w:lineRule="auto"/>
        <w:ind w:right="424" w:firstLine="640"/>
        <w:jc w:val="both"/>
      </w:pPr>
      <w:r>
        <w:t>整体绩效目标：研究和指导全区党组织建设，深入践行党建引领发展的理念，努力打造“</w:t>
      </w:r>
      <w:r>
        <w:rPr>
          <w:rFonts w:hint="eastAsia"/>
          <w:lang w:eastAsia="zh-CN"/>
        </w:rPr>
        <w:t>火车头</w:t>
      </w:r>
      <w:r>
        <w:t>”</w:t>
      </w:r>
      <w:r>
        <w:rPr>
          <w:rFonts w:hint="eastAsia"/>
          <w:lang w:eastAsia="zh-CN"/>
        </w:rPr>
        <w:t>党建工作品牌，</w:t>
      </w:r>
      <w:r>
        <w:t>负责全区组织、干部</w:t>
      </w:r>
      <w:r>
        <w:rPr>
          <w:rFonts w:hint="eastAsia"/>
          <w:lang w:eastAsia="zh-CN"/>
        </w:rPr>
        <w:t>、人才工作</w:t>
      </w:r>
      <w:r>
        <w:t>，及时向市委组织部和区委反映重要情况，提出建议。</w:t>
      </w:r>
    </w:p>
    <w:p>
      <w:pPr>
        <w:pStyle w:val="6"/>
        <w:spacing w:before="2" w:line="326" w:lineRule="auto"/>
        <w:ind w:right="424" w:firstLine="640"/>
        <w:jc w:val="both"/>
      </w:pPr>
      <w:r>
        <w:t>产出指标：组织制定或参与制定全区组织、干部、人事工作的重要政策和制度</w:t>
      </w:r>
      <w:r>
        <w:rPr>
          <w:rFonts w:hint="eastAsia"/>
          <w:lang w:eastAsia="zh-CN"/>
        </w:rPr>
        <w:t>，指导推进</w:t>
      </w:r>
      <w:r>
        <w:t>全区基层党建工作，不断深化全领域多层面党建工作的联动。</w:t>
      </w:r>
    </w:p>
    <w:p>
      <w:pPr>
        <w:pStyle w:val="6"/>
        <w:spacing w:line="326" w:lineRule="auto"/>
        <w:ind w:right="424" w:firstLine="640"/>
        <w:rPr>
          <w:rFonts w:hint="eastAsia" w:eastAsia="仿宋"/>
          <w:lang w:eastAsia="zh-CN"/>
        </w:rPr>
      </w:pPr>
      <w:r>
        <w:t>效益指标：</w:t>
      </w:r>
      <w:r>
        <w:rPr>
          <w:rFonts w:hint="eastAsia"/>
          <w:lang w:eastAsia="zh-CN"/>
        </w:rPr>
        <w:t>推进全区基层党建工作，</w:t>
      </w:r>
      <w:r>
        <w:t>负责全区干部队伍的宏观管理，负责区委管理的领导班子及其成员工作实绩的考核</w:t>
      </w:r>
      <w:r>
        <w:rPr>
          <w:rFonts w:hint="eastAsia"/>
          <w:lang w:eastAsia="zh-CN"/>
        </w:rPr>
        <w:t>，为建设“一极三区”新石峰提供坚强的组织保证。</w:t>
      </w:r>
    </w:p>
    <w:p>
      <w:pPr>
        <w:pStyle w:val="5"/>
        <w:numPr>
          <w:ilvl w:val="0"/>
          <w:numId w:val="2"/>
        </w:numPr>
        <w:tabs>
          <w:tab w:val="left" w:pos="1603"/>
        </w:tabs>
        <w:spacing w:before="0" w:after="0" w:line="392" w:lineRule="exact"/>
        <w:ind w:left="1602" w:right="0" w:hanging="323"/>
        <w:jc w:val="left"/>
        <w:rPr>
          <w:sz w:val="30"/>
        </w:rPr>
      </w:pPr>
      <w:r>
        <w:t>项目绩效评价报告</w:t>
      </w:r>
    </w:p>
    <w:p>
      <w:pPr>
        <w:pStyle w:val="10"/>
        <w:numPr>
          <w:ilvl w:val="0"/>
          <w:numId w:val="3"/>
        </w:numPr>
        <w:tabs>
          <w:tab w:val="left" w:pos="2086"/>
        </w:tabs>
        <w:spacing w:before="214" w:after="0" w:line="240" w:lineRule="auto"/>
        <w:ind w:left="2085" w:right="0" w:hanging="801"/>
        <w:jc w:val="left"/>
        <w:rPr>
          <w:sz w:val="32"/>
        </w:rPr>
      </w:pPr>
      <w:r>
        <w:rPr>
          <w:color w:val="333333"/>
          <w:spacing w:val="-9"/>
          <w:sz w:val="32"/>
        </w:rPr>
        <w:t xml:space="preserve">村级组织运转经费 </w:t>
      </w:r>
      <w:r>
        <w:rPr>
          <w:color w:val="333333"/>
          <w:sz w:val="32"/>
        </w:rPr>
        <w:t>311</w:t>
      </w:r>
      <w:r>
        <w:rPr>
          <w:color w:val="333333"/>
          <w:spacing w:val="-21"/>
          <w:sz w:val="32"/>
        </w:rPr>
        <w:t xml:space="preserve"> 万元。</w:t>
      </w:r>
    </w:p>
    <w:p>
      <w:pPr>
        <w:pStyle w:val="6"/>
        <w:spacing w:before="214" w:line="364" w:lineRule="auto"/>
        <w:ind w:right="483" w:firstLine="645"/>
      </w:pPr>
      <w:r>
        <w:rPr>
          <w:color w:val="333333"/>
        </w:rPr>
        <w:t>实施期绩效目标：</w:t>
      </w:r>
      <w:r>
        <w:rPr>
          <w:rFonts w:hint="eastAsia"/>
          <w:color w:val="333333"/>
          <w:lang w:eastAsia="zh-CN"/>
        </w:rPr>
        <w:t>保障村干部工资待遇，确保村级党组织有效运转，</w:t>
      </w:r>
      <w:r>
        <w:rPr>
          <w:color w:val="333333"/>
        </w:rPr>
        <w:t>支持村级组织及社区党建工作。</w:t>
      </w:r>
    </w:p>
    <w:p>
      <w:pPr>
        <w:pStyle w:val="6"/>
        <w:spacing w:before="1" w:line="364" w:lineRule="auto"/>
        <w:ind w:right="479" w:firstLine="645"/>
      </w:pPr>
      <w:r>
        <w:rPr>
          <w:color w:val="333333"/>
        </w:rPr>
        <w:t>年度绩效目标：</w:t>
      </w:r>
      <w:r>
        <w:rPr>
          <w:rFonts w:hint="eastAsia"/>
          <w:color w:val="333333"/>
          <w:lang w:eastAsia="zh-CN"/>
        </w:rPr>
        <w:t>确保基层党组织有效运转</w:t>
      </w:r>
      <w:r>
        <w:rPr>
          <w:color w:val="333333"/>
        </w:rPr>
        <w:t>，补助村级党建办公经费和工作经费。</w:t>
      </w:r>
    </w:p>
    <w:p>
      <w:pPr>
        <w:pStyle w:val="6"/>
        <w:spacing w:before="2"/>
        <w:ind w:left="1285"/>
      </w:pPr>
      <w:r>
        <w:rPr>
          <w:color w:val="333333"/>
        </w:rPr>
        <w:t>数量指标：9 个行政村“两委”成员 45 人，离任村主干 157 名，</w:t>
      </w:r>
    </w:p>
    <w:p>
      <w:pPr>
        <w:pStyle w:val="6"/>
        <w:spacing w:before="214"/>
        <w:jc w:val="both"/>
      </w:pPr>
      <w:r>
        <w:rPr>
          <w:color w:val="333333"/>
        </w:rPr>
        <w:t>9 个村办公经费及党建工作经费。</w:t>
      </w:r>
    </w:p>
    <w:p>
      <w:pPr>
        <w:pStyle w:val="6"/>
        <w:spacing w:before="214"/>
        <w:ind w:left="1285"/>
      </w:pPr>
      <w:r>
        <w:rPr>
          <w:color w:val="333333"/>
        </w:rPr>
        <w:t>质量指标：确保村党组织书记基本报酬</w:t>
      </w:r>
      <w:r>
        <w:t>。</w:t>
      </w:r>
    </w:p>
    <w:p>
      <w:pPr>
        <w:spacing w:after="0"/>
        <w:sectPr>
          <w:pgSz w:w="11910" w:h="16840"/>
          <w:pgMar w:top="1500" w:right="740" w:bottom="280" w:left="440" w:header="720" w:footer="720" w:gutter="0"/>
          <w:cols w:space="720" w:num="1"/>
        </w:sectPr>
      </w:pPr>
    </w:p>
    <w:p>
      <w:pPr>
        <w:pStyle w:val="6"/>
        <w:spacing w:before="30" w:line="364" w:lineRule="auto"/>
        <w:ind w:right="479" w:firstLine="645"/>
      </w:pPr>
      <w:r>
        <w:rPr>
          <w:color w:val="333333"/>
        </w:rPr>
        <w:t>社会效益指标：</w:t>
      </w:r>
      <w:r>
        <w:rPr>
          <w:rFonts w:hint="eastAsia"/>
          <w:color w:val="333333"/>
          <w:lang w:eastAsia="zh-CN"/>
        </w:rPr>
        <w:t>保障基层党组织正常运转，</w:t>
      </w:r>
      <w:r>
        <w:rPr>
          <w:color w:val="333333"/>
        </w:rPr>
        <w:t>深化全领域多层面党建工作的联动。</w:t>
      </w:r>
    </w:p>
    <w:p>
      <w:pPr>
        <w:pStyle w:val="6"/>
        <w:spacing w:before="1"/>
        <w:ind w:left="1285"/>
      </w:pPr>
      <w:r>
        <w:rPr>
          <w:color w:val="333333"/>
        </w:rPr>
        <w:t>可持续影响指标：为村级党组织提供必要的资金支持</w:t>
      </w:r>
    </w:p>
    <w:p>
      <w:pPr>
        <w:pStyle w:val="10"/>
        <w:numPr>
          <w:ilvl w:val="0"/>
          <w:numId w:val="3"/>
        </w:numPr>
        <w:tabs>
          <w:tab w:val="left" w:pos="2086"/>
        </w:tabs>
        <w:spacing w:before="214" w:after="0" w:line="364" w:lineRule="auto"/>
        <w:ind w:left="1285" w:right="322" w:firstLine="0"/>
        <w:jc w:val="left"/>
        <w:rPr>
          <w:sz w:val="32"/>
        </w:rPr>
      </w:pPr>
      <w:r>
        <w:rPr>
          <w:spacing w:val="-5"/>
          <w:sz w:val="32"/>
        </w:rPr>
        <w:t xml:space="preserve">体制外网格及“两新”等党务工作者补助经费 </w:t>
      </w:r>
      <w:r>
        <w:rPr>
          <w:sz w:val="32"/>
        </w:rPr>
        <w:t>54.05</w:t>
      </w:r>
      <w:r>
        <w:rPr>
          <w:spacing w:val="-86"/>
          <w:sz w:val="32"/>
        </w:rPr>
        <w:t xml:space="preserve"> </w:t>
      </w:r>
      <w:r>
        <w:rPr>
          <w:color w:val="333333"/>
          <w:sz w:val="32"/>
        </w:rPr>
        <w:t>万元。实施期绩效目标：建立健全</w:t>
      </w:r>
      <w:r>
        <w:rPr>
          <w:rFonts w:hint="eastAsia"/>
          <w:color w:val="333333"/>
          <w:sz w:val="32"/>
          <w:lang w:eastAsia="zh-CN"/>
        </w:rPr>
        <w:t>网格</w:t>
      </w:r>
      <w:r>
        <w:rPr>
          <w:color w:val="333333"/>
          <w:sz w:val="32"/>
        </w:rPr>
        <w:t>工作经费保障，激发“两新”党</w:t>
      </w:r>
    </w:p>
    <w:p>
      <w:pPr>
        <w:pStyle w:val="6"/>
        <w:spacing w:before="2"/>
      </w:pPr>
      <w:r>
        <w:rPr>
          <w:color w:val="333333"/>
        </w:rPr>
        <w:t>组织的聚力作用。</w:t>
      </w:r>
    </w:p>
    <w:p>
      <w:pPr>
        <w:pStyle w:val="6"/>
        <w:spacing w:before="214" w:line="364" w:lineRule="auto"/>
        <w:ind w:right="481" w:firstLine="645"/>
      </w:pPr>
      <w:r>
        <w:rPr>
          <w:color w:val="333333"/>
          <w:w w:val="95"/>
        </w:rPr>
        <w:t>年度绩效目标：</w:t>
      </w:r>
      <w:r>
        <w:rPr>
          <w:rFonts w:hint="eastAsia"/>
          <w:color w:val="333333"/>
          <w:w w:val="95"/>
          <w:lang w:eastAsia="zh-CN"/>
        </w:rPr>
        <w:t>保障网格员有关待遇，</w:t>
      </w:r>
      <w:r>
        <w:rPr>
          <w:color w:val="333333"/>
          <w:w w:val="95"/>
        </w:rPr>
        <w:t>发挥党组织在“两新”组织中的政治核心和政治</w:t>
      </w:r>
      <w:r>
        <w:rPr>
          <w:color w:val="333333"/>
        </w:rPr>
        <w:t>引领作用。</w:t>
      </w:r>
    </w:p>
    <w:p>
      <w:pPr>
        <w:pStyle w:val="6"/>
        <w:spacing w:before="2" w:line="364" w:lineRule="auto"/>
        <w:ind w:right="562" w:firstLine="645"/>
      </w:pPr>
      <w:r>
        <w:rPr>
          <w:color w:val="333333"/>
        </w:rPr>
        <w:t>数量指标：91</w:t>
      </w:r>
      <w:r>
        <w:rPr>
          <w:color w:val="333333"/>
          <w:spacing w:val="-12"/>
        </w:rPr>
        <w:t xml:space="preserve"> 名党支部书记，</w:t>
      </w:r>
      <w:r>
        <w:rPr>
          <w:color w:val="333333"/>
        </w:rPr>
        <w:t>434</w:t>
      </w:r>
      <w:r>
        <w:rPr>
          <w:color w:val="333333"/>
          <w:spacing w:val="-15"/>
        </w:rPr>
        <w:t xml:space="preserve"> 党小组长，</w:t>
      </w:r>
      <w:r>
        <w:rPr>
          <w:color w:val="333333"/>
        </w:rPr>
        <w:t>140</w:t>
      </w:r>
      <w:r>
        <w:rPr>
          <w:color w:val="333333"/>
          <w:spacing w:val="-13"/>
        </w:rPr>
        <w:t xml:space="preserve"> 名“两新”党务工作者，7</w:t>
      </w:r>
      <w:r>
        <w:rPr>
          <w:color w:val="333333"/>
          <w:spacing w:val="-12"/>
        </w:rPr>
        <w:t xml:space="preserve"> 个新建党组织。</w:t>
      </w:r>
    </w:p>
    <w:p>
      <w:pPr>
        <w:pStyle w:val="6"/>
        <w:spacing w:before="1" w:line="364" w:lineRule="auto"/>
        <w:ind w:right="263" w:firstLine="645"/>
        <w:rPr>
          <w:rFonts w:hint="eastAsia" w:eastAsia="仿宋"/>
          <w:lang w:eastAsia="zh-CN"/>
        </w:rPr>
      </w:pPr>
      <w:r>
        <w:rPr>
          <w:color w:val="333333"/>
          <w:spacing w:val="-11"/>
        </w:rPr>
        <w:t>质量指标：</w:t>
      </w:r>
      <w:r>
        <w:rPr>
          <w:rFonts w:hint="eastAsia"/>
          <w:color w:val="333333"/>
          <w:spacing w:val="-11"/>
          <w:lang w:eastAsia="zh-CN"/>
        </w:rPr>
        <w:t>推进网格党建、“两新”党建。</w:t>
      </w:r>
    </w:p>
    <w:p>
      <w:pPr>
        <w:pStyle w:val="6"/>
        <w:spacing w:before="3" w:line="364" w:lineRule="auto"/>
        <w:ind w:right="481" w:firstLine="645"/>
      </w:pPr>
      <w:r>
        <w:rPr>
          <w:color w:val="333333"/>
          <w:w w:val="95"/>
        </w:rPr>
        <w:t xml:space="preserve">社会效益指标：建立健全党建工作经费保障，激发“两新”党组 </w:t>
      </w:r>
      <w:r>
        <w:rPr>
          <w:color w:val="333333"/>
        </w:rPr>
        <w:t>织的聚力作用</w:t>
      </w:r>
      <w:r>
        <w:rPr>
          <w:rFonts w:hint="eastAsia"/>
          <w:color w:val="333333"/>
          <w:lang w:eastAsia="zh-CN"/>
        </w:rPr>
        <w:t>，促进社会治理</w:t>
      </w:r>
      <w:r>
        <w:rPr>
          <w:color w:val="333333"/>
        </w:rPr>
        <w:t>。</w:t>
      </w:r>
    </w:p>
    <w:p>
      <w:pPr>
        <w:pStyle w:val="6"/>
        <w:spacing w:before="1" w:line="364" w:lineRule="auto"/>
        <w:ind w:right="479" w:firstLine="645"/>
      </w:pPr>
      <w:r>
        <w:rPr>
          <w:color w:val="333333"/>
        </w:rPr>
        <w:t>可持续影响指标：</w:t>
      </w:r>
      <w:r>
        <w:rPr>
          <w:rFonts w:hint="eastAsia"/>
          <w:color w:val="333333"/>
          <w:lang w:eastAsia="zh-CN"/>
        </w:rPr>
        <w:t>保障网格员有关待遇，</w:t>
      </w:r>
      <w:r>
        <w:rPr>
          <w:color w:val="333333"/>
        </w:rPr>
        <w:t>为国有企业和“两新”组织的沟通对接和共驻共建，不断加强“两新”党组织党建工作。</w:t>
      </w:r>
    </w:p>
    <w:p>
      <w:pPr>
        <w:spacing w:before="0" w:line="499" w:lineRule="exact"/>
        <w:ind w:left="1285" w:right="0" w:firstLine="0"/>
        <w:jc w:val="left"/>
        <w:rPr>
          <w:rFonts w:hint="eastAsia" w:ascii="微软雅黑" w:eastAsia="微软雅黑"/>
          <w:b/>
          <w:sz w:val="32"/>
        </w:rPr>
      </w:pPr>
      <w:r>
        <w:rPr>
          <w:rFonts w:hint="eastAsia" w:ascii="微软雅黑" w:eastAsia="微软雅黑"/>
          <w:b/>
          <w:color w:val="333333"/>
          <w:sz w:val="32"/>
        </w:rPr>
        <w:t>十、其他重要事项情况说明</w:t>
      </w:r>
    </w:p>
    <w:p>
      <w:pPr>
        <w:pStyle w:val="6"/>
        <w:spacing w:before="127"/>
        <w:ind w:left="1120"/>
        <w:rPr>
          <w:rFonts w:hint="eastAsia" w:ascii="楷体" w:eastAsia="楷体"/>
        </w:rPr>
      </w:pPr>
      <w:r>
        <w:rPr>
          <w:rFonts w:hint="eastAsia" w:ascii="楷体" w:eastAsia="楷体"/>
        </w:rPr>
        <w:t>（一）机关运行经费支出情况</w:t>
      </w:r>
    </w:p>
    <w:p>
      <w:pPr>
        <w:pStyle w:val="6"/>
        <w:spacing w:before="214" w:line="364" w:lineRule="auto"/>
        <w:ind w:right="340" w:firstLine="640"/>
        <w:rPr>
          <w:rFonts w:hint="eastAsia" w:ascii="仿宋_GB2312" w:hAnsi="仿宋_GB2312" w:eastAsia="仿宋_GB2312" w:cs="仿宋_GB2312"/>
        </w:rPr>
      </w:pPr>
      <w:r>
        <w:rPr>
          <w:rFonts w:hint="eastAsia" w:ascii="仿宋_GB2312" w:hAnsi="仿宋_GB2312" w:eastAsia="仿宋_GB2312" w:cs="仿宋_GB2312"/>
        </w:rPr>
        <w:t>本部门2019</w:t>
      </w:r>
      <w:r>
        <w:rPr>
          <w:rFonts w:hint="eastAsia" w:ascii="仿宋_GB2312" w:hAnsi="仿宋_GB2312" w:eastAsia="仿宋_GB2312" w:cs="仿宋_GB2312"/>
          <w:spacing w:val="-3"/>
        </w:rPr>
        <w:t xml:space="preserve"> 年度机关运行经费支出</w:t>
      </w:r>
      <w:r>
        <w:rPr>
          <w:rFonts w:hint="eastAsia" w:ascii="仿宋_GB2312" w:hAnsi="仿宋_GB2312" w:eastAsia="仿宋_GB2312" w:cs="仿宋_GB2312"/>
        </w:rPr>
        <w:t>37.97万元，比年初预算数减少4.914万元</w:t>
      </w:r>
      <w:r>
        <w:rPr>
          <w:rFonts w:hint="eastAsia" w:ascii="仿宋_GB2312" w:hAnsi="仿宋_GB2312" w:eastAsia="仿宋_GB2312" w:cs="仿宋_GB2312"/>
          <w:spacing w:val="-3"/>
        </w:rPr>
        <w:t>，</w:t>
      </w:r>
      <w:r>
        <w:rPr>
          <w:rFonts w:hint="eastAsia" w:ascii="仿宋_GB2312" w:hAnsi="仿宋_GB2312" w:eastAsia="仿宋_GB2312" w:cs="仿宋_GB2312"/>
        </w:rPr>
        <w:t>增加14.87</w:t>
      </w:r>
      <w:r>
        <w:rPr>
          <w:rFonts w:hint="eastAsia" w:ascii="仿宋_GB2312" w:hAnsi="仿宋_GB2312" w:eastAsia="仿宋_GB2312" w:cs="仿宋_GB2312"/>
          <w:spacing w:val="-158"/>
        </w:rPr>
        <w:t xml:space="preserve"> </w:t>
      </w:r>
      <w:r>
        <w:rPr>
          <w:rFonts w:hint="eastAsia" w:ascii="仿宋_GB2312" w:hAnsi="仿宋_GB2312" w:eastAsia="仿宋_GB2312" w:cs="仿宋_GB2312"/>
          <w:spacing w:val="8"/>
          <w:w w:val="99"/>
        </w:rPr>
        <w:drawing>
          <wp:inline distT="0" distB="0" distL="0" distR="0">
            <wp:extent cx="85090" cy="15494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14" cstate="print"/>
                    <a:stretch>
                      <a:fillRect/>
                    </a:stretch>
                  </pic:blipFill>
                  <pic:spPr>
                    <a:xfrm>
                      <a:off x="0" y="0"/>
                      <a:ext cx="85724" cy="155574"/>
                    </a:xfrm>
                    <a:prstGeom prst="rect">
                      <a:avLst/>
                    </a:prstGeom>
                  </pic:spPr>
                </pic:pic>
              </a:graphicData>
            </a:graphic>
          </wp:inline>
        </w:drawing>
      </w:r>
      <w:r>
        <w:rPr>
          <w:rFonts w:hint="eastAsia" w:ascii="仿宋_GB2312" w:hAnsi="仿宋_GB2312" w:eastAsia="仿宋_GB2312" w:cs="仿宋_GB2312"/>
          <w:spacing w:val="-3"/>
        </w:rPr>
        <w:t>。</w:t>
      </w:r>
      <w:r>
        <w:rPr>
          <w:rFonts w:hint="eastAsia" w:ascii="仿宋_GB2312" w:hAnsi="仿宋_GB2312" w:eastAsia="仿宋_GB2312" w:cs="仿宋_GB2312"/>
        </w:rPr>
        <w:t>主要原因是</w:t>
      </w:r>
      <w:r>
        <w:rPr>
          <w:rFonts w:hint="eastAsia" w:ascii="仿宋_GB2312" w:hAnsi="仿宋_GB2312" w:eastAsia="仿宋_GB2312" w:cs="仿宋_GB2312"/>
          <w:spacing w:val="-3"/>
        </w:rPr>
        <w:t>：</w:t>
      </w:r>
      <w:r>
        <w:rPr>
          <w:rFonts w:hint="eastAsia" w:ascii="仿宋_GB2312" w:hAnsi="仿宋_GB2312" w:eastAsia="仿宋_GB2312" w:cs="仿宋_GB2312"/>
        </w:rPr>
        <w:t>机构改革的原因</w:t>
      </w:r>
      <w:r>
        <w:rPr>
          <w:rFonts w:hint="eastAsia" w:ascii="仿宋_GB2312" w:hAnsi="仿宋_GB2312" w:eastAsia="仿宋_GB2312" w:cs="仿宋_GB2312"/>
          <w:spacing w:val="-3"/>
        </w:rPr>
        <w:t>，</w:t>
      </w:r>
      <w:r>
        <w:rPr>
          <w:rFonts w:hint="eastAsia" w:ascii="仿宋_GB2312" w:hAnsi="仿宋_GB2312" w:eastAsia="仿宋_GB2312" w:cs="仿宋_GB2312"/>
        </w:rPr>
        <w:t>机关工委和老干部局合并入组织部，人员增加，运行经费支出增加。</w:t>
      </w:r>
    </w:p>
    <w:p>
      <w:pPr>
        <w:spacing w:after="0" w:line="364" w:lineRule="auto"/>
        <w:sectPr>
          <w:pgSz w:w="11910" w:h="16840"/>
          <w:pgMar w:top="1500" w:right="740" w:bottom="280" w:left="440" w:header="720" w:footer="720" w:gutter="0"/>
          <w:cols w:space="720" w:num="1"/>
        </w:sectPr>
      </w:pPr>
    </w:p>
    <w:p>
      <w:pPr>
        <w:pStyle w:val="6"/>
        <w:spacing w:before="30"/>
        <w:ind w:left="607" w:right="5570"/>
        <w:jc w:val="center"/>
        <w:rPr>
          <w:rFonts w:hint="eastAsia" w:ascii="楷体" w:eastAsia="楷体"/>
        </w:rPr>
      </w:pPr>
      <w:r>
        <w:rPr>
          <w:rFonts w:hint="eastAsia" w:ascii="楷体" w:eastAsia="楷体"/>
        </w:rPr>
        <w:t>（二）一般性支出情况</w:t>
      </w:r>
    </w:p>
    <w:p>
      <w:pPr>
        <w:pStyle w:val="6"/>
        <w:spacing w:before="214" w:line="364" w:lineRule="auto"/>
        <w:ind w:right="484" w:firstLine="640"/>
        <w:jc w:val="both"/>
        <w:rPr>
          <w:rFonts w:hint="eastAsia" w:ascii="仿宋_GB2312" w:eastAsia="仿宋_GB2312"/>
        </w:rPr>
      </w:pPr>
      <w:r>
        <w:rPr>
          <w:rFonts w:hint="eastAsia" w:ascii="仿宋_GB2312" w:eastAsia="仿宋_GB2312"/>
          <w:w w:val="95"/>
        </w:rPr>
        <w:t xml:space="preserve">2019年本部门开支会议费0.94万元，用于召开组织工作会议和基 层工作党支部会议，人数96人，内容为2018年基层工作党支部工作总  </w:t>
      </w:r>
      <w:r>
        <w:rPr>
          <w:rFonts w:hint="eastAsia" w:ascii="仿宋_GB2312" w:eastAsia="仿宋_GB2312"/>
        </w:rPr>
        <w:t>结、先进支部工作交流、2019年组织工作计划。</w:t>
      </w:r>
    </w:p>
    <w:p>
      <w:pPr>
        <w:pStyle w:val="6"/>
        <w:spacing w:before="2"/>
        <w:ind w:left="605" w:right="5570"/>
        <w:jc w:val="center"/>
        <w:rPr>
          <w:rFonts w:hint="eastAsia" w:ascii="楷体" w:eastAsia="楷体"/>
        </w:rPr>
      </w:pPr>
      <w:r>
        <w:rPr>
          <w:rFonts w:hint="eastAsia" w:ascii="楷体" w:eastAsia="楷体"/>
        </w:rPr>
        <w:t>（三）政府采购支出情况</w:t>
      </w:r>
    </w:p>
    <w:p>
      <w:pPr>
        <w:pStyle w:val="6"/>
        <w:spacing w:before="214" w:line="367" w:lineRule="auto"/>
        <w:ind w:right="337" w:firstLine="640"/>
        <w:jc w:val="both"/>
        <w:rPr>
          <w:rFonts w:hint="eastAsia" w:ascii="仿宋_GB2312" w:eastAsia="仿宋_GB2312"/>
        </w:rPr>
      </w:pPr>
      <w:r>
        <w:rPr>
          <w:rFonts w:hint="eastAsia" w:ascii="仿宋_GB2312" w:eastAsia="仿宋_GB2312"/>
          <w:w w:val="95"/>
        </w:rPr>
        <w:t>本部门2019年度政府采购支出总额0</w:t>
      </w:r>
      <w:r>
        <w:rPr>
          <w:rFonts w:hint="eastAsia" w:ascii="仿宋_GB2312" w:eastAsia="仿宋_GB2312"/>
          <w:spacing w:val="-4"/>
          <w:w w:val="95"/>
        </w:rPr>
        <w:t>元，其中：政府采购货物支出   0</w:t>
      </w:r>
      <w:r>
        <w:rPr>
          <w:rFonts w:hint="eastAsia" w:ascii="仿宋_GB2312" w:eastAsia="仿宋_GB2312"/>
          <w:spacing w:val="-3"/>
          <w:w w:val="95"/>
        </w:rPr>
        <w:t>万元、政府采购工程支出</w:t>
      </w:r>
      <w:r>
        <w:rPr>
          <w:rFonts w:hint="eastAsia" w:ascii="仿宋_GB2312" w:eastAsia="仿宋_GB2312"/>
          <w:w w:val="95"/>
        </w:rPr>
        <w:t>0</w:t>
      </w:r>
      <w:r>
        <w:rPr>
          <w:rFonts w:hint="eastAsia" w:ascii="仿宋_GB2312" w:eastAsia="仿宋_GB2312"/>
          <w:spacing w:val="-2"/>
          <w:w w:val="95"/>
        </w:rPr>
        <w:t>万元、政府采购服务支出</w:t>
      </w:r>
      <w:r>
        <w:rPr>
          <w:rFonts w:hint="eastAsia" w:ascii="仿宋_GB2312" w:eastAsia="仿宋_GB2312"/>
          <w:w w:val="95"/>
        </w:rPr>
        <w:t>0</w:t>
      </w:r>
      <w:r>
        <w:rPr>
          <w:rFonts w:hint="eastAsia" w:ascii="仿宋_GB2312" w:eastAsia="仿宋_GB2312"/>
          <w:spacing w:val="-2"/>
          <w:w w:val="95"/>
        </w:rPr>
        <w:t xml:space="preserve">万元。授予中小  </w:t>
      </w:r>
      <w:r>
        <w:rPr>
          <w:rFonts w:hint="eastAsia" w:ascii="仿宋_GB2312" w:eastAsia="仿宋_GB2312"/>
          <w:spacing w:val="-2"/>
          <w:w w:val="95"/>
          <w:position w:val="1"/>
        </w:rPr>
        <w:t>企业合同金额0万元</w:t>
      </w:r>
      <w:r>
        <w:rPr>
          <w:rFonts w:hint="eastAsia" w:ascii="仿宋_GB2312" w:eastAsia="仿宋_GB2312"/>
          <w:spacing w:val="-3"/>
          <w:w w:val="95"/>
          <w:position w:val="1"/>
        </w:rPr>
        <w:t>，</w:t>
      </w:r>
      <w:r>
        <w:rPr>
          <w:rFonts w:hint="eastAsia" w:ascii="仿宋_GB2312" w:eastAsia="仿宋_GB2312"/>
          <w:w w:val="95"/>
          <w:position w:val="1"/>
        </w:rPr>
        <w:t>占政府采购支出总额的</w:t>
      </w:r>
      <w:r>
        <w:rPr>
          <w:rFonts w:hint="eastAsia" w:ascii="仿宋_GB2312" w:eastAsia="仿宋_GB2312"/>
          <w:spacing w:val="11"/>
          <w:w w:val="95"/>
          <w:position w:val="1"/>
        </w:rPr>
        <w:t>0</w:t>
      </w:r>
      <w:r>
        <w:rPr>
          <w:rFonts w:hint="eastAsia" w:ascii="仿宋_GB2312" w:eastAsia="仿宋_GB2312"/>
          <w:spacing w:val="159"/>
          <w:w w:val="95"/>
          <w:position w:val="1"/>
        </w:rPr>
        <w:t xml:space="preserve"> </w:t>
      </w:r>
      <w:r>
        <w:rPr>
          <w:rFonts w:hint="eastAsia" w:ascii="仿宋_GB2312" w:eastAsia="仿宋_GB2312"/>
          <w:spacing w:val="11"/>
          <w:w w:val="99"/>
        </w:rPr>
        <w:drawing>
          <wp:inline distT="0" distB="0" distL="0" distR="0">
            <wp:extent cx="85090" cy="154940"/>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a:picLocks noChangeAspect="1"/>
                    </pic:cNvPicPr>
                  </pic:nvPicPr>
                  <pic:blipFill>
                    <a:blip r:embed="rId14" cstate="print"/>
                    <a:stretch>
                      <a:fillRect/>
                    </a:stretch>
                  </pic:blipFill>
                  <pic:spPr>
                    <a:xfrm>
                      <a:off x="0" y="0"/>
                      <a:ext cx="85724" cy="155574"/>
                    </a:xfrm>
                    <a:prstGeom prst="rect">
                      <a:avLst/>
                    </a:prstGeom>
                  </pic:spPr>
                </pic:pic>
              </a:graphicData>
            </a:graphic>
          </wp:inline>
        </w:drawing>
      </w:r>
      <w:r>
        <w:rPr>
          <w:rFonts w:hint="eastAsia" w:ascii="仿宋_GB2312" w:eastAsia="仿宋_GB2312"/>
          <w:spacing w:val="-5"/>
          <w:position w:val="1"/>
        </w:rPr>
        <w:t>，</w:t>
      </w:r>
      <w:r>
        <w:rPr>
          <w:rFonts w:hint="eastAsia" w:ascii="仿宋_GB2312" w:eastAsia="仿宋_GB2312"/>
          <w:position w:val="1"/>
        </w:rPr>
        <w:t>其中</w:t>
      </w:r>
      <w:r>
        <w:rPr>
          <w:rFonts w:hint="eastAsia" w:ascii="仿宋_GB2312" w:eastAsia="仿宋_GB2312"/>
          <w:spacing w:val="-3"/>
          <w:position w:val="1"/>
        </w:rPr>
        <w:t>：</w:t>
      </w:r>
      <w:r>
        <w:rPr>
          <w:rFonts w:hint="eastAsia" w:ascii="仿宋_GB2312" w:eastAsia="仿宋_GB2312"/>
          <w:position w:val="1"/>
        </w:rPr>
        <w:t>授予小微企业</w:t>
      </w:r>
      <w:r>
        <w:rPr>
          <w:rFonts w:hint="eastAsia" w:ascii="仿宋_GB2312" w:eastAsia="仿宋_GB2312"/>
          <w:w w:val="95"/>
        </w:rPr>
        <w:t>合同金额0万元，占政府采购支出总额的</w:t>
      </w:r>
      <w:r>
        <w:rPr>
          <w:rFonts w:hint="eastAsia" w:ascii="仿宋_GB2312" w:eastAsia="仿宋_GB2312"/>
          <w:spacing w:val="11"/>
          <w:w w:val="95"/>
        </w:rPr>
        <w:t>0</w:t>
      </w:r>
      <w:r>
        <w:rPr>
          <w:rFonts w:hint="eastAsia" w:ascii="仿宋_GB2312" w:eastAsia="仿宋_GB2312"/>
          <w:spacing w:val="129"/>
          <w:w w:val="95"/>
        </w:rPr>
        <w:t xml:space="preserve"> </w:t>
      </w:r>
      <w:r>
        <w:rPr>
          <w:rFonts w:hint="eastAsia" w:ascii="仿宋_GB2312" w:eastAsia="仿宋_GB2312"/>
          <w:spacing w:val="11"/>
          <w:w w:val="99"/>
        </w:rPr>
        <w:drawing>
          <wp:inline distT="0" distB="0" distL="0" distR="0">
            <wp:extent cx="85090" cy="154940"/>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png"/>
                    <pic:cNvPicPr>
                      <a:picLocks noChangeAspect="1"/>
                    </pic:cNvPicPr>
                  </pic:nvPicPr>
                  <pic:blipFill>
                    <a:blip r:embed="rId14" cstate="print"/>
                    <a:stretch>
                      <a:fillRect/>
                    </a:stretch>
                  </pic:blipFill>
                  <pic:spPr>
                    <a:xfrm>
                      <a:off x="0" y="0"/>
                      <a:ext cx="85724" cy="155574"/>
                    </a:xfrm>
                    <a:prstGeom prst="rect">
                      <a:avLst/>
                    </a:prstGeom>
                  </pic:spPr>
                </pic:pic>
              </a:graphicData>
            </a:graphic>
          </wp:inline>
        </w:drawing>
      </w:r>
      <w:r>
        <w:rPr>
          <w:rFonts w:hint="eastAsia" w:ascii="仿宋_GB2312" w:eastAsia="仿宋_GB2312"/>
        </w:rPr>
        <w:t>。</w:t>
      </w:r>
    </w:p>
    <w:p>
      <w:pPr>
        <w:pStyle w:val="6"/>
        <w:spacing w:line="397" w:lineRule="exact"/>
        <w:ind w:left="605" w:right="5570"/>
        <w:jc w:val="center"/>
        <w:rPr>
          <w:rFonts w:hint="eastAsia" w:ascii="楷体" w:eastAsia="楷体"/>
        </w:rPr>
      </w:pPr>
      <w:r>
        <w:rPr>
          <w:rFonts w:hint="eastAsia" w:ascii="楷体" w:eastAsia="楷体"/>
        </w:rPr>
        <w:t>（四）国有资产占用情况</w:t>
      </w:r>
    </w:p>
    <w:p>
      <w:pPr>
        <w:pStyle w:val="6"/>
        <w:spacing w:before="214" w:line="364" w:lineRule="auto"/>
        <w:ind w:right="289" w:firstLine="640"/>
        <w:rPr>
          <w:rFonts w:hint="eastAsia" w:ascii="仿宋_GB2312" w:eastAsia="仿宋_GB2312"/>
        </w:rPr>
      </w:pPr>
      <w:r>
        <w:rPr>
          <w:rFonts w:hint="eastAsia" w:ascii="仿宋_GB2312" w:eastAsia="仿宋_GB2312"/>
          <w:w w:val="95"/>
        </w:rPr>
        <w:t xml:space="preserve">截至2019年12月31日，本单位共有车辆0辆，其中，领导干部用车  </w:t>
      </w:r>
      <w:r>
        <w:rPr>
          <w:rFonts w:hint="eastAsia" w:ascii="仿宋_GB2312" w:eastAsia="仿宋_GB2312"/>
        </w:rPr>
        <w:t>0辆、机要通信用车0辆、应急保障用车0辆、执法执勤用车0辆、特种专业技术用车0辆、其他用车0辆；单位价值50万元以上通用设备0台</w:t>
      </w:r>
    </w:p>
    <w:p>
      <w:pPr>
        <w:pStyle w:val="6"/>
        <w:spacing w:before="3"/>
        <w:rPr>
          <w:rFonts w:hint="eastAsia" w:ascii="仿宋_GB2312" w:eastAsia="仿宋_GB2312"/>
        </w:rPr>
      </w:pPr>
      <w:r>
        <w:rPr>
          <w:rFonts w:hint="eastAsia" w:ascii="仿宋_GB2312" w:eastAsia="仿宋_GB2312"/>
        </w:rPr>
        <w:t>（套）；单位价值100万元以上专用设备0台（套）。</w:t>
      </w:r>
    </w:p>
    <w:p>
      <w:pPr>
        <w:pStyle w:val="6"/>
        <w:spacing w:before="214"/>
        <w:ind w:left="1120"/>
        <w:rPr>
          <w:rFonts w:hint="eastAsia" w:ascii="楷体" w:eastAsia="楷体"/>
        </w:rPr>
      </w:pPr>
      <w:r>
        <w:rPr>
          <w:rFonts w:hint="eastAsia" w:ascii="楷体" w:eastAsia="楷体"/>
        </w:rPr>
        <w:t>（五）其他</w:t>
      </w:r>
    </w:p>
    <w:p>
      <w:pPr>
        <w:pStyle w:val="6"/>
        <w:spacing w:before="214" w:line="364" w:lineRule="auto"/>
        <w:ind w:right="570" w:firstLine="554"/>
        <w:rPr>
          <w:rFonts w:hint="eastAsia" w:ascii="仿宋_GB2312" w:eastAsia="仿宋_GB2312"/>
        </w:rPr>
      </w:pPr>
      <w:r>
        <w:rPr>
          <w:rFonts w:hint="eastAsia" w:ascii="仿宋_GB2312" w:eastAsia="仿宋_GB2312"/>
        </w:rPr>
        <w:t>本单位没有独立网站，因此只在石峰区政府门户网站财政资金栏的财政预决算和三公经费专栏中公开。</w:t>
      </w:r>
    </w:p>
    <w:p>
      <w:pPr>
        <w:spacing w:after="0" w:line="364" w:lineRule="auto"/>
        <w:rPr>
          <w:rFonts w:hint="eastAsia" w:ascii="仿宋_GB2312" w:eastAsia="仿宋_GB2312"/>
        </w:rPr>
        <w:sectPr>
          <w:pgSz w:w="11910" w:h="16840"/>
          <w:pgMar w:top="1500" w:right="740" w:bottom="280" w:left="440" w:header="720" w:footer="720" w:gutter="0"/>
          <w:cols w:space="720" w:num="1"/>
        </w:sect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spacing w:before="7"/>
        <w:ind w:left="0"/>
        <w:rPr>
          <w:rFonts w:ascii="仿宋_GB2312"/>
          <w:sz w:val="19"/>
        </w:rPr>
      </w:pPr>
    </w:p>
    <w:p>
      <w:pPr>
        <w:pStyle w:val="3"/>
      </w:pPr>
      <w:r>
        <w:t>第四部分</w:t>
      </w:r>
    </w:p>
    <w:p>
      <w:pPr>
        <w:pStyle w:val="6"/>
        <w:spacing w:before="3"/>
        <w:ind w:left="0"/>
        <w:rPr>
          <w:rFonts w:ascii="黑体"/>
          <w:sz w:val="75"/>
        </w:rPr>
      </w:pPr>
    </w:p>
    <w:p>
      <w:pPr>
        <w:pStyle w:val="4"/>
        <w:ind w:left="2907" w:right="2693"/>
      </w:pPr>
      <w:r>
        <w:rPr>
          <w:spacing w:val="-2"/>
        </w:rPr>
        <w:t>名词解释</w:t>
      </w:r>
    </w:p>
    <w:p>
      <w:pPr>
        <w:spacing w:after="0"/>
        <w:sectPr>
          <w:pgSz w:w="11910" w:h="16840"/>
          <w:pgMar w:top="1580" w:right="740" w:bottom="280" w:left="440" w:header="720" w:footer="720" w:gutter="0"/>
          <w:cols w:space="720" w:num="1"/>
        </w:sectPr>
      </w:pPr>
    </w:p>
    <w:p>
      <w:pPr>
        <w:pStyle w:val="6"/>
        <w:spacing w:before="30" w:line="364" w:lineRule="auto"/>
        <w:ind w:left="1280" w:right="263"/>
        <w:rPr>
          <w:rFonts w:hint="eastAsia" w:ascii="仿宋_GB2312" w:eastAsia="仿宋_GB2312"/>
        </w:rPr>
      </w:pPr>
      <w:r>
        <w:rPr>
          <w:rFonts w:hint="eastAsia" w:ascii="仿宋_GB2312" w:eastAsia="仿宋_GB2312"/>
          <w:spacing w:val="-11"/>
        </w:rPr>
        <w:t>一、财政拨款收入：指单位从同级财政部门取得的财政预算资金。二、事业收入：指事业单位开展专业业务活动及辅助活动取得的</w:t>
      </w:r>
    </w:p>
    <w:p>
      <w:pPr>
        <w:pStyle w:val="6"/>
        <w:spacing w:before="1"/>
        <w:rPr>
          <w:rFonts w:hint="eastAsia" w:ascii="仿宋_GB2312" w:eastAsia="仿宋_GB2312"/>
        </w:rPr>
      </w:pPr>
      <w:r>
        <w:rPr>
          <w:rFonts w:hint="eastAsia" w:ascii="仿宋_GB2312" w:eastAsia="仿宋_GB2312"/>
        </w:rPr>
        <w:t>收入。</w:t>
      </w:r>
    </w:p>
    <w:p>
      <w:pPr>
        <w:pStyle w:val="6"/>
        <w:spacing w:before="214" w:line="364" w:lineRule="auto"/>
        <w:ind w:right="484" w:firstLine="640"/>
        <w:rPr>
          <w:rFonts w:hint="eastAsia" w:ascii="仿宋_GB2312" w:eastAsia="仿宋_GB2312"/>
        </w:rPr>
      </w:pPr>
      <w:r>
        <w:rPr>
          <w:rFonts w:hint="eastAsia" w:ascii="仿宋_GB2312" w:eastAsia="仿宋_GB2312"/>
        </w:rPr>
        <w:t>三、经营收入：指事业单位在专业业务活动及其辅助活动之外开展非独立核算经营活动取得的收入。</w:t>
      </w:r>
    </w:p>
    <w:p>
      <w:pPr>
        <w:pStyle w:val="6"/>
        <w:spacing w:before="2"/>
        <w:ind w:left="1280"/>
        <w:rPr>
          <w:rFonts w:hint="eastAsia" w:ascii="仿宋_GB2312" w:eastAsia="仿宋_GB2312"/>
        </w:rPr>
      </w:pPr>
      <w:r>
        <w:rPr>
          <w:rFonts w:hint="eastAsia" w:ascii="仿宋_GB2312" w:eastAsia="仿宋_GB2312"/>
        </w:rPr>
        <w:t>四、其他收入：指单位取得的除上述收入以外的各项收入。</w:t>
      </w:r>
    </w:p>
    <w:p>
      <w:pPr>
        <w:pStyle w:val="6"/>
        <w:spacing w:before="214" w:line="364" w:lineRule="auto"/>
        <w:ind w:right="484" w:firstLine="640"/>
        <w:jc w:val="both"/>
        <w:rPr>
          <w:rFonts w:hint="eastAsia" w:ascii="仿宋_GB2312" w:eastAsia="仿宋_GB2312"/>
        </w:rPr>
      </w:pPr>
      <w:r>
        <w:rPr>
          <w:rFonts w:hint="eastAsia" w:ascii="仿宋_GB2312" w:eastAsia="仿宋_GB231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6"/>
        <w:spacing w:before="3" w:line="364" w:lineRule="auto"/>
        <w:ind w:right="484" w:firstLine="640"/>
        <w:rPr>
          <w:rFonts w:hint="eastAsia" w:ascii="仿宋_GB2312" w:eastAsia="仿宋_GB2312"/>
        </w:rPr>
      </w:pPr>
      <w:r>
        <w:rPr>
          <w:rFonts w:hint="eastAsia" w:ascii="仿宋_GB2312" w:eastAsia="仿宋_GB2312"/>
        </w:rPr>
        <w:t>六、年初结转和结余：指单位以前年度尚未完成、结转到本年按有关规定继续使用的资金。</w:t>
      </w:r>
    </w:p>
    <w:p>
      <w:pPr>
        <w:pStyle w:val="6"/>
        <w:spacing w:before="2" w:line="364" w:lineRule="auto"/>
        <w:ind w:right="263" w:firstLine="640"/>
        <w:rPr>
          <w:rFonts w:hint="eastAsia" w:ascii="仿宋_GB2312" w:hAnsi="仿宋_GB2312" w:eastAsia="仿宋_GB2312"/>
        </w:rPr>
      </w:pPr>
      <w:r>
        <w:rPr>
          <w:rFonts w:hint="eastAsia" w:ascii="仿宋_GB2312" w:hAnsi="仿宋_GB2312" w:eastAsia="仿宋_GB2312"/>
          <w:spacing w:val="-23"/>
          <w:w w:val="95"/>
        </w:rPr>
        <w:t>七、“三公经费”支出：指通过财政拨款资金安排的因公出国</w:t>
      </w:r>
      <w:r>
        <w:rPr>
          <w:rFonts w:hint="eastAsia" w:ascii="仿宋_GB2312" w:hAnsi="仿宋_GB2312" w:eastAsia="仿宋_GB2312"/>
          <w:w w:val="95"/>
        </w:rPr>
        <w:t xml:space="preserve">（境）  </w:t>
      </w:r>
      <w:r>
        <w:rPr>
          <w:rFonts w:hint="eastAsia" w:ascii="仿宋_GB2312" w:hAnsi="仿宋_GB2312" w:eastAsia="仿宋_GB2312"/>
        </w:rPr>
        <w:t>费、公务用车购置及运行费和公务接待费支出。</w:t>
      </w:r>
    </w:p>
    <w:p>
      <w:pPr>
        <w:spacing w:after="0" w:line="364" w:lineRule="auto"/>
        <w:rPr>
          <w:rFonts w:hint="eastAsia" w:ascii="仿宋_GB2312" w:hAnsi="仿宋_GB2312" w:eastAsia="仿宋_GB2312"/>
        </w:rPr>
        <w:sectPr>
          <w:pgSz w:w="11910" w:h="16840"/>
          <w:pgMar w:top="1500" w:right="740" w:bottom="280" w:left="440" w:header="720" w:footer="720" w:gutter="0"/>
          <w:cols w:space="720" w:num="1"/>
        </w:sect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ind w:left="0"/>
        <w:rPr>
          <w:rFonts w:ascii="仿宋_GB2312"/>
          <w:sz w:val="20"/>
        </w:rPr>
      </w:pPr>
    </w:p>
    <w:p>
      <w:pPr>
        <w:pStyle w:val="6"/>
        <w:spacing w:before="4"/>
        <w:ind w:left="0"/>
        <w:rPr>
          <w:rFonts w:ascii="仿宋_GB2312"/>
          <w:sz w:val="27"/>
        </w:rPr>
      </w:pPr>
    </w:p>
    <w:p>
      <w:pPr>
        <w:pStyle w:val="3"/>
        <w:spacing w:line="487" w:lineRule="auto"/>
        <w:ind w:left="4072" w:right="3773"/>
      </w:pPr>
      <w:r>
        <w:t>第五部分其他</w:t>
      </w:r>
    </w:p>
    <w:p>
      <w:pPr>
        <w:spacing w:after="0" w:line="487" w:lineRule="auto"/>
        <w:sectPr>
          <w:pgSz w:w="11910" w:h="16840"/>
          <w:pgMar w:top="1580" w:right="740" w:bottom="280" w:left="440" w:header="720" w:footer="720" w:gutter="0"/>
          <w:cols w:space="720" w:num="1"/>
        </w:sectPr>
      </w:pPr>
    </w:p>
    <w:p>
      <w:pPr>
        <w:pStyle w:val="5"/>
        <w:spacing w:before="30"/>
        <w:ind w:left="3181"/>
        <w:rPr>
          <w:rFonts w:hint="eastAsia" w:ascii="黑体" w:eastAsia="黑体"/>
        </w:rPr>
      </w:pPr>
      <w:r>
        <w:rPr>
          <w:rFonts w:hint="eastAsia" w:ascii="黑体" w:eastAsia="黑体"/>
        </w:rPr>
        <w:t>2019 年度部门整体支出绩效评价报告</w:t>
      </w:r>
    </w:p>
    <w:p>
      <w:pPr>
        <w:pStyle w:val="6"/>
        <w:spacing w:before="214"/>
        <w:ind w:left="1280"/>
        <w:rPr>
          <w:rFonts w:hint="eastAsia" w:ascii="楷体" w:eastAsia="楷体"/>
        </w:rPr>
      </w:pPr>
      <w:r>
        <w:rPr>
          <w:rFonts w:hint="eastAsia" w:ascii="楷体" w:eastAsia="楷体"/>
        </w:rPr>
        <w:t>一、年度预算收支情况</w:t>
      </w:r>
    </w:p>
    <w:p>
      <w:pPr>
        <w:pStyle w:val="6"/>
        <w:spacing w:before="214"/>
        <w:ind w:left="1280"/>
      </w:pPr>
      <w:r>
        <w:t>1、年初预算资金 695.88 万元。</w:t>
      </w:r>
    </w:p>
    <w:p>
      <w:pPr>
        <w:pStyle w:val="6"/>
        <w:spacing w:before="214"/>
        <w:ind w:left="1280"/>
      </w:pPr>
      <w:r>
        <w:t>2</w:t>
      </w:r>
      <w:r>
        <w:rPr>
          <w:spacing w:val="-8"/>
        </w:rPr>
        <w:t xml:space="preserve">、单位年度总收入 </w:t>
      </w:r>
      <w:r>
        <w:t>1047.31</w:t>
      </w:r>
      <w:r>
        <w:rPr>
          <w:spacing w:val="-26"/>
        </w:rPr>
        <w:t xml:space="preserve"> 万元，其中：财政拨款 </w:t>
      </w:r>
      <w:r>
        <w:t>813.51</w:t>
      </w:r>
      <w:r>
        <w:rPr>
          <w:spacing w:val="-21"/>
        </w:rPr>
        <w:t xml:space="preserve"> 万元，</w:t>
      </w:r>
    </w:p>
    <w:p>
      <w:pPr>
        <w:pStyle w:val="6"/>
        <w:spacing w:before="214"/>
        <w:jc w:val="both"/>
      </w:pPr>
      <w:r>
        <w:t>其他收入 233.80 万元。</w:t>
      </w:r>
    </w:p>
    <w:p>
      <w:pPr>
        <w:pStyle w:val="6"/>
        <w:spacing w:before="214"/>
        <w:ind w:left="1280"/>
      </w:pPr>
      <w:r>
        <w:t>3</w:t>
      </w:r>
      <w:r>
        <w:rPr>
          <w:spacing w:val="-17"/>
        </w:rPr>
        <w:t xml:space="preserve">、单位年度总支出 </w:t>
      </w:r>
      <w:r>
        <w:t>1047.31</w:t>
      </w:r>
      <w:r>
        <w:rPr>
          <w:spacing w:val="-19"/>
        </w:rPr>
        <w:t xml:space="preserve"> 万元，其中：项目支出 </w:t>
      </w:r>
      <w:r>
        <w:t>520.12</w:t>
      </w:r>
      <w:r>
        <w:rPr>
          <w:spacing w:val="-21"/>
        </w:rPr>
        <w:t xml:space="preserve"> 万元，</w:t>
      </w:r>
    </w:p>
    <w:p>
      <w:pPr>
        <w:pStyle w:val="6"/>
        <w:spacing w:before="214"/>
        <w:jc w:val="both"/>
      </w:pPr>
      <w:r>
        <w:t>基本支出 527.19 万元(其中：人员支出 460.31 万元，公用经费支出</w:t>
      </w:r>
    </w:p>
    <w:p>
      <w:pPr>
        <w:pStyle w:val="6"/>
        <w:spacing w:before="214"/>
      </w:pPr>
      <w:r>
        <w:t>66.88 万元)，比上年增加 46.49%，三公经费 7.64 万元，比上年增加</w:t>
      </w:r>
    </w:p>
    <w:p>
      <w:pPr>
        <w:pStyle w:val="6"/>
        <w:spacing w:before="214" w:line="364" w:lineRule="auto"/>
        <w:ind w:right="486"/>
      </w:pPr>
      <w:r>
        <w:t>100 %，公车购置和维护费 0 万元，公务接待费 0.31 万元，出国经费 7.33 万元。</w:t>
      </w:r>
    </w:p>
    <w:p>
      <w:pPr>
        <w:pStyle w:val="6"/>
        <w:spacing w:before="1"/>
        <w:ind w:left="1280"/>
      </w:pPr>
      <w:r>
        <w:t>4、单位基建维修支出 0 万元。</w:t>
      </w:r>
    </w:p>
    <w:p>
      <w:pPr>
        <w:pStyle w:val="6"/>
        <w:spacing w:before="214"/>
        <w:ind w:left="1439"/>
        <w:rPr>
          <w:rFonts w:hint="eastAsia" w:ascii="楷体" w:eastAsia="楷体"/>
        </w:rPr>
      </w:pPr>
      <w:r>
        <w:rPr>
          <w:rFonts w:hint="eastAsia" w:ascii="楷体" w:eastAsia="楷体"/>
        </w:rPr>
        <w:t>二、年度支出情况分析说明</w:t>
      </w:r>
    </w:p>
    <w:p>
      <w:pPr>
        <w:pStyle w:val="6"/>
        <w:spacing w:before="214" w:line="364" w:lineRule="auto"/>
        <w:ind w:right="484" w:firstLine="640"/>
        <w:jc w:val="both"/>
      </w:pPr>
      <w:r>
        <w:rPr>
          <w:spacing w:val="-10"/>
        </w:rPr>
        <w:t xml:space="preserve">本单位年度总支出 </w:t>
      </w:r>
      <w:r>
        <w:t>1047.31</w:t>
      </w:r>
      <w:r>
        <w:rPr>
          <w:spacing w:val="-10"/>
        </w:rPr>
        <w:t xml:space="preserve"> 万元，因机构改革原因，区机关工委和老干部局职能合并到区委组织部，本单位年度决算数据包含了合并</w:t>
      </w:r>
      <w:r>
        <w:rPr>
          <w:spacing w:val="-16"/>
        </w:rPr>
        <w:t xml:space="preserve">单位的数据，其中：项目支出 </w:t>
      </w:r>
      <w:r>
        <w:t>520.12</w:t>
      </w:r>
      <w:r>
        <w:rPr>
          <w:spacing w:val="-20"/>
        </w:rPr>
        <w:t xml:space="preserve"> 万元，基本支出 </w:t>
      </w:r>
      <w:r>
        <w:t>527.19</w:t>
      </w:r>
      <w:r>
        <w:rPr>
          <w:spacing w:val="-21"/>
        </w:rPr>
        <w:t xml:space="preserve"> 万元，</w:t>
      </w:r>
    </w:p>
    <w:p>
      <w:pPr>
        <w:pStyle w:val="6"/>
        <w:spacing w:before="3"/>
        <w:jc w:val="both"/>
      </w:pPr>
      <w:r>
        <w:rPr>
          <w:spacing w:val="-1"/>
        </w:rPr>
        <w:t xml:space="preserve">人员支出 </w:t>
      </w:r>
      <w:r>
        <w:t>460.31</w:t>
      </w:r>
      <w:r>
        <w:rPr>
          <w:spacing w:val="-33"/>
        </w:rPr>
        <w:t xml:space="preserve"> 万元，公用经费支出 </w:t>
      </w:r>
      <w:r>
        <w:t>66.88</w:t>
      </w:r>
      <w:r>
        <w:rPr>
          <w:spacing w:val="-27"/>
        </w:rPr>
        <w:t xml:space="preserve"> 万元，比上年增加 </w:t>
      </w:r>
      <w:r>
        <w:t>46.49%，</w:t>
      </w:r>
    </w:p>
    <w:p>
      <w:pPr>
        <w:pStyle w:val="6"/>
        <w:spacing w:before="214"/>
        <w:jc w:val="both"/>
      </w:pPr>
      <w:r>
        <w:rPr>
          <w:spacing w:val="-23"/>
        </w:rPr>
        <w:t xml:space="preserve">增加原因是机构改革合并，机关工委合并到区委组织部，三公经费 </w:t>
      </w:r>
      <w:r>
        <w:t>7.64</w:t>
      </w:r>
    </w:p>
    <w:p>
      <w:pPr>
        <w:pStyle w:val="6"/>
        <w:spacing w:before="214"/>
        <w:jc w:val="both"/>
      </w:pPr>
      <w:r>
        <w:rPr>
          <w:spacing w:val="-10"/>
        </w:rPr>
        <w:t xml:space="preserve">万元，比上年增加 </w:t>
      </w:r>
      <w:r>
        <w:t>100</w:t>
      </w:r>
      <w:r>
        <w:rPr>
          <w:spacing w:val="-5"/>
        </w:rPr>
        <w:t xml:space="preserve"> %，其中公车购置和维护费 </w:t>
      </w:r>
      <w:r>
        <w:t>0</w:t>
      </w:r>
      <w:r>
        <w:rPr>
          <w:spacing w:val="-2"/>
        </w:rPr>
        <w:t xml:space="preserve"> 万元，公务接待</w:t>
      </w:r>
    </w:p>
    <w:p>
      <w:pPr>
        <w:pStyle w:val="6"/>
        <w:spacing w:before="214" w:line="364" w:lineRule="auto"/>
        <w:ind w:right="424"/>
        <w:jc w:val="both"/>
      </w:pPr>
      <w:r>
        <w:rPr>
          <w:spacing w:val="-2"/>
        </w:rPr>
        <w:t xml:space="preserve">费 </w:t>
      </w:r>
      <w:r>
        <w:t>0.31</w:t>
      </w:r>
      <w:r>
        <w:rPr>
          <w:spacing w:val="-17"/>
        </w:rPr>
        <w:t xml:space="preserve"> 万元，出国经费 </w:t>
      </w:r>
      <w:r>
        <w:t>7.33</w:t>
      </w:r>
      <w:r>
        <w:rPr>
          <w:spacing w:val="-12"/>
        </w:rPr>
        <w:t xml:space="preserve"> 万元，是因为上级组织部门的统一组织安排。在严控“三公经费”、降低一般运行经费、加强项目支出管理等方面取得了较好的成绩。本年度本单位能较好地完成预算执行和财政财务收支任务，但也存在决算指标与预算指标不完全一致的现象，</w:t>
      </w:r>
    </w:p>
    <w:p>
      <w:pPr>
        <w:spacing w:after="0" w:line="364" w:lineRule="auto"/>
        <w:jc w:val="both"/>
        <w:sectPr>
          <w:pgSz w:w="11910" w:h="16840"/>
          <w:pgMar w:top="1500" w:right="740" w:bottom="280" w:left="440" w:header="720" w:footer="720" w:gutter="0"/>
          <w:cols w:space="720" w:num="1"/>
        </w:sectPr>
      </w:pPr>
    </w:p>
    <w:p>
      <w:pPr>
        <w:pStyle w:val="6"/>
        <w:spacing w:before="30"/>
      </w:pPr>
      <w:r>
        <w:t>在今后的工作中将加以改进。</w:t>
      </w:r>
    </w:p>
    <w:p>
      <w:pPr>
        <w:pStyle w:val="6"/>
        <w:spacing w:before="214"/>
        <w:ind w:left="4189"/>
        <w:rPr>
          <w:rFonts w:hint="eastAsia" w:ascii="黑体" w:eastAsia="黑体"/>
        </w:rPr>
      </w:pPr>
      <w:r>
        <w:rPr>
          <w:rFonts w:hint="eastAsia" w:ascii="黑体" w:eastAsia="黑体"/>
        </w:rPr>
        <w:t>整体绩效目标完成情况</w:t>
      </w:r>
    </w:p>
    <w:p>
      <w:pPr>
        <w:pStyle w:val="6"/>
        <w:spacing w:before="214" w:line="364" w:lineRule="auto"/>
        <w:ind w:right="263" w:firstLine="640"/>
      </w:pPr>
      <w:r>
        <w:t>2019</w:t>
      </w:r>
      <w:r>
        <w:rPr>
          <w:spacing w:val="-11"/>
        </w:rPr>
        <w:t xml:space="preserve"> 年，石峰区委组织部以党的十九大精神为指导，认真贯彻落</w:t>
      </w:r>
      <w:r>
        <w:rPr>
          <w:spacing w:val="-10"/>
          <w:w w:val="95"/>
        </w:rPr>
        <w:t xml:space="preserve">实全国、全省和全市组织工作会议精神及区委工作要求，以“火车头”  </w:t>
      </w:r>
      <w:r>
        <w:rPr>
          <w:spacing w:val="-10"/>
        </w:rPr>
        <w:t>城市基层党建品牌为抓手，扎实推进基层党建、干部队伍建设、人才等组织工作高质量发展。</w:t>
      </w:r>
    </w:p>
    <w:p>
      <w:pPr>
        <w:pStyle w:val="6"/>
        <w:spacing w:before="3"/>
        <w:ind w:left="1280"/>
      </w:pPr>
      <w:r>
        <w:t>（一）以提升组织力为重点，推进基层党建高质量发展。</w:t>
      </w:r>
    </w:p>
    <w:p>
      <w:pPr>
        <w:pStyle w:val="10"/>
        <w:numPr>
          <w:ilvl w:val="0"/>
          <w:numId w:val="4"/>
        </w:numPr>
        <w:tabs>
          <w:tab w:val="left" w:pos="1603"/>
        </w:tabs>
        <w:spacing w:before="214" w:after="0" w:line="364" w:lineRule="auto"/>
        <w:ind w:left="640" w:right="426" w:firstLine="640"/>
        <w:jc w:val="left"/>
        <w:rPr>
          <w:sz w:val="32"/>
        </w:rPr>
      </w:pPr>
      <w:r>
        <w:rPr>
          <w:sz w:val="32"/>
        </w:rPr>
        <w:t>强化理论武装，扎实开展主题教育。一是紧扣主线集中发力。二是瞄准问题精准发力。三是注重结合有效发力。</w:t>
      </w:r>
    </w:p>
    <w:p>
      <w:pPr>
        <w:pStyle w:val="10"/>
        <w:numPr>
          <w:ilvl w:val="0"/>
          <w:numId w:val="4"/>
        </w:numPr>
        <w:tabs>
          <w:tab w:val="left" w:pos="1603"/>
        </w:tabs>
        <w:spacing w:before="2" w:after="0" w:line="364" w:lineRule="auto"/>
        <w:ind w:left="640" w:right="424" w:firstLine="640"/>
        <w:jc w:val="both"/>
        <w:rPr>
          <w:sz w:val="32"/>
        </w:rPr>
      </w:pPr>
      <w:r>
        <w:rPr>
          <w:sz w:val="32"/>
        </w:rPr>
        <w:t>统筹工作重点，全面夯实基层基础。一是全面推进党支部“五化”建设。二是两新党建工作体系不断完善。三是党员教育管理持续加强。3.抓实城市党建，创新服务基层治理。一是搭建城市基层党建新载体。二是构建共驻共建共享新方式。三是打造服务群众工作新机制。4.加大整治力度，全力改善基层形象。一是积极推进软弱涣散党组织整顿。二是抓好中央扫黑除恶督导组反馈问题整改。三是开展基层党建减负提质。</w:t>
      </w:r>
    </w:p>
    <w:p>
      <w:pPr>
        <w:pStyle w:val="6"/>
        <w:spacing w:before="5"/>
        <w:ind w:left="954"/>
      </w:pPr>
      <w:r>
        <w:t>（二）聚焦三大主线，着力推进领导班子和干部队伍建设。</w:t>
      </w:r>
    </w:p>
    <w:p>
      <w:pPr>
        <w:pStyle w:val="6"/>
        <w:spacing w:before="214" w:line="364" w:lineRule="auto"/>
        <w:ind w:right="424" w:firstLine="640"/>
        <w:jc w:val="both"/>
      </w:pPr>
      <w:r>
        <w:t>1.积极推进领导班子和队伍建设。一是积极走访调研全面掌握干部队伍情况。二是调优配强科级领导班子。三是创新面谈考察机制， 旗帜鲜明选任“干将”。四是顺利完成职务与职级并行工作。2.稳步推进干部教育工作。一是全面完成上级调训任务。二是开展年轻干部业务能力培训。三是选派优秀年轻干部到乡村任职锻炼。3.扎实做好</w:t>
      </w:r>
    </w:p>
    <w:p>
      <w:pPr>
        <w:spacing w:after="0" w:line="364" w:lineRule="auto"/>
        <w:jc w:val="both"/>
        <w:sectPr>
          <w:pgSz w:w="11910" w:h="16840"/>
          <w:pgMar w:top="1500" w:right="740" w:bottom="280" w:left="440" w:header="720" w:footer="720" w:gutter="0"/>
          <w:cols w:space="720" w:num="1"/>
        </w:sectPr>
      </w:pPr>
    </w:p>
    <w:p>
      <w:pPr>
        <w:pStyle w:val="6"/>
        <w:spacing w:before="30" w:line="364" w:lineRule="auto"/>
        <w:ind w:right="424"/>
      </w:pPr>
      <w:r>
        <w:t>干部监督工作。</w:t>
      </w:r>
    </w:p>
    <w:p>
      <w:pPr>
        <w:pStyle w:val="6"/>
        <w:spacing w:before="1"/>
        <w:ind w:left="1266"/>
      </w:pPr>
      <w:r>
        <w:t>（三）开展精细服务，营造重才引才良好氛围。</w:t>
      </w:r>
    </w:p>
    <w:p>
      <w:pPr>
        <w:pStyle w:val="6"/>
        <w:spacing w:before="214" w:line="364" w:lineRule="auto"/>
        <w:ind w:right="359" w:firstLine="640"/>
      </w:pPr>
      <w:r>
        <w:t>1</w:t>
      </w:r>
      <w:r>
        <w:rPr>
          <w:spacing w:val="-3"/>
        </w:rPr>
        <w:t>.积极协助辖区企业开展奖补申报。</w:t>
      </w:r>
      <w:r>
        <w:t>2</w:t>
      </w:r>
      <w:r>
        <w:rPr>
          <w:spacing w:val="-10"/>
        </w:rPr>
        <w:t xml:space="preserve">.认真抓好区人才 </w:t>
      </w:r>
      <w:r>
        <w:t>20</w:t>
      </w:r>
      <w:r>
        <w:rPr>
          <w:spacing w:val="-22"/>
        </w:rPr>
        <w:t xml:space="preserve"> 条政策落实。3.主动服务好辖区企业和人才。</w:t>
      </w:r>
    </w:p>
    <w:p>
      <w:pPr>
        <w:pStyle w:val="6"/>
        <w:spacing w:before="2"/>
        <w:ind w:left="1266"/>
      </w:pPr>
      <w:r>
        <w:t>（四）用心用情服务，切实发挥老干部“余热”。</w:t>
      </w:r>
    </w:p>
    <w:p>
      <w:pPr>
        <w:pStyle w:val="6"/>
        <w:spacing w:before="214" w:line="364" w:lineRule="auto"/>
        <w:ind w:right="424" w:firstLine="640"/>
      </w:pPr>
      <w:r>
        <w:t>1.全面落实老干部政治待遇。2.全面落实老干部生活待遇。3.不断丰富老干部精神文化需求。4.涉老组织工作成效明显。</w:t>
      </w:r>
    </w:p>
    <w:p>
      <w:pPr>
        <w:pStyle w:val="6"/>
        <w:spacing w:before="2"/>
        <w:ind w:left="1280"/>
      </w:pPr>
      <w:r>
        <w:t>（五）推进内部建设，争创模范先进部门。</w:t>
      </w:r>
    </w:p>
    <w:p>
      <w:pPr>
        <w:pStyle w:val="6"/>
        <w:keepNext w:val="0"/>
        <w:keepLines w:val="0"/>
        <w:pageBreakBefore w:val="0"/>
        <w:widowControl w:val="0"/>
        <w:kinsoku/>
        <w:wordWrap/>
        <w:overflowPunct/>
        <w:topLinePunct w:val="0"/>
        <w:autoSpaceDE w:val="0"/>
        <w:autoSpaceDN w:val="0"/>
        <w:bidi w:val="0"/>
        <w:adjustRightInd/>
        <w:snapToGrid/>
        <w:spacing w:before="5" w:line="560" w:lineRule="exact"/>
        <w:ind w:firstLine="640" w:firstLineChars="200"/>
        <w:jc w:val="both"/>
        <w:textAlignment w:val="auto"/>
        <w:outlineLvl w:val="9"/>
        <w:rPr>
          <w:rFonts w:hint="eastAsia" w:eastAsia="仿宋"/>
          <w:sz w:val="32"/>
          <w:szCs w:val="32"/>
          <w:lang w:eastAsia="zh-CN"/>
        </w:rPr>
      </w:pPr>
      <w:r>
        <w:rPr>
          <w:sz w:val="32"/>
          <w:szCs w:val="32"/>
        </w:rPr>
        <w:t>1.把政治建部摆在首位。2.发挥组工干部先锋模范作用。充分运</w:t>
      </w:r>
      <w:r>
        <w:rPr>
          <w:spacing w:val="-3"/>
          <w:sz w:val="32"/>
          <w:szCs w:val="32"/>
        </w:rPr>
        <w:t xml:space="preserve">用“五问工作法”和网格考核，统筹完成预安事项工作 </w:t>
      </w:r>
      <w:r>
        <w:rPr>
          <w:sz w:val="32"/>
          <w:szCs w:val="32"/>
        </w:rPr>
        <w:t>200</w:t>
      </w:r>
      <w:r>
        <w:rPr>
          <w:spacing w:val="-16"/>
          <w:sz w:val="32"/>
          <w:szCs w:val="32"/>
        </w:rPr>
        <w:t xml:space="preserve"> 多项。认</w:t>
      </w:r>
      <w:r>
        <w:rPr>
          <w:spacing w:val="-7"/>
          <w:sz w:val="32"/>
          <w:szCs w:val="32"/>
        </w:rPr>
        <w:t>真落实“每月一日下网格”，为联点社区开展卫生整治、政策宣传</w:t>
      </w:r>
      <w:r>
        <w:rPr>
          <w:spacing w:val="-2"/>
          <w:sz w:val="32"/>
          <w:szCs w:val="32"/>
        </w:rPr>
        <w:t>等相关事宜；为联系企业解决道路安全、子女就学等相</w:t>
      </w:r>
      <w:r>
        <w:rPr>
          <w:sz w:val="32"/>
          <w:szCs w:val="32"/>
        </w:rPr>
        <w:t>关困难。组工干部深入基层开展防汛、创文值守</w:t>
      </w:r>
      <w:r>
        <w:rPr>
          <w:rFonts w:hint="eastAsia"/>
          <w:sz w:val="32"/>
          <w:szCs w:val="32"/>
          <w:lang w:eastAsia="zh-CN"/>
        </w:rPr>
        <w:t>等。</w:t>
      </w:r>
      <w:r>
        <w:rPr>
          <w:sz w:val="32"/>
          <w:szCs w:val="32"/>
        </w:rPr>
        <w:t>《经济日报》</w:t>
      </w:r>
      <w:r>
        <w:rPr>
          <w:rFonts w:hint="eastAsia"/>
          <w:sz w:val="32"/>
          <w:szCs w:val="32"/>
          <w:lang w:eastAsia="zh-CN"/>
        </w:rPr>
        <w:t>、株洲日报等报道我区组织工作。</w:t>
      </w:r>
    </w:p>
    <w:p>
      <w:pPr>
        <w:pStyle w:val="6"/>
        <w:keepNext w:val="0"/>
        <w:keepLines w:val="0"/>
        <w:pageBreakBefore w:val="0"/>
        <w:widowControl w:val="0"/>
        <w:kinsoku/>
        <w:wordWrap/>
        <w:overflowPunct/>
        <w:topLinePunct w:val="0"/>
        <w:autoSpaceDE w:val="0"/>
        <w:autoSpaceDN w:val="0"/>
        <w:bidi w:val="0"/>
        <w:adjustRightInd/>
        <w:snapToGrid/>
        <w:spacing w:before="214" w:line="560" w:lineRule="exact"/>
        <w:ind w:right="424" w:firstLine="640"/>
        <w:jc w:val="both"/>
        <w:textAlignment w:val="auto"/>
        <w:outlineLvl w:val="9"/>
        <w:rPr>
          <w:sz w:val="32"/>
          <w:szCs w:val="32"/>
        </w:rPr>
      </w:pPr>
      <w:r>
        <w:rPr>
          <w:sz w:val="32"/>
          <w:szCs w:val="32"/>
        </w:rPr>
        <w:t>2019</w:t>
      </w:r>
      <w:r>
        <w:rPr>
          <w:spacing w:val="-12"/>
          <w:sz w:val="32"/>
          <w:szCs w:val="32"/>
        </w:rPr>
        <w:t xml:space="preserve"> 年度实际使用专项资金 </w:t>
      </w:r>
      <w:r>
        <w:rPr>
          <w:sz w:val="32"/>
          <w:szCs w:val="32"/>
        </w:rPr>
        <w:t>520.12</w:t>
      </w:r>
      <w:r>
        <w:rPr>
          <w:spacing w:val="-4"/>
          <w:sz w:val="32"/>
          <w:szCs w:val="32"/>
        </w:rPr>
        <w:t xml:space="preserve"> 万元，按进度申请和支付专项资金，确保不挪用，不截留，专款专用。</w:t>
      </w: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outlineLvl w:val="9"/>
        <w:rPr>
          <w:sz w:val="32"/>
          <w:szCs w:val="32"/>
        </w:rPr>
        <w:sectPr>
          <w:pgSz w:w="11910" w:h="16840"/>
          <w:pgMar w:top="1500" w:right="740" w:bottom="280" w:left="440" w:header="720" w:footer="720" w:gutter="0"/>
          <w:cols w:space="720" w:num="1"/>
        </w:sectPr>
      </w:pPr>
    </w:p>
    <w:p>
      <w:pPr>
        <w:pStyle w:val="5"/>
        <w:spacing w:before="30"/>
        <w:ind w:left="3822"/>
        <w:rPr>
          <w:rFonts w:hint="eastAsia" w:ascii="黑体" w:eastAsia="黑体"/>
        </w:rPr>
      </w:pPr>
      <w:r>
        <w:rPr>
          <w:rFonts w:hint="eastAsia" w:ascii="黑体" w:eastAsia="黑体"/>
        </w:rPr>
        <w:t>2019 年度项目绩效评价报告</w:t>
      </w:r>
    </w:p>
    <w:p>
      <w:pPr>
        <w:pStyle w:val="6"/>
        <w:spacing w:before="214"/>
        <w:ind w:left="1280"/>
        <w:rPr>
          <w:rFonts w:hint="eastAsia" w:ascii="楷体" w:eastAsia="楷体"/>
        </w:rPr>
      </w:pPr>
      <w:r>
        <w:rPr>
          <w:rFonts w:hint="eastAsia" w:ascii="楷体" w:eastAsia="楷体"/>
        </w:rPr>
        <w:t>一、村级组织运转经费</w:t>
      </w:r>
    </w:p>
    <w:p>
      <w:pPr>
        <w:pStyle w:val="5"/>
        <w:ind w:left="1280"/>
      </w:pPr>
      <w:r>
        <w:t>（一）项目概况</w:t>
      </w:r>
    </w:p>
    <w:p>
      <w:pPr>
        <w:pStyle w:val="6"/>
        <w:spacing w:before="214" w:line="364" w:lineRule="auto"/>
        <w:ind w:right="263" w:firstLine="640"/>
        <w:jc w:val="both"/>
      </w:pPr>
      <w:r>
        <w:t>项目基本性质为一般行政管理事务和其他组织事务支出，用途和主要内容、涉及范围、绩效目标是实现由村及社区党组织履行主体责任，区委书记和区级党员领导干部建立城市基层党建联系点，支持村级组织及社区党建工作，主动出资帮助社区改善办公条件，开展新兴</w:t>
      </w:r>
      <w:r>
        <w:rPr>
          <w:spacing w:val="-7"/>
        </w:rPr>
        <w:t>领域新业态下的智慧党建新模式，补助村级党建办公经费和工作经费。</w:t>
      </w:r>
    </w:p>
    <w:p>
      <w:pPr>
        <w:pStyle w:val="5"/>
        <w:spacing w:before="4"/>
        <w:ind w:left="1280"/>
      </w:pPr>
      <w:r>
        <w:t>（二）专项资金投入和使用情况</w:t>
      </w:r>
    </w:p>
    <w:p>
      <w:pPr>
        <w:pStyle w:val="6"/>
        <w:spacing w:before="214"/>
        <w:ind w:left="1050"/>
      </w:pPr>
      <w:r>
        <w:t>2019 年村级组织运转经费预算 311 万元，使用 256.05 万元，结余</w:t>
      </w:r>
    </w:p>
    <w:p>
      <w:pPr>
        <w:pStyle w:val="6"/>
        <w:spacing w:before="214" w:line="364" w:lineRule="auto"/>
        <w:ind w:left="728" w:right="424"/>
      </w:pPr>
      <w:r>
        <w:t>54.95</w:t>
      </w:r>
      <w:r>
        <w:rPr>
          <w:spacing w:val="-17"/>
        </w:rPr>
        <w:t xml:space="preserve"> 万元；村级服务群众专项工作经费专项资金预算 </w:t>
      </w:r>
      <w:r>
        <w:t>27</w:t>
      </w:r>
      <w:r>
        <w:rPr>
          <w:spacing w:val="-24"/>
        </w:rPr>
        <w:t xml:space="preserve"> 万元。投入</w:t>
      </w:r>
      <w:r>
        <w:rPr>
          <w:spacing w:val="-43"/>
        </w:rPr>
        <w:t xml:space="preserve">使用 </w:t>
      </w:r>
      <w:r>
        <w:t>27</w:t>
      </w:r>
      <w:r>
        <w:rPr>
          <w:spacing w:val="-18"/>
        </w:rPr>
        <w:t xml:space="preserve"> 万元，全部拨付到 </w:t>
      </w:r>
      <w:r>
        <w:t>9</w:t>
      </w:r>
      <w:r>
        <w:rPr>
          <w:spacing w:val="-10"/>
        </w:rPr>
        <w:t xml:space="preserve"> 个行政村，年末无结余。</w:t>
      </w:r>
    </w:p>
    <w:p>
      <w:pPr>
        <w:pStyle w:val="5"/>
        <w:spacing w:before="1"/>
        <w:ind w:left="1280"/>
      </w:pPr>
      <w:r>
        <w:t>（三）项目组织实施情况</w:t>
      </w:r>
    </w:p>
    <w:p>
      <w:pPr>
        <w:pStyle w:val="6"/>
        <w:spacing w:before="214" w:line="364" w:lineRule="auto"/>
        <w:ind w:right="263" w:firstLine="640"/>
      </w:pPr>
      <w:r>
        <w:t>创新组织生活，丰富服务手段，充分发挥党建整合资源的引领作用，做好村级服务工作，区委书记和区级党员领导干部建立城市基层</w:t>
      </w:r>
      <w:r>
        <w:rPr>
          <w:spacing w:val="-2"/>
        </w:rPr>
        <w:t>党建联系点，</w:t>
      </w:r>
      <w:r>
        <w:rPr>
          <w:spacing w:val="-12"/>
        </w:rPr>
        <w:t>9</w:t>
      </w:r>
      <w:r>
        <w:rPr>
          <w:spacing w:val="-24"/>
        </w:rPr>
        <w:t xml:space="preserve"> 个村，</w:t>
      </w:r>
      <w:r>
        <w:rPr>
          <w:spacing w:val="-12"/>
        </w:rPr>
        <w:t>3</w:t>
      </w:r>
      <w:r>
        <w:rPr>
          <w:spacing w:val="-28"/>
        </w:rPr>
        <w:t xml:space="preserve"> 万元</w:t>
      </w:r>
      <w:r>
        <w:t>/</w:t>
      </w:r>
      <w:r>
        <w:rPr>
          <w:spacing w:val="-18"/>
        </w:rPr>
        <w:t xml:space="preserve">个村，合计 </w:t>
      </w:r>
      <w:r>
        <w:t>27</w:t>
      </w:r>
      <w:r>
        <w:rPr>
          <w:spacing w:val="-11"/>
        </w:rPr>
        <w:t xml:space="preserve"> 万元。村级组织运转经费</w:t>
      </w:r>
      <w:r>
        <w:rPr>
          <w:spacing w:val="-7"/>
        </w:rPr>
        <w:t>主要是按照《株洲市基层党组织“组织力提升工程”</w:t>
      </w:r>
      <w:r>
        <w:t>2018</w:t>
      </w:r>
      <w:r>
        <w:rPr>
          <w:spacing w:val="-16"/>
        </w:rPr>
        <w:t xml:space="preserve"> 年工作重点任务》（株组〔2018〕32</w:t>
      </w:r>
      <w:r>
        <w:rPr>
          <w:spacing w:val="-41"/>
        </w:rPr>
        <w:t xml:space="preserve"> 号</w:t>
      </w:r>
      <w:r>
        <w:t>）</w:t>
      </w:r>
      <w:r>
        <w:rPr>
          <w:spacing w:val="-7"/>
        </w:rPr>
        <w:t xml:space="preserve">文件要求，拨付村干部工资 </w:t>
      </w:r>
      <w:r>
        <w:t>180</w:t>
      </w:r>
      <w:r>
        <w:rPr>
          <w:spacing w:val="-28"/>
        </w:rPr>
        <w:t xml:space="preserve"> 万，</w:t>
      </w:r>
      <w:r>
        <w:t xml:space="preserve">9 </w:t>
      </w:r>
      <w:r>
        <w:rPr>
          <w:spacing w:val="-17"/>
        </w:rPr>
        <w:t xml:space="preserve">个行政村 </w:t>
      </w:r>
      <w:r>
        <w:t>45</w:t>
      </w:r>
      <w:r>
        <w:rPr>
          <w:spacing w:val="-18"/>
        </w:rPr>
        <w:t xml:space="preserve"> 万办公经费，</w:t>
      </w:r>
      <w:r>
        <w:rPr>
          <w:spacing w:val="-30"/>
        </w:rPr>
        <w:t>36</w:t>
      </w:r>
      <w:r>
        <w:rPr>
          <w:spacing w:val="-18"/>
        </w:rPr>
        <w:t xml:space="preserve"> 万党建工作经费，离任村干部补助 </w:t>
      </w:r>
      <w:r>
        <w:t>50</w:t>
      </w:r>
      <w:r>
        <w:rPr>
          <w:spacing w:val="-28"/>
        </w:rPr>
        <w:t xml:space="preserve"> 万，</w:t>
      </w:r>
    </w:p>
    <w:p>
      <w:pPr>
        <w:pStyle w:val="6"/>
        <w:spacing w:before="5"/>
      </w:pPr>
      <w:r>
        <w:rPr>
          <w:spacing w:val="-29"/>
        </w:rPr>
        <w:t xml:space="preserve">共计 </w:t>
      </w:r>
      <w:r>
        <w:t>311</w:t>
      </w:r>
      <w:r>
        <w:rPr>
          <w:spacing w:val="-15"/>
        </w:rPr>
        <w:t xml:space="preserve"> 万，因需要对村级组织运转情况按季度进行绩效考核后支付，</w:t>
      </w:r>
    </w:p>
    <w:p>
      <w:pPr>
        <w:pStyle w:val="6"/>
        <w:spacing w:before="214"/>
      </w:pPr>
      <w:r>
        <w:t>2019 年四季度未支付，年末结余经费 54.95 万元。</w:t>
      </w:r>
    </w:p>
    <w:p>
      <w:pPr>
        <w:pStyle w:val="5"/>
        <w:ind w:left="1280"/>
      </w:pPr>
      <w:r>
        <w:t>（四）项目绩效情况</w:t>
      </w:r>
    </w:p>
    <w:p>
      <w:pPr>
        <w:spacing w:after="0"/>
        <w:sectPr>
          <w:pgSz w:w="11910" w:h="16840"/>
          <w:pgMar w:top="1500" w:right="740" w:bottom="280" w:left="440" w:header="720" w:footer="720" w:gutter="0"/>
          <w:cols w:space="720" w:num="1"/>
        </w:sectPr>
      </w:pPr>
    </w:p>
    <w:p>
      <w:pPr>
        <w:pStyle w:val="6"/>
        <w:spacing w:before="30" w:line="364" w:lineRule="auto"/>
        <w:ind w:right="263" w:firstLine="640"/>
      </w:pPr>
      <w:r>
        <w:t xml:space="preserve">认真贯彻落实全国、全省、全市基层党建工作重点任务推进会精神，聚焦重点，夯实党建基础。全面贯彻新思想，坚持用习近平新时代中国特色社会主义思想武装全区基层党组织和全体党员，结合“不忘初心、牢记使命”主题教育和“两学一做”学习教育常态化制度化工作，举办“一个班次、五个批次”的党建业务培训班，对包括党组织书记、组织委员、“两新”组织负责人、党建专干（网格党建员） </w:t>
      </w:r>
      <w:r>
        <w:rPr>
          <w:spacing w:val="-19"/>
        </w:rPr>
        <w:t xml:space="preserve">在内的 </w:t>
      </w:r>
      <w:r>
        <w:t>600</w:t>
      </w:r>
      <w:r>
        <w:rPr>
          <w:spacing w:val="-8"/>
        </w:rPr>
        <w:t xml:space="preserve"> 余人进行全覆盖培训。规范“石峰号”主题党日、“三会</w:t>
      </w:r>
      <w:r>
        <w:rPr>
          <w:spacing w:val="-5"/>
        </w:rPr>
        <w:t>一课”等组织生活，组织全区党员参与学习新思想。全面推进基层党</w:t>
      </w:r>
      <w:r>
        <w:rPr>
          <w:spacing w:val="-8"/>
          <w:w w:val="95"/>
        </w:rPr>
        <w:t>建，出台城市基层党建“</w:t>
      </w:r>
      <w:r>
        <w:rPr>
          <w:spacing w:val="-4"/>
          <w:w w:val="95"/>
        </w:rPr>
        <w:t>1+15</w:t>
      </w:r>
      <w:r>
        <w:rPr>
          <w:spacing w:val="-6"/>
          <w:w w:val="95"/>
        </w:rPr>
        <w:t xml:space="preserve">”系列文件，建立县级领导联系点制度，  </w:t>
      </w:r>
      <w:r>
        <w:rPr>
          <w:spacing w:val="-6"/>
        </w:rPr>
        <w:t>40</w:t>
      </w:r>
      <w:r>
        <w:rPr>
          <w:spacing w:val="-20"/>
        </w:rPr>
        <w:t xml:space="preserve"> 名县级领导联系 </w:t>
      </w:r>
      <w:r>
        <w:t>1-2</w:t>
      </w:r>
      <w:r>
        <w:rPr>
          <w:spacing w:val="-23"/>
        </w:rPr>
        <w:t xml:space="preserve"> 个社区</w:t>
      </w:r>
      <w:r>
        <w:t>（村</w:t>
      </w:r>
      <w:r>
        <w:rPr>
          <w:spacing w:val="-4"/>
        </w:rPr>
        <w:t>）</w:t>
      </w:r>
      <w:r>
        <w:rPr>
          <w:spacing w:val="-3"/>
        </w:rPr>
        <w:t>，指导督导基层建设。建立街道</w:t>
      </w:r>
    </w:p>
    <w:p>
      <w:pPr>
        <w:pStyle w:val="6"/>
        <w:spacing w:before="8" w:line="364" w:lineRule="auto"/>
        <w:ind w:right="419"/>
        <w:jc w:val="both"/>
      </w:pPr>
      <w:r>
        <w:rPr>
          <w:spacing w:val="-3"/>
        </w:rPr>
        <w:t>“大工委”和社区“大党委”制度，采取“</w:t>
      </w:r>
      <w:r>
        <w:t>1+5</w:t>
      </w:r>
      <w:r>
        <w:rPr>
          <w:spacing w:val="-11"/>
        </w:rPr>
        <w:t xml:space="preserve">”的管理模式，成立 </w:t>
      </w:r>
      <w:r>
        <w:t xml:space="preserve">5 </w:t>
      </w:r>
      <w:r>
        <w:rPr>
          <w:spacing w:val="-3"/>
        </w:rPr>
        <w:t>个“大工委”、</w:t>
      </w:r>
      <w:r>
        <w:t>33</w:t>
      </w:r>
      <w:r>
        <w:rPr>
          <w:spacing w:val="-11"/>
        </w:rPr>
        <w:t xml:space="preserve"> 个“大党委”，吸纳中盐株化物管办、清水塘学校</w:t>
      </w:r>
      <w:r>
        <w:rPr>
          <w:spacing w:val="-24"/>
        </w:rPr>
        <w:t xml:space="preserve">等成员单位 </w:t>
      </w:r>
      <w:r>
        <w:t>156</w:t>
      </w:r>
      <w:r>
        <w:rPr>
          <w:spacing w:val="-21"/>
        </w:rPr>
        <w:t xml:space="preserve"> 家，形成社区、机关事业单位、国有企业、园区、“两</w:t>
      </w:r>
      <w:r>
        <w:rPr>
          <w:spacing w:val="-8"/>
        </w:rPr>
        <w:t>新”组织党组织联动共建的城市基层党建格局。全面开展“五化”建</w:t>
      </w:r>
      <w:r>
        <w:rPr>
          <w:spacing w:val="-2"/>
        </w:rPr>
        <w:t>设，制定《关于开展党支部“五化”建设工作的实施方案》，党员县</w:t>
      </w:r>
      <w:r>
        <w:rPr>
          <w:spacing w:val="-13"/>
        </w:rPr>
        <w:t xml:space="preserve">级领导按照“五个一”活动安排联系指导 </w:t>
      </w:r>
      <w:r>
        <w:t>50</w:t>
      </w:r>
      <w:r>
        <w:rPr>
          <w:spacing w:val="-14"/>
        </w:rPr>
        <w:t xml:space="preserve"> 个党支部“五化”建设示</w:t>
      </w:r>
    </w:p>
    <w:p>
      <w:pPr>
        <w:pStyle w:val="6"/>
        <w:spacing w:before="5"/>
        <w:jc w:val="both"/>
      </w:pPr>
      <w:r>
        <w:rPr>
          <w:spacing w:val="-19"/>
        </w:rPr>
        <w:t xml:space="preserve">范点，抽调 </w:t>
      </w:r>
      <w:r>
        <w:t>38</w:t>
      </w:r>
      <w:r>
        <w:rPr>
          <w:spacing w:val="-14"/>
        </w:rPr>
        <w:t xml:space="preserve"> 名骨干党员组成党支部“五化”建设指导队，指导开展</w:t>
      </w:r>
    </w:p>
    <w:p>
      <w:pPr>
        <w:pStyle w:val="6"/>
        <w:spacing w:before="214"/>
        <w:jc w:val="both"/>
      </w:pPr>
      <w:r>
        <w:rPr>
          <w:spacing w:val="-13"/>
        </w:rPr>
        <w:t xml:space="preserve">专题业务培训 </w:t>
      </w:r>
      <w:r>
        <w:t>5</w:t>
      </w:r>
      <w:r>
        <w:rPr>
          <w:spacing w:val="-17"/>
        </w:rPr>
        <w:t xml:space="preserve"> 期，调整优化党支部设置 </w:t>
      </w:r>
      <w:r>
        <w:t>43</w:t>
      </w:r>
      <w:r>
        <w:rPr>
          <w:spacing w:val="-20"/>
        </w:rPr>
        <w:t xml:space="preserve"> 个，新建社区</w:t>
      </w:r>
      <w:r>
        <w:rPr>
          <w:spacing w:val="-3"/>
        </w:rPr>
        <w:t>（</w:t>
      </w:r>
      <w:r>
        <w:t>村</w:t>
      </w:r>
      <w:r>
        <w:rPr>
          <w:spacing w:val="-24"/>
        </w:rPr>
        <w:t>）</w:t>
      </w:r>
      <w:r>
        <w:t>党支</w:t>
      </w:r>
    </w:p>
    <w:p>
      <w:pPr>
        <w:pStyle w:val="6"/>
        <w:spacing w:before="214" w:line="364" w:lineRule="auto"/>
        <w:ind w:right="325"/>
        <w:jc w:val="both"/>
      </w:pPr>
      <w:r>
        <w:rPr>
          <w:spacing w:val="-14"/>
        </w:rPr>
        <w:t xml:space="preserve">部活动阵地 </w:t>
      </w:r>
      <w:r>
        <w:t>6</w:t>
      </w:r>
      <w:r>
        <w:rPr>
          <w:spacing w:val="-17"/>
        </w:rPr>
        <w:t xml:space="preserve"> 个，改造升级党支部活动场所 </w:t>
      </w:r>
      <w:r>
        <w:t>17</w:t>
      </w:r>
      <w:r>
        <w:rPr>
          <w:spacing w:val="-14"/>
        </w:rPr>
        <w:t xml:space="preserve"> 个。区委书记和区级党员领导干部建立城市基层党建联系点，</w:t>
      </w:r>
      <w:r>
        <w:rPr>
          <w:spacing w:val="-4"/>
        </w:rPr>
        <w:t>9</w:t>
      </w:r>
      <w:r>
        <w:rPr>
          <w:spacing w:val="-22"/>
        </w:rPr>
        <w:t xml:space="preserve"> 个村，</w:t>
      </w:r>
      <w:r>
        <w:rPr>
          <w:spacing w:val="-3"/>
        </w:rPr>
        <w:t>3</w:t>
      </w:r>
      <w:r>
        <w:rPr>
          <w:spacing w:val="-28"/>
        </w:rPr>
        <w:t xml:space="preserve"> 万元</w:t>
      </w:r>
      <w:r>
        <w:t>/</w:t>
      </w:r>
      <w:r>
        <w:rPr>
          <w:spacing w:val="-16"/>
        </w:rPr>
        <w:t xml:space="preserve">个村，合计 </w:t>
      </w:r>
      <w:r>
        <w:t>27 万元全部拨付到位，村级组织运转经费主要是按照《株洲市基层党组织“组织力提升工程”2018</w:t>
      </w:r>
      <w:r>
        <w:rPr>
          <w:spacing w:val="-12"/>
        </w:rPr>
        <w:t xml:space="preserve"> 年工作重点任务》</w:t>
      </w:r>
      <w:r>
        <w:t>（株组〔2018〕32</w:t>
      </w:r>
      <w:r>
        <w:rPr>
          <w:spacing w:val="-43"/>
        </w:rPr>
        <w:t xml:space="preserve"> 号</w:t>
      </w:r>
      <w:r>
        <w:t>）</w:t>
      </w:r>
    </w:p>
    <w:p>
      <w:pPr>
        <w:spacing w:after="0" w:line="364" w:lineRule="auto"/>
        <w:jc w:val="both"/>
        <w:sectPr>
          <w:pgSz w:w="11910" w:h="16840"/>
          <w:pgMar w:top="1500" w:right="740" w:bottom="280" w:left="440" w:header="720" w:footer="720" w:gutter="0"/>
          <w:cols w:space="720" w:num="1"/>
        </w:sectPr>
      </w:pPr>
    </w:p>
    <w:p>
      <w:pPr>
        <w:pStyle w:val="6"/>
        <w:spacing w:before="30" w:line="364" w:lineRule="auto"/>
        <w:ind w:right="424"/>
      </w:pPr>
      <w:r>
        <w:rPr>
          <w:spacing w:val="-12"/>
        </w:rPr>
        <w:t xml:space="preserve">文件要求，拨付村干部工资 </w:t>
      </w:r>
      <w:r>
        <w:t>180</w:t>
      </w:r>
      <w:r>
        <w:rPr>
          <w:spacing w:val="-34"/>
        </w:rPr>
        <w:t xml:space="preserve"> 万，</w:t>
      </w:r>
      <w:r>
        <w:rPr>
          <w:spacing w:val="-16"/>
        </w:rPr>
        <w:t>9</w:t>
      </w:r>
      <w:r>
        <w:rPr>
          <w:spacing w:val="-29"/>
        </w:rPr>
        <w:t xml:space="preserve"> 个行政村 </w:t>
      </w:r>
      <w:r>
        <w:t>45</w:t>
      </w:r>
      <w:r>
        <w:rPr>
          <w:spacing w:val="-15"/>
        </w:rPr>
        <w:t xml:space="preserve"> 万办公经费，</w:t>
      </w:r>
      <w:r>
        <w:rPr>
          <w:spacing w:val="-11"/>
        </w:rPr>
        <w:t>36</w:t>
      </w:r>
      <w:r>
        <w:rPr>
          <w:spacing w:val="-42"/>
        </w:rPr>
        <w:t xml:space="preserve"> 万</w:t>
      </w:r>
      <w:r>
        <w:rPr>
          <w:spacing w:val="-26"/>
        </w:rPr>
        <w:t xml:space="preserve">党建工作经费，离任村干部补助 </w:t>
      </w:r>
      <w:r>
        <w:t>50</w:t>
      </w:r>
      <w:r>
        <w:rPr>
          <w:spacing w:val="-29"/>
        </w:rPr>
        <w:t xml:space="preserve"> 万，共计 </w:t>
      </w:r>
      <w:r>
        <w:t>311</w:t>
      </w:r>
      <w:r>
        <w:rPr>
          <w:spacing w:val="-29"/>
        </w:rPr>
        <w:t xml:space="preserve"> 万，</w:t>
      </w:r>
      <w:r>
        <w:rPr>
          <w:spacing w:val="-3"/>
        </w:rPr>
        <w:t>9</w:t>
      </w:r>
      <w:r>
        <w:rPr>
          <w:spacing w:val="-13"/>
        </w:rPr>
        <w:t xml:space="preserve"> 个行政村“两</w:t>
      </w:r>
    </w:p>
    <w:p>
      <w:pPr>
        <w:pStyle w:val="6"/>
        <w:spacing w:before="1" w:line="364" w:lineRule="auto"/>
        <w:ind w:right="263"/>
      </w:pPr>
      <w:r>
        <w:rPr>
          <w:spacing w:val="-29"/>
        </w:rPr>
        <w:t xml:space="preserve">委”成员 </w:t>
      </w:r>
      <w:r>
        <w:t>45</w:t>
      </w:r>
      <w:r>
        <w:rPr>
          <w:spacing w:val="-27"/>
        </w:rPr>
        <w:t xml:space="preserve"> 人，离任村主干 </w:t>
      </w:r>
      <w:r>
        <w:t>157</w:t>
      </w:r>
      <w:r>
        <w:rPr>
          <w:spacing w:val="-38"/>
        </w:rPr>
        <w:t xml:space="preserve"> 名，</w:t>
      </w:r>
      <w:r>
        <w:rPr>
          <w:spacing w:val="-30"/>
        </w:rPr>
        <w:t>9</w:t>
      </w:r>
      <w:r>
        <w:rPr>
          <w:spacing w:val="-10"/>
        </w:rPr>
        <w:t xml:space="preserve"> 个村办公经费及党建工作经费， </w:t>
      </w:r>
      <w:r>
        <w:rPr>
          <w:spacing w:val="-18"/>
        </w:rPr>
        <w:t xml:space="preserve">具体标准 </w:t>
      </w:r>
      <w:r>
        <w:t>45*4</w:t>
      </w:r>
      <w:r>
        <w:rPr>
          <w:spacing w:val="-25"/>
        </w:rPr>
        <w:t xml:space="preserve"> 万元</w:t>
      </w:r>
      <w:r>
        <w:t>/</w:t>
      </w:r>
      <w:r>
        <w:rPr>
          <w:spacing w:val="2"/>
        </w:rPr>
        <w:t>人=</w:t>
      </w:r>
      <w:r>
        <w:t>180</w:t>
      </w:r>
      <w:r>
        <w:rPr>
          <w:spacing w:val="-19"/>
        </w:rPr>
        <w:t xml:space="preserve"> 万元，</w:t>
      </w:r>
      <w:r>
        <w:t>9</w:t>
      </w:r>
      <w:r>
        <w:rPr>
          <w:spacing w:val="-20"/>
        </w:rPr>
        <w:t xml:space="preserve"> 个村办公经费 </w:t>
      </w:r>
      <w:r>
        <w:t>5</w:t>
      </w:r>
      <w:r>
        <w:rPr>
          <w:spacing w:val="-25"/>
        </w:rPr>
        <w:t xml:space="preserve"> 万元</w:t>
      </w:r>
      <w:r>
        <w:t>/</w:t>
      </w:r>
      <w:r>
        <w:rPr>
          <w:spacing w:val="-26"/>
        </w:rPr>
        <w:t xml:space="preserve">个计 </w:t>
      </w:r>
      <w:r>
        <w:t>45</w:t>
      </w:r>
      <w:r>
        <w:rPr>
          <w:spacing w:val="-39"/>
        </w:rPr>
        <w:t xml:space="preserve"> 万</w:t>
      </w:r>
      <w:r>
        <w:rPr>
          <w:spacing w:val="-44"/>
        </w:rPr>
        <w:t xml:space="preserve">元，党建工作经费 </w:t>
      </w:r>
      <w:r>
        <w:t>4</w:t>
      </w:r>
      <w:r>
        <w:rPr>
          <w:spacing w:val="-28"/>
        </w:rPr>
        <w:t xml:space="preserve"> 万元</w:t>
      </w:r>
      <w:r>
        <w:t>/</w:t>
      </w:r>
      <w:r>
        <w:rPr>
          <w:spacing w:val="-27"/>
        </w:rPr>
        <w:t xml:space="preserve">个计 </w:t>
      </w:r>
      <w:r>
        <w:t>36</w:t>
      </w:r>
      <w:r>
        <w:rPr>
          <w:spacing w:val="-18"/>
        </w:rPr>
        <w:t xml:space="preserve"> 万元，离任村主干 </w:t>
      </w:r>
      <w:r>
        <w:t>157</w:t>
      </w:r>
      <w:r>
        <w:rPr>
          <w:spacing w:val="-15"/>
        </w:rPr>
        <w:t xml:space="preserve"> 名生活补助</w:t>
      </w:r>
    </w:p>
    <w:p>
      <w:pPr>
        <w:pStyle w:val="6"/>
        <w:spacing w:before="3"/>
      </w:pPr>
      <w:r>
        <w:rPr>
          <w:spacing w:val="1"/>
          <w:w w:val="99"/>
        </w:rPr>
        <w:t>5</w:t>
      </w:r>
      <w:r>
        <w:rPr>
          <w:w w:val="99"/>
        </w:rPr>
        <w:t>0</w:t>
      </w:r>
      <w:r>
        <w:rPr>
          <w:spacing w:val="-99"/>
        </w:rPr>
        <w:t xml:space="preserve"> </w:t>
      </w:r>
      <w:r>
        <w:rPr>
          <w:spacing w:val="-20"/>
          <w:w w:val="99"/>
        </w:rPr>
        <w:t>万元，因需要对村级组织运转情况按季度进行绩效考核后支付，</w:t>
      </w:r>
      <w:r>
        <w:rPr>
          <w:spacing w:val="1"/>
          <w:w w:val="99"/>
        </w:rPr>
        <w:t>20</w:t>
      </w:r>
      <w:r>
        <w:rPr>
          <w:spacing w:val="-2"/>
          <w:w w:val="99"/>
        </w:rPr>
        <w:t>1</w:t>
      </w:r>
      <w:r>
        <w:rPr>
          <w:w w:val="99"/>
        </w:rPr>
        <w:t>9</w:t>
      </w:r>
    </w:p>
    <w:p>
      <w:pPr>
        <w:pStyle w:val="6"/>
        <w:spacing w:before="214" w:line="364" w:lineRule="auto"/>
        <w:ind w:right="426"/>
      </w:pPr>
      <w:r>
        <w:rPr>
          <w:spacing w:val="-6"/>
        </w:rPr>
        <w:t xml:space="preserve">年四季度未支付，年末结余经费 </w:t>
      </w:r>
      <w:r>
        <w:t>54.95</w:t>
      </w:r>
      <w:r>
        <w:rPr>
          <w:spacing w:val="-9"/>
        </w:rPr>
        <w:t xml:space="preserve"> 万元。受益群众和服务对象满</w:t>
      </w:r>
      <w:r>
        <w:rPr>
          <w:spacing w:val="-33"/>
        </w:rPr>
        <w:t xml:space="preserve">意度 </w:t>
      </w:r>
      <w:r>
        <w:t>90%以上。</w:t>
      </w:r>
    </w:p>
    <w:p>
      <w:pPr>
        <w:pStyle w:val="6"/>
        <w:spacing w:before="1"/>
        <w:ind w:left="1268"/>
        <w:rPr>
          <w:rFonts w:hint="eastAsia" w:ascii="楷体" w:hAnsi="楷体" w:eastAsia="楷体"/>
        </w:rPr>
      </w:pPr>
      <w:r>
        <w:rPr>
          <w:rFonts w:hint="eastAsia" w:ascii="楷体" w:hAnsi="楷体" w:eastAsia="楷体"/>
        </w:rPr>
        <w:t>二、体制外网格及“两新”等党务工作者补助经费</w:t>
      </w:r>
    </w:p>
    <w:p>
      <w:pPr>
        <w:pStyle w:val="5"/>
        <w:ind w:left="1280"/>
      </w:pPr>
      <w:r>
        <w:t>（一）项目概况</w:t>
      </w:r>
    </w:p>
    <w:p>
      <w:pPr>
        <w:pStyle w:val="6"/>
        <w:spacing w:before="214" w:line="364" w:lineRule="auto"/>
        <w:ind w:right="424" w:firstLine="640"/>
        <w:jc w:val="both"/>
      </w:pPr>
      <w:r>
        <w:t>项目基本性质是对个人和家庭的专项补助、用途和主要内容、涉及范围、绩效目标为建立健全党建工作经费保障，激发“两新”党组织的聚力作用，发挥党组织在“两新”组织中的政治核心和政治引领</w:t>
      </w:r>
      <w:r>
        <w:rPr>
          <w:spacing w:val="-17"/>
          <w:w w:val="95"/>
        </w:rPr>
        <w:t xml:space="preserve">作用，国有企业和“两新”组织的沟通对接和共驻共建，不断加强“两  </w:t>
      </w:r>
      <w:r>
        <w:rPr>
          <w:spacing w:val="-7"/>
        </w:rPr>
        <w:t>新”党组织党建工作，发动“两新”组织积极参与社会公益活动和志愿服务。</w:t>
      </w:r>
    </w:p>
    <w:p>
      <w:pPr>
        <w:pStyle w:val="5"/>
        <w:spacing w:before="5"/>
        <w:ind w:left="1280"/>
      </w:pPr>
      <w:r>
        <w:t>（二）专项资金投入和使用情况</w:t>
      </w:r>
    </w:p>
    <w:p>
      <w:pPr>
        <w:pStyle w:val="6"/>
        <w:spacing w:before="214" w:line="364" w:lineRule="auto"/>
        <w:ind w:left="728" w:right="475" w:firstLine="321"/>
      </w:pPr>
      <w:r>
        <w:rPr>
          <w:spacing w:val="-9"/>
        </w:rPr>
        <w:t xml:space="preserve">本年度专项预算资金 </w:t>
      </w:r>
      <w:r>
        <w:t>54.048</w:t>
      </w:r>
      <w:r>
        <w:rPr>
          <w:spacing w:val="-20"/>
        </w:rPr>
        <w:t xml:space="preserve"> 万元。实际使用 </w:t>
      </w:r>
      <w:r>
        <w:t>54.048</w:t>
      </w:r>
      <w:r>
        <w:rPr>
          <w:spacing w:val="-25"/>
        </w:rPr>
        <w:t xml:space="preserve"> 万元，余额 </w:t>
      </w:r>
      <w:r>
        <w:t>0 万元。</w:t>
      </w:r>
    </w:p>
    <w:p>
      <w:pPr>
        <w:pStyle w:val="5"/>
        <w:spacing w:before="2"/>
        <w:ind w:left="1280"/>
      </w:pPr>
      <w:r>
        <w:t>（三）项目组织实施情况</w:t>
      </w:r>
    </w:p>
    <w:p>
      <w:pPr>
        <w:pStyle w:val="6"/>
        <w:spacing w:before="214" w:line="364" w:lineRule="auto"/>
        <w:ind w:left="728" w:right="395" w:firstLine="640"/>
      </w:pPr>
      <w:r>
        <w:t>建立健全党建工作经费保障，</w:t>
      </w:r>
      <w:r>
        <w:rPr>
          <w:rFonts w:hint="eastAsia"/>
          <w:lang w:eastAsia="zh-CN"/>
        </w:rPr>
        <w:t>有效推进网格党建工作，</w:t>
      </w:r>
      <w:r>
        <w:t>激发“两新”党组织的聚力作用， 发挥党组织在“两新”组织中的政治核心和政治引领作用，国有企业</w:t>
      </w:r>
    </w:p>
    <w:p>
      <w:pPr>
        <w:spacing w:after="0" w:line="364" w:lineRule="auto"/>
        <w:sectPr>
          <w:pgSz w:w="11910" w:h="16840"/>
          <w:pgMar w:top="1500" w:right="740" w:bottom="280" w:left="440" w:header="720" w:footer="720" w:gutter="0"/>
          <w:cols w:space="720" w:num="1"/>
        </w:sectPr>
      </w:pPr>
    </w:p>
    <w:p>
      <w:pPr>
        <w:pStyle w:val="6"/>
        <w:spacing w:before="30" w:line="364" w:lineRule="auto"/>
        <w:ind w:left="728" w:right="424"/>
      </w:pPr>
      <w:r>
        <w:rPr>
          <w:spacing w:val="-5"/>
          <w:w w:val="95"/>
        </w:rPr>
        <w:t xml:space="preserve">和“两新”组织的沟通对接和共驻共建，不断加强“两新”党组织党  建工作，发动“两新”组织积极参与社会公益活动和志愿服务，应补  </w:t>
      </w:r>
      <w:r>
        <w:rPr>
          <w:spacing w:val="-9"/>
        </w:rPr>
        <w:t xml:space="preserve">偿体制外网格及“两新”等党务工作者补助经费 </w:t>
      </w:r>
      <w:r>
        <w:t>91</w:t>
      </w:r>
      <w:r>
        <w:rPr>
          <w:spacing w:val="-12"/>
        </w:rPr>
        <w:t xml:space="preserve"> 名党支部书记， 434</w:t>
      </w:r>
      <w:r>
        <w:rPr>
          <w:spacing w:val="-14"/>
        </w:rPr>
        <w:t xml:space="preserve"> 名党小组长，</w:t>
      </w:r>
      <w:r>
        <w:rPr>
          <w:spacing w:val="-7"/>
        </w:rPr>
        <w:t>140</w:t>
      </w:r>
      <w:r>
        <w:rPr>
          <w:spacing w:val="-15"/>
        </w:rPr>
        <w:t xml:space="preserve"> 名“两新”党务工作者，</w:t>
      </w:r>
      <w:r>
        <w:rPr>
          <w:spacing w:val="-14"/>
        </w:rPr>
        <w:t>7</w:t>
      </w:r>
      <w:r>
        <w:rPr>
          <w:spacing w:val="-10"/>
        </w:rPr>
        <w:t xml:space="preserve"> 个新建党组织全部补助到位。</w:t>
      </w:r>
    </w:p>
    <w:p>
      <w:pPr>
        <w:pStyle w:val="5"/>
        <w:spacing w:before="4"/>
        <w:ind w:left="1280"/>
      </w:pPr>
      <w:r>
        <w:t>（四）项目绩效情况</w:t>
      </w:r>
    </w:p>
    <w:p>
      <w:pPr>
        <w:pStyle w:val="6"/>
        <w:spacing w:before="214" w:line="364" w:lineRule="auto"/>
        <w:ind w:right="263" w:firstLine="640"/>
      </w:pPr>
      <w:r>
        <w:rPr>
          <w:spacing w:val="-8"/>
        </w:rPr>
        <w:t>统筹工作重点，全面夯实基层基础。一是全面推进党支部“五化” 建设。制定《关于开展党支部“五化”建设工作的实施方案》，目前</w:t>
      </w:r>
      <w:r>
        <w:rPr>
          <w:spacing w:val="-33"/>
        </w:rPr>
        <w:t xml:space="preserve">全区 </w:t>
      </w:r>
      <w:r>
        <w:t>230</w:t>
      </w:r>
      <w:r>
        <w:rPr>
          <w:spacing w:val="-10"/>
        </w:rPr>
        <w:t xml:space="preserve"> 个党支部“五化”建设已完成验收。两新党建工作体系不断完善。在区市场监督管理局成立非公企业综合党委，同时推进民政、教育、司法、园区、商粮等单位部门统一抓总负责各自领域两新党建</w:t>
      </w:r>
      <w:r>
        <w:rPr>
          <w:spacing w:val="-13"/>
        </w:rPr>
        <w:t xml:space="preserve">工作，形成了条块结合的管理体系。选派两新组织党建指导员 </w:t>
      </w:r>
      <w:r>
        <w:t>61</w:t>
      </w:r>
      <w:r>
        <w:rPr>
          <w:spacing w:val="-28"/>
        </w:rPr>
        <w:t xml:space="preserve"> 名，</w:t>
      </w:r>
    </w:p>
    <w:p>
      <w:pPr>
        <w:pStyle w:val="6"/>
        <w:spacing w:before="5" w:line="364" w:lineRule="auto"/>
        <w:ind w:right="263"/>
      </w:pPr>
      <w:r>
        <w:rPr>
          <w:spacing w:val="-17"/>
        </w:rPr>
        <w:t xml:space="preserve">全面推进 </w:t>
      </w:r>
      <w:r>
        <w:t>5</w:t>
      </w:r>
      <w:r>
        <w:rPr>
          <w:spacing w:val="-15"/>
        </w:rPr>
        <w:t xml:space="preserve"> 家国有企业、公立学校、医院与 </w:t>
      </w:r>
      <w:r>
        <w:t>7</w:t>
      </w:r>
      <w:r>
        <w:rPr>
          <w:spacing w:val="-10"/>
        </w:rPr>
        <w:t xml:space="preserve"> 家非公企业和社会组织进行结对共建。建立健全党建工作经费保障，激发“两新”党组织的</w:t>
      </w:r>
      <w:r>
        <w:rPr>
          <w:spacing w:val="-13"/>
          <w:w w:val="95"/>
        </w:rPr>
        <w:t xml:space="preserve">聚力作用，发挥党组织在“两新”组织中的政治核心和政治引领作用，  </w:t>
      </w:r>
      <w:r>
        <w:rPr>
          <w:spacing w:val="-13"/>
        </w:rPr>
        <w:t>国有企业和“两新”组织的沟通对接和共驻共建，不断加强“两新” 党组织党建工作，发动“两新”组织积极参与社会公益活动和志愿服</w:t>
      </w:r>
      <w:r>
        <w:rPr>
          <w:spacing w:val="-15"/>
        </w:rPr>
        <w:t xml:space="preserve">务，应补偿体制外网格及“两新”等党务工作者补助经费 </w:t>
      </w:r>
      <w:r>
        <w:t>91</w:t>
      </w:r>
      <w:r>
        <w:rPr>
          <w:spacing w:val="-17"/>
        </w:rPr>
        <w:t xml:space="preserve"> 名党支部书记，434</w:t>
      </w:r>
      <w:r>
        <w:rPr>
          <w:spacing w:val="-13"/>
        </w:rPr>
        <w:t xml:space="preserve"> 名党小组长，</w:t>
      </w:r>
      <w:r>
        <w:t>140</w:t>
      </w:r>
      <w:r>
        <w:rPr>
          <w:spacing w:val="-11"/>
        </w:rPr>
        <w:t xml:space="preserve"> 名“两新”党务工作者，</w:t>
      </w:r>
      <w:r>
        <w:t>7</w:t>
      </w:r>
      <w:r>
        <w:rPr>
          <w:spacing w:val="-13"/>
        </w:rPr>
        <w:t xml:space="preserve"> 个新建党组织</w:t>
      </w:r>
      <w:r>
        <w:rPr>
          <w:spacing w:val="-17"/>
        </w:rPr>
        <w:t xml:space="preserve">全部补助到位，受益群众和服务对象满意度 </w:t>
      </w:r>
      <w:r>
        <w:t>90%以上。</w:t>
      </w:r>
    </w:p>
    <w:sectPr>
      <w:pgSz w:w="11910" w:h="16840"/>
      <w:pgMar w:top="1500" w:right="740" w:bottom="280" w:left="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640"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648" w:hanging="322"/>
      </w:pPr>
      <w:rPr>
        <w:rFonts w:hint="default"/>
        <w:lang w:val="zh-CN" w:eastAsia="zh-CN" w:bidi="zh-CN"/>
      </w:rPr>
    </w:lvl>
    <w:lvl w:ilvl="2" w:tentative="0">
      <w:start w:val="0"/>
      <w:numFmt w:val="bullet"/>
      <w:lvlText w:val="•"/>
      <w:lvlJc w:val="left"/>
      <w:pPr>
        <w:ind w:left="2657" w:hanging="322"/>
      </w:pPr>
      <w:rPr>
        <w:rFonts w:hint="default"/>
        <w:lang w:val="zh-CN" w:eastAsia="zh-CN" w:bidi="zh-CN"/>
      </w:rPr>
    </w:lvl>
    <w:lvl w:ilvl="3" w:tentative="0">
      <w:start w:val="0"/>
      <w:numFmt w:val="bullet"/>
      <w:lvlText w:val="•"/>
      <w:lvlJc w:val="left"/>
      <w:pPr>
        <w:ind w:left="3665" w:hanging="322"/>
      </w:pPr>
      <w:rPr>
        <w:rFonts w:hint="default"/>
        <w:lang w:val="zh-CN" w:eastAsia="zh-CN" w:bidi="zh-CN"/>
      </w:rPr>
    </w:lvl>
    <w:lvl w:ilvl="4" w:tentative="0">
      <w:start w:val="0"/>
      <w:numFmt w:val="bullet"/>
      <w:lvlText w:val="•"/>
      <w:lvlJc w:val="left"/>
      <w:pPr>
        <w:ind w:left="4674" w:hanging="322"/>
      </w:pPr>
      <w:rPr>
        <w:rFonts w:hint="default"/>
        <w:lang w:val="zh-CN" w:eastAsia="zh-CN" w:bidi="zh-CN"/>
      </w:rPr>
    </w:lvl>
    <w:lvl w:ilvl="5" w:tentative="0">
      <w:start w:val="0"/>
      <w:numFmt w:val="bullet"/>
      <w:lvlText w:val="•"/>
      <w:lvlJc w:val="left"/>
      <w:pPr>
        <w:ind w:left="5683" w:hanging="322"/>
      </w:pPr>
      <w:rPr>
        <w:rFonts w:hint="default"/>
        <w:lang w:val="zh-CN" w:eastAsia="zh-CN" w:bidi="zh-CN"/>
      </w:rPr>
    </w:lvl>
    <w:lvl w:ilvl="6" w:tentative="0">
      <w:start w:val="0"/>
      <w:numFmt w:val="bullet"/>
      <w:lvlText w:val="•"/>
      <w:lvlJc w:val="left"/>
      <w:pPr>
        <w:ind w:left="6691" w:hanging="322"/>
      </w:pPr>
      <w:rPr>
        <w:rFonts w:hint="default"/>
        <w:lang w:val="zh-CN" w:eastAsia="zh-CN" w:bidi="zh-CN"/>
      </w:rPr>
    </w:lvl>
    <w:lvl w:ilvl="7" w:tentative="0">
      <w:start w:val="0"/>
      <w:numFmt w:val="bullet"/>
      <w:lvlText w:val="•"/>
      <w:lvlJc w:val="left"/>
      <w:pPr>
        <w:ind w:left="7700" w:hanging="322"/>
      </w:pPr>
      <w:rPr>
        <w:rFonts w:hint="default"/>
        <w:lang w:val="zh-CN" w:eastAsia="zh-CN" w:bidi="zh-CN"/>
      </w:rPr>
    </w:lvl>
    <w:lvl w:ilvl="8" w:tentative="0">
      <w:start w:val="0"/>
      <w:numFmt w:val="bullet"/>
      <w:lvlText w:val="•"/>
      <w:lvlJc w:val="left"/>
      <w:pPr>
        <w:ind w:left="8708" w:hanging="322"/>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640" w:hanging="322"/>
        <w:jc w:val="left"/>
      </w:pPr>
      <w:rPr>
        <w:rFonts w:hint="default"/>
        <w:spacing w:val="1"/>
        <w:w w:val="99"/>
        <w:lang w:val="zh-CN" w:eastAsia="zh-CN" w:bidi="zh-CN"/>
      </w:rPr>
    </w:lvl>
    <w:lvl w:ilvl="1" w:tentative="0">
      <w:start w:val="0"/>
      <w:numFmt w:val="bullet"/>
      <w:lvlText w:val="•"/>
      <w:lvlJc w:val="left"/>
      <w:pPr>
        <w:ind w:left="1648" w:hanging="322"/>
      </w:pPr>
      <w:rPr>
        <w:rFonts w:hint="default"/>
        <w:lang w:val="zh-CN" w:eastAsia="zh-CN" w:bidi="zh-CN"/>
      </w:rPr>
    </w:lvl>
    <w:lvl w:ilvl="2" w:tentative="0">
      <w:start w:val="0"/>
      <w:numFmt w:val="bullet"/>
      <w:lvlText w:val="•"/>
      <w:lvlJc w:val="left"/>
      <w:pPr>
        <w:ind w:left="2657" w:hanging="322"/>
      </w:pPr>
      <w:rPr>
        <w:rFonts w:hint="default"/>
        <w:lang w:val="zh-CN" w:eastAsia="zh-CN" w:bidi="zh-CN"/>
      </w:rPr>
    </w:lvl>
    <w:lvl w:ilvl="3" w:tentative="0">
      <w:start w:val="0"/>
      <w:numFmt w:val="bullet"/>
      <w:lvlText w:val="•"/>
      <w:lvlJc w:val="left"/>
      <w:pPr>
        <w:ind w:left="3665" w:hanging="322"/>
      </w:pPr>
      <w:rPr>
        <w:rFonts w:hint="default"/>
        <w:lang w:val="zh-CN" w:eastAsia="zh-CN" w:bidi="zh-CN"/>
      </w:rPr>
    </w:lvl>
    <w:lvl w:ilvl="4" w:tentative="0">
      <w:start w:val="0"/>
      <w:numFmt w:val="bullet"/>
      <w:lvlText w:val="•"/>
      <w:lvlJc w:val="left"/>
      <w:pPr>
        <w:ind w:left="4674" w:hanging="322"/>
      </w:pPr>
      <w:rPr>
        <w:rFonts w:hint="default"/>
        <w:lang w:val="zh-CN" w:eastAsia="zh-CN" w:bidi="zh-CN"/>
      </w:rPr>
    </w:lvl>
    <w:lvl w:ilvl="5" w:tentative="0">
      <w:start w:val="0"/>
      <w:numFmt w:val="bullet"/>
      <w:lvlText w:val="•"/>
      <w:lvlJc w:val="left"/>
      <w:pPr>
        <w:ind w:left="5683" w:hanging="322"/>
      </w:pPr>
      <w:rPr>
        <w:rFonts w:hint="default"/>
        <w:lang w:val="zh-CN" w:eastAsia="zh-CN" w:bidi="zh-CN"/>
      </w:rPr>
    </w:lvl>
    <w:lvl w:ilvl="6" w:tentative="0">
      <w:start w:val="0"/>
      <w:numFmt w:val="bullet"/>
      <w:lvlText w:val="•"/>
      <w:lvlJc w:val="left"/>
      <w:pPr>
        <w:ind w:left="6691" w:hanging="322"/>
      </w:pPr>
      <w:rPr>
        <w:rFonts w:hint="default"/>
        <w:lang w:val="zh-CN" w:eastAsia="zh-CN" w:bidi="zh-CN"/>
      </w:rPr>
    </w:lvl>
    <w:lvl w:ilvl="7" w:tentative="0">
      <w:start w:val="0"/>
      <w:numFmt w:val="bullet"/>
      <w:lvlText w:val="•"/>
      <w:lvlJc w:val="left"/>
      <w:pPr>
        <w:ind w:left="7700" w:hanging="322"/>
      </w:pPr>
      <w:rPr>
        <w:rFonts w:hint="default"/>
        <w:lang w:val="zh-CN" w:eastAsia="zh-CN" w:bidi="zh-CN"/>
      </w:rPr>
    </w:lvl>
    <w:lvl w:ilvl="8" w:tentative="0">
      <w:start w:val="0"/>
      <w:numFmt w:val="bullet"/>
      <w:lvlText w:val="•"/>
      <w:lvlJc w:val="left"/>
      <w:pPr>
        <w:ind w:left="8708" w:hanging="322"/>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602" w:hanging="322"/>
        <w:jc w:val="left"/>
      </w:pPr>
      <w:rPr>
        <w:rFonts w:hint="default" w:ascii="仿宋" w:hAnsi="仿宋" w:eastAsia="仿宋" w:cs="仿宋"/>
        <w:b/>
        <w:bCs/>
        <w:spacing w:val="1"/>
        <w:w w:val="98"/>
        <w:sz w:val="30"/>
        <w:szCs w:val="30"/>
        <w:lang w:val="zh-CN" w:eastAsia="zh-CN" w:bidi="zh-CN"/>
      </w:rPr>
    </w:lvl>
    <w:lvl w:ilvl="1" w:tentative="0">
      <w:start w:val="0"/>
      <w:numFmt w:val="bullet"/>
      <w:lvlText w:val="•"/>
      <w:lvlJc w:val="left"/>
      <w:pPr>
        <w:ind w:left="2512" w:hanging="322"/>
      </w:pPr>
      <w:rPr>
        <w:rFonts w:hint="default"/>
        <w:lang w:val="zh-CN" w:eastAsia="zh-CN" w:bidi="zh-CN"/>
      </w:rPr>
    </w:lvl>
    <w:lvl w:ilvl="2" w:tentative="0">
      <w:start w:val="0"/>
      <w:numFmt w:val="bullet"/>
      <w:lvlText w:val="•"/>
      <w:lvlJc w:val="left"/>
      <w:pPr>
        <w:ind w:left="3425" w:hanging="322"/>
      </w:pPr>
      <w:rPr>
        <w:rFonts w:hint="default"/>
        <w:lang w:val="zh-CN" w:eastAsia="zh-CN" w:bidi="zh-CN"/>
      </w:rPr>
    </w:lvl>
    <w:lvl w:ilvl="3" w:tentative="0">
      <w:start w:val="0"/>
      <w:numFmt w:val="bullet"/>
      <w:lvlText w:val="•"/>
      <w:lvlJc w:val="left"/>
      <w:pPr>
        <w:ind w:left="4337" w:hanging="322"/>
      </w:pPr>
      <w:rPr>
        <w:rFonts w:hint="default"/>
        <w:lang w:val="zh-CN" w:eastAsia="zh-CN" w:bidi="zh-CN"/>
      </w:rPr>
    </w:lvl>
    <w:lvl w:ilvl="4" w:tentative="0">
      <w:start w:val="0"/>
      <w:numFmt w:val="bullet"/>
      <w:lvlText w:val="•"/>
      <w:lvlJc w:val="left"/>
      <w:pPr>
        <w:ind w:left="5250" w:hanging="322"/>
      </w:pPr>
      <w:rPr>
        <w:rFonts w:hint="default"/>
        <w:lang w:val="zh-CN" w:eastAsia="zh-CN" w:bidi="zh-CN"/>
      </w:rPr>
    </w:lvl>
    <w:lvl w:ilvl="5" w:tentative="0">
      <w:start w:val="0"/>
      <w:numFmt w:val="bullet"/>
      <w:lvlText w:val="•"/>
      <w:lvlJc w:val="left"/>
      <w:pPr>
        <w:ind w:left="6163" w:hanging="322"/>
      </w:pPr>
      <w:rPr>
        <w:rFonts w:hint="default"/>
        <w:lang w:val="zh-CN" w:eastAsia="zh-CN" w:bidi="zh-CN"/>
      </w:rPr>
    </w:lvl>
    <w:lvl w:ilvl="6" w:tentative="0">
      <w:start w:val="0"/>
      <w:numFmt w:val="bullet"/>
      <w:lvlText w:val="•"/>
      <w:lvlJc w:val="left"/>
      <w:pPr>
        <w:ind w:left="7075" w:hanging="322"/>
      </w:pPr>
      <w:rPr>
        <w:rFonts w:hint="default"/>
        <w:lang w:val="zh-CN" w:eastAsia="zh-CN" w:bidi="zh-CN"/>
      </w:rPr>
    </w:lvl>
    <w:lvl w:ilvl="7" w:tentative="0">
      <w:start w:val="0"/>
      <w:numFmt w:val="bullet"/>
      <w:lvlText w:val="•"/>
      <w:lvlJc w:val="left"/>
      <w:pPr>
        <w:ind w:left="7988" w:hanging="322"/>
      </w:pPr>
      <w:rPr>
        <w:rFonts w:hint="default"/>
        <w:lang w:val="zh-CN" w:eastAsia="zh-CN" w:bidi="zh-CN"/>
      </w:rPr>
    </w:lvl>
    <w:lvl w:ilvl="8" w:tentative="0">
      <w:start w:val="0"/>
      <w:numFmt w:val="bullet"/>
      <w:lvlText w:val="•"/>
      <w:lvlJc w:val="left"/>
      <w:pPr>
        <w:ind w:left="8900" w:hanging="322"/>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2085" w:hanging="800"/>
        <w:jc w:val="left"/>
      </w:pPr>
      <w:rPr>
        <w:rFonts w:hint="default" w:ascii="仿宋" w:hAnsi="仿宋" w:eastAsia="仿宋" w:cs="仿宋"/>
        <w:color w:val="333333"/>
        <w:spacing w:val="-82"/>
        <w:w w:val="99"/>
        <w:sz w:val="30"/>
        <w:szCs w:val="30"/>
        <w:lang w:val="zh-CN" w:eastAsia="zh-CN" w:bidi="zh-CN"/>
      </w:rPr>
    </w:lvl>
    <w:lvl w:ilvl="1" w:tentative="0">
      <w:start w:val="0"/>
      <w:numFmt w:val="bullet"/>
      <w:lvlText w:val="•"/>
      <w:lvlJc w:val="left"/>
      <w:pPr>
        <w:ind w:left="2944" w:hanging="800"/>
      </w:pPr>
      <w:rPr>
        <w:rFonts w:hint="default"/>
        <w:lang w:val="zh-CN" w:eastAsia="zh-CN" w:bidi="zh-CN"/>
      </w:rPr>
    </w:lvl>
    <w:lvl w:ilvl="2" w:tentative="0">
      <w:start w:val="0"/>
      <w:numFmt w:val="bullet"/>
      <w:lvlText w:val="•"/>
      <w:lvlJc w:val="left"/>
      <w:pPr>
        <w:ind w:left="3809" w:hanging="800"/>
      </w:pPr>
      <w:rPr>
        <w:rFonts w:hint="default"/>
        <w:lang w:val="zh-CN" w:eastAsia="zh-CN" w:bidi="zh-CN"/>
      </w:rPr>
    </w:lvl>
    <w:lvl w:ilvl="3" w:tentative="0">
      <w:start w:val="0"/>
      <w:numFmt w:val="bullet"/>
      <w:lvlText w:val="•"/>
      <w:lvlJc w:val="left"/>
      <w:pPr>
        <w:ind w:left="4673" w:hanging="800"/>
      </w:pPr>
      <w:rPr>
        <w:rFonts w:hint="default"/>
        <w:lang w:val="zh-CN" w:eastAsia="zh-CN" w:bidi="zh-CN"/>
      </w:rPr>
    </w:lvl>
    <w:lvl w:ilvl="4" w:tentative="0">
      <w:start w:val="0"/>
      <w:numFmt w:val="bullet"/>
      <w:lvlText w:val="•"/>
      <w:lvlJc w:val="left"/>
      <w:pPr>
        <w:ind w:left="5538" w:hanging="800"/>
      </w:pPr>
      <w:rPr>
        <w:rFonts w:hint="default"/>
        <w:lang w:val="zh-CN" w:eastAsia="zh-CN" w:bidi="zh-CN"/>
      </w:rPr>
    </w:lvl>
    <w:lvl w:ilvl="5" w:tentative="0">
      <w:start w:val="0"/>
      <w:numFmt w:val="bullet"/>
      <w:lvlText w:val="•"/>
      <w:lvlJc w:val="left"/>
      <w:pPr>
        <w:ind w:left="6403" w:hanging="800"/>
      </w:pPr>
      <w:rPr>
        <w:rFonts w:hint="default"/>
        <w:lang w:val="zh-CN" w:eastAsia="zh-CN" w:bidi="zh-CN"/>
      </w:rPr>
    </w:lvl>
    <w:lvl w:ilvl="6" w:tentative="0">
      <w:start w:val="0"/>
      <w:numFmt w:val="bullet"/>
      <w:lvlText w:val="•"/>
      <w:lvlJc w:val="left"/>
      <w:pPr>
        <w:ind w:left="7267" w:hanging="800"/>
      </w:pPr>
      <w:rPr>
        <w:rFonts w:hint="default"/>
        <w:lang w:val="zh-CN" w:eastAsia="zh-CN" w:bidi="zh-CN"/>
      </w:rPr>
    </w:lvl>
    <w:lvl w:ilvl="7" w:tentative="0">
      <w:start w:val="0"/>
      <w:numFmt w:val="bullet"/>
      <w:lvlText w:val="•"/>
      <w:lvlJc w:val="left"/>
      <w:pPr>
        <w:ind w:left="8132" w:hanging="800"/>
      </w:pPr>
      <w:rPr>
        <w:rFonts w:hint="default"/>
        <w:lang w:val="zh-CN" w:eastAsia="zh-CN" w:bidi="zh-CN"/>
      </w:rPr>
    </w:lvl>
    <w:lvl w:ilvl="8" w:tentative="0">
      <w:start w:val="0"/>
      <w:numFmt w:val="bullet"/>
      <w:lvlText w:val="•"/>
      <w:lvlJc w:val="left"/>
      <w:pPr>
        <w:ind w:left="8996" w:hanging="800"/>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735BA"/>
    <w:rsid w:val="333D5673"/>
    <w:rsid w:val="353C4C7E"/>
    <w:rsid w:val="3EA73B52"/>
    <w:rsid w:val="50657257"/>
    <w:rsid w:val="511021C8"/>
    <w:rsid w:val="52281697"/>
    <w:rsid w:val="63587673"/>
    <w:rsid w:val="779261F2"/>
    <w:rsid w:val="7C7D13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2992" w:right="2693"/>
      <w:outlineLvl w:val="1"/>
    </w:pPr>
    <w:rPr>
      <w:rFonts w:ascii="黑体" w:hAnsi="黑体" w:eastAsia="黑体" w:cs="黑体"/>
      <w:sz w:val="84"/>
      <w:szCs w:val="84"/>
      <w:lang w:val="zh-CN" w:eastAsia="zh-CN" w:bidi="zh-CN"/>
    </w:rPr>
  </w:style>
  <w:style w:type="paragraph" w:styleId="3">
    <w:name w:val="heading 2"/>
    <w:basedOn w:val="1"/>
    <w:next w:val="1"/>
    <w:qFormat/>
    <w:uiPriority w:val="1"/>
    <w:pPr>
      <w:spacing w:line="922" w:lineRule="exact"/>
      <w:ind w:left="2991" w:right="2693"/>
      <w:jc w:val="center"/>
      <w:outlineLvl w:val="2"/>
    </w:pPr>
    <w:rPr>
      <w:rFonts w:ascii="黑体" w:hAnsi="黑体" w:eastAsia="黑体" w:cs="黑体"/>
      <w:sz w:val="72"/>
      <w:szCs w:val="72"/>
      <w:lang w:val="zh-CN" w:eastAsia="zh-CN" w:bidi="zh-CN"/>
    </w:rPr>
  </w:style>
  <w:style w:type="paragraph" w:styleId="4">
    <w:name w:val="heading 3"/>
    <w:basedOn w:val="1"/>
    <w:next w:val="1"/>
    <w:qFormat/>
    <w:uiPriority w:val="1"/>
    <w:pPr>
      <w:ind w:left="621" w:right="321"/>
      <w:jc w:val="center"/>
      <w:outlineLvl w:val="3"/>
    </w:pPr>
    <w:rPr>
      <w:rFonts w:ascii="黑体" w:hAnsi="黑体" w:eastAsia="黑体" w:cs="黑体"/>
      <w:sz w:val="70"/>
      <w:szCs w:val="70"/>
      <w:lang w:val="zh-CN" w:eastAsia="zh-CN" w:bidi="zh-CN"/>
    </w:rPr>
  </w:style>
  <w:style w:type="paragraph" w:styleId="5">
    <w:name w:val="heading 4"/>
    <w:basedOn w:val="1"/>
    <w:next w:val="1"/>
    <w:qFormat/>
    <w:uiPriority w:val="1"/>
    <w:pPr>
      <w:spacing w:before="214"/>
      <w:ind w:left="640"/>
      <w:outlineLvl w:val="4"/>
    </w:pPr>
    <w:rPr>
      <w:rFonts w:ascii="仿宋" w:hAnsi="仿宋" w:eastAsia="仿宋" w:cs="仿宋"/>
      <w:b/>
      <w:bCs/>
      <w:sz w:val="32"/>
      <w:szCs w:val="3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640"/>
    </w:pPr>
    <w:rPr>
      <w:rFonts w:ascii="仿宋" w:hAnsi="仿宋" w:eastAsia="仿宋" w:cs="仿宋"/>
      <w:sz w:val="32"/>
      <w:szCs w:val="32"/>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
      <w:ind w:left="640" w:right="179" w:firstLine="640"/>
    </w:pPr>
    <w:rPr>
      <w:rFonts w:ascii="仿宋" w:hAnsi="仿宋" w:eastAsia="仿宋" w:cs="仿宋"/>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2021-10-22T09:59:00Z</dcterms:created>
  <dc:creator>李航 null</dc:creator>
  <cp:lastModifiedBy> 婷婷</cp:lastModifiedBy>
  <dcterms:modified xsi:type="dcterms:W3CDTF">2021-11-09T08:54:23Z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2021-05-08T00:00:00Z</vt:filetime>
  </property>
  <property fmtid="{D5CDD505-2E9C-101B-9397-08002B2CF9AE}" pid="3" name="Creator">
    <vt:lpwstr>WPS 文字</vt:lpwstr>
  </property>
  <property fmtid="{D5CDD505-2E9C-101B-9397-08002B2CF9AE}" pid="4" name="LastSaved">
    <vt:filetime>2021-10-22T00:00:00Z</vt:filetime>
  </property>
  <property fmtid="{D5CDD505-2E9C-101B-9397-08002B2CF9AE}" pid="5" name="KSOProductBuildVer">
    <vt:lpwstr>2052-11.1.0.10938</vt:lpwstr>
  </property>
  <property fmtid="{D5CDD505-2E9C-101B-9397-08002B2CF9AE}" pid="6" name="ICV">
    <vt:lpwstr>99805CA981014E75A71F1EFE2ADBDB93</vt:lpwstr>
  </property>
</Properties>
</file>