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eastAsia="方正小标宋简体"/>
          <w:sz w:val="36"/>
          <w:szCs w:val="36"/>
        </w:rPr>
      </w:pPr>
      <w:r>
        <w:rPr>
          <w:rFonts w:hint="eastAsia" w:eastAsia="方正小标宋简体"/>
          <w:sz w:val="36"/>
          <w:szCs w:val="36"/>
        </w:rPr>
        <w:t>炎陵县人力资源和社会保障局</w:t>
      </w:r>
    </w:p>
    <w:p>
      <w:pPr>
        <w:adjustRightInd w:val="0"/>
        <w:spacing w:line="560" w:lineRule="exact"/>
        <w:ind w:right="641"/>
        <w:jc w:val="center"/>
        <w:rPr>
          <w:rFonts w:eastAsia="方正小标宋简体"/>
          <w:sz w:val="36"/>
          <w:szCs w:val="36"/>
        </w:rPr>
      </w:pPr>
      <w:r>
        <w:rPr>
          <w:rFonts w:hint="eastAsia" w:eastAsia="方正小标宋简体"/>
          <w:sz w:val="36"/>
          <w:szCs w:val="36"/>
        </w:rPr>
        <w:t>2020年</w:t>
      </w:r>
      <w:bookmarkStart w:id="0" w:name="_GoBack"/>
      <w:bookmarkEnd w:id="0"/>
      <w:r>
        <w:rPr>
          <w:rFonts w:hint="eastAsia" w:eastAsia="方正小标宋简体"/>
          <w:sz w:val="36"/>
          <w:szCs w:val="36"/>
        </w:rPr>
        <w:t>信息管理系统维护费预算支出绩效报告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snapToGrid w:val="0"/>
        <w:spacing w:line="520" w:lineRule="exact"/>
        <w:ind w:left="640"/>
        <w:jc w:val="left"/>
        <w:rPr>
          <w:rFonts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炎陵县人力资源和社会保障局负责全县机关事业单位用人工资计划编制、退休审批；事业单位工作人员公开招聘、事业单位管理；专业技术人员职称评聘、技术人才选拨培养和引进、人力资源市场管理；落实就业创业扶持政策，开展就业援助工作，落实职业资格制度，统筹建立面向城乡劳动培训、人才培养和激励制度；负责企业养老保险、机关养老保险、城乡居民养老保险、失业保险、工伤保险经办管理与服务，加强各险种基金管理与监督；负责劳</w:t>
      </w:r>
      <w:r>
        <w:rPr>
          <w:rFonts w:hint="eastAsia" w:ascii="仿宋_GB2312" w:hAnsi="仿宋" w:eastAsia="仿宋_GB2312"/>
          <w:color w:val="auto"/>
          <w:sz w:val="32"/>
          <w:szCs w:val="32"/>
          <w:lang w:eastAsia="zh-CN"/>
        </w:rPr>
        <w:t>动</w:t>
      </w:r>
      <w:r>
        <w:rPr>
          <w:rFonts w:hint="eastAsia" w:ascii="仿宋_GB2312" w:hAnsi="仿宋" w:eastAsia="仿宋_GB2312"/>
          <w:color w:val="auto"/>
          <w:sz w:val="32"/>
          <w:szCs w:val="32"/>
        </w:rPr>
        <w:t>仲裁、劳动监察、工伤认定；负责政府绩效评估、为民办实事、</w:t>
      </w:r>
      <w:r>
        <w:rPr>
          <w:rFonts w:hint="eastAsia" w:ascii="仿宋_GB2312" w:hAnsi="仿宋" w:eastAsia="仿宋_GB2312"/>
          <w:color w:val="auto"/>
          <w:sz w:val="32"/>
          <w:szCs w:val="32"/>
          <w:lang w:eastAsia="zh-CN"/>
        </w:rPr>
        <w:t>乡村振兴</w:t>
      </w:r>
      <w:r>
        <w:rPr>
          <w:rFonts w:hint="eastAsia" w:ascii="仿宋_GB2312" w:hAnsi="仿宋" w:eastAsia="仿宋_GB2312"/>
          <w:color w:val="auto"/>
          <w:sz w:val="32"/>
          <w:szCs w:val="32"/>
        </w:rPr>
        <w:t>等有关工作。</w:t>
      </w:r>
    </w:p>
    <w:p>
      <w:pPr>
        <w:snapToGrid w:val="0"/>
        <w:spacing w:line="52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2．机构情况。</w:t>
      </w:r>
    </w:p>
    <w:p>
      <w:pPr>
        <w:tabs>
          <w:tab w:val="left" w:pos="7560"/>
        </w:tabs>
        <w:adjustRightInd w:val="0"/>
        <w:snapToGrid w:val="0"/>
        <w:spacing w:line="560" w:lineRule="exact"/>
        <w:ind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根据工作职责，</w:t>
      </w:r>
      <w:r>
        <w:rPr>
          <w:rFonts w:hint="eastAsia" w:ascii="仿宋_GB2312" w:hAnsi="仿宋" w:eastAsia="仿宋_GB2312"/>
          <w:color w:val="auto"/>
          <w:sz w:val="32"/>
          <w:szCs w:val="32"/>
          <w:lang w:eastAsia="zh-CN"/>
        </w:rPr>
        <w:t>炎陵县</w:t>
      </w:r>
      <w:r>
        <w:rPr>
          <w:rFonts w:hint="eastAsia" w:ascii="仿宋_GB2312" w:hAnsi="仿宋" w:eastAsia="仿宋_GB2312"/>
          <w:color w:val="auto"/>
          <w:sz w:val="32"/>
          <w:szCs w:val="32"/>
        </w:rPr>
        <w:t>人力资源和社会保障局下设县社会保险服务中心、县就业服务中心、县人力资源服务中心</w:t>
      </w:r>
      <w:r>
        <w:rPr>
          <w:rFonts w:hint="eastAsia" w:ascii="仿宋_GB2312" w:hAnsi="仿宋" w:eastAsia="仿宋_GB2312"/>
          <w:color w:val="auto"/>
          <w:sz w:val="32"/>
          <w:szCs w:val="32"/>
          <w:lang w:eastAsia="zh-CN"/>
        </w:rPr>
        <w:t>、县</w:t>
      </w:r>
      <w:r>
        <w:rPr>
          <w:rFonts w:hint="eastAsia" w:ascii="仿宋_GB2312" w:hAnsi="仿宋" w:eastAsia="仿宋_GB2312"/>
          <w:color w:val="auto"/>
          <w:sz w:val="32"/>
          <w:szCs w:val="32"/>
        </w:rPr>
        <w:t>霞阳社区劳动保障服务站、</w:t>
      </w:r>
      <w:r>
        <w:rPr>
          <w:rFonts w:hint="eastAsia" w:ascii="仿宋_GB2312" w:hAnsi="仿宋" w:eastAsia="仿宋_GB2312"/>
          <w:color w:val="auto"/>
          <w:sz w:val="32"/>
          <w:szCs w:val="32"/>
          <w:lang w:eastAsia="zh-CN"/>
        </w:rPr>
        <w:t>县</w:t>
      </w:r>
      <w:r>
        <w:rPr>
          <w:rFonts w:hint="eastAsia" w:ascii="仿宋_GB2312" w:hAnsi="仿宋_GB2312" w:eastAsia="仿宋_GB2312" w:cs="仿宋_GB2312"/>
          <w:color w:val="auto"/>
          <w:kern w:val="0"/>
          <w:sz w:val="32"/>
          <w:szCs w:val="32"/>
        </w:rPr>
        <w:t>劳动监察大队</w:t>
      </w:r>
      <w:r>
        <w:rPr>
          <w:rFonts w:hint="eastAsia" w:ascii="仿宋_GB2312" w:hAnsi="仿宋_GB2312" w:eastAsia="仿宋_GB2312" w:cs="仿宋_GB2312"/>
          <w:color w:val="auto"/>
          <w:kern w:val="0"/>
          <w:sz w:val="32"/>
          <w:szCs w:val="32"/>
          <w:lang w:eastAsia="zh-CN"/>
        </w:rPr>
        <w:t>，</w:t>
      </w:r>
      <w:r>
        <w:rPr>
          <w:rFonts w:hint="eastAsia" w:ascii="仿宋_GB2312" w:hAnsi="仿宋" w:eastAsia="仿宋_GB2312"/>
          <w:color w:val="auto"/>
          <w:sz w:val="32"/>
          <w:szCs w:val="32"/>
        </w:rPr>
        <w:t>共</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个所属事业单位</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内设办公室、计划财务与基金监督股、法规与社会保险股（行政审批股）、劳动关系股（</w:t>
      </w:r>
      <w:r>
        <w:rPr>
          <w:rFonts w:hint="eastAsia" w:ascii="仿宋_GB2312" w:hAnsi="仿宋" w:eastAsia="仿宋_GB2312"/>
          <w:color w:val="auto"/>
          <w:sz w:val="32"/>
          <w:szCs w:val="32"/>
          <w:lang w:eastAsia="zh-CN"/>
        </w:rPr>
        <w:t>调解仲裁管理股</w:t>
      </w:r>
      <w:r>
        <w:rPr>
          <w:rFonts w:hint="eastAsia" w:ascii="仿宋_GB2312" w:hAnsi="仿宋" w:eastAsia="仿宋_GB2312"/>
          <w:color w:val="auto"/>
          <w:sz w:val="32"/>
          <w:szCs w:val="32"/>
        </w:rPr>
        <w:t>）、专业技术人员管理股、工资福利股、</w:t>
      </w:r>
      <w:r>
        <w:rPr>
          <w:rFonts w:hint="eastAsia" w:ascii="仿宋_GB2312" w:hAnsi="仿宋" w:eastAsia="仿宋_GB2312"/>
          <w:color w:val="auto"/>
          <w:sz w:val="32"/>
          <w:szCs w:val="32"/>
          <w:lang w:eastAsia="zh-CN"/>
        </w:rPr>
        <w:t>事业单位股（人事股）</w:t>
      </w:r>
      <w:r>
        <w:rPr>
          <w:rFonts w:hint="eastAsia" w:ascii="仿宋_GB2312" w:hAnsi="仿宋" w:eastAsia="仿宋_GB2312"/>
          <w:color w:val="auto"/>
          <w:sz w:val="32"/>
          <w:szCs w:val="32"/>
        </w:rPr>
        <w:t>7个职能股室。</w:t>
      </w:r>
    </w:p>
    <w:p>
      <w:pPr>
        <w:tabs>
          <w:tab w:val="left" w:pos="7560"/>
        </w:tabs>
        <w:adjustRightInd w:val="0"/>
        <w:snapToGrid w:val="0"/>
        <w:spacing w:line="560" w:lineRule="exact"/>
        <w:ind w:firstLine="640" w:firstLineChars="200"/>
        <w:jc w:val="left"/>
        <w:rPr>
          <w:rFonts w:ascii="仿宋_GB2312" w:hAnsi="仿宋" w:eastAsia="仿宋_GB2312"/>
          <w:color w:val="auto"/>
          <w:sz w:val="32"/>
          <w:szCs w:val="32"/>
        </w:rPr>
      </w:pPr>
    </w:p>
    <w:p>
      <w:pPr>
        <w:snapToGrid w:val="0"/>
        <w:spacing w:line="520" w:lineRule="exact"/>
        <w:ind w:left="640"/>
        <w:rPr>
          <w:rFonts w:ascii="仿宋_GB2312" w:hAnsi="仿宋" w:eastAsia="仿宋_GB2312"/>
          <w:color w:val="auto"/>
          <w:sz w:val="32"/>
          <w:szCs w:val="32"/>
        </w:rPr>
      </w:pPr>
      <w:r>
        <w:rPr>
          <w:rFonts w:hint="eastAsia" w:ascii="仿宋_GB2312" w:hAnsi="仿宋" w:eastAsia="仿宋_GB2312"/>
          <w:color w:val="auto"/>
          <w:sz w:val="32"/>
          <w:szCs w:val="32"/>
        </w:rPr>
        <w:t>3．人员情况。</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截止年末我局共有财政供养在岗人员</w:t>
      </w:r>
      <w:r>
        <w:rPr>
          <w:rFonts w:hint="eastAsia" w:ascii="仿宋_GB2312" w:hAnsi="仿宋" w:eastAsia="仿宋_GB2312"/>
          <w:color w:val="auto"/>
          <w:sz w:val="32"/>
          <w:szCs w:val="32"/>
          <w:lang w:val="en-US" w:eastAsia="zh-CN"/>
        </w:rPr>
        <w:t>41</w:t>
      </w:r>
      <w:r>
        <w:rPr>
          <w:rFonts w:hint="eastAsia" w:ascii="仿宋_GB2312" w:hAnsi="仿宋" w:eastAsia="仿宋_GB2312"/>
          <w:color w:val="auto"/>
          <w:sz w:val="32"/>
          <w:szCs w:val="32"/>
        </w:rPr>
        <w:t>人，自收自支人员6人，退休人员22人。全年由于工作需要共调入全额人员6人，</w:t>
      </w:r>
      <w:r>
        <w:rPr>
          <w:rFonts w:hint="eastAsia" w:ascii="仿宋_GB2312" w:hAnsi="仿宋" w:eastAsia="仿宋_GB2312"/>
          <w:color w:val="auto"/>
          <w:sz w:val="32"/>
          <w:szCs w:val="32"/>
          <w:lang w:eastAsia="zh-CN"/>
        </w:rPr>
        <w:t>无</w:t>
      </w:r>
      <w:r>
        <w:rPr>
          <w:rFonts w:hint="eastAsia" w:ascii="仿宋_GB2312" w:hAnsi="仿宋" w:eastAsia="仿宋_GB2312"/>
          <w:color w:val="auto"/>
          <w:sz w:val="32"/>
          <w:szCs w:val="32"/>
        </w:rPr>
        <w:t>调出全额人员。</w:t>
      </w:r>
    </w:p>
    <w:p>
      <w:pPr>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（二）项目基本情况简介。</w:t>
      </w:r>
    </w:p>
    <w:p>
      <w:pPr>
        <w:adjustRightInd w:val="0"/>
        <w:snapToGrid w:val="0"/>
        <w:spacing w:line="560" w:lineRule="exact"/>
        <w:ind w:firstLine="640" w:firstLineChars="200"/>
        <w:rPr>
          <w:rFonts w:eastAsia="仿宋_GB2312"/>
          <w:color w:val="auto"/>
          <w:sz w:val="32"/>
          <w:szCs w:val="32"/>
        </w:rPr>
      </w:pPr>
      <w:r>
        <w:rPr>
          <w:rFonts w:hint="eastAsia" w:eastAsia="仿宋_GB2312"/>
          <w:color w:val="auto"/>
          <w:sz w:val="32"/>
          <w:szCs w:val="32"/>
        </w:rPr>
        <w:t>本项目维护内容主要包括了机房环境维护、计算机硬件维护、配套网络维护、基础软件维护、应用软件维护等，能尽可能确保各基金系统安全可靠运行，切实确保基金安全。</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（一）项目资金</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本项目资金到位</w:t>
      </w:r>
      <w:r>
        <w:rPr>
          <w:rFonts w:hint="eastAsia" w:eastAsia="仿宋_GB2312"/>
          <w:sz w:val="32"/>
          <w:szCs w:val="32"/>
          <w:lang w:val="en-US" w:eastAsia="zh-CN"/>
        </w:rPr>
        <w:t>20</w:t>
      </w:r>
      <w:r>
        <w:rPr>
          <w:rFonts w:hint="eastAsia" w:eastAsia="仿宋_GB2312"/>
          <w:sz w:val="32"/>
          <w:szCs w:val="32"/>
        </w:rPr>
        <w:t>万元。</w:t>
      </w:r>
    </w:p>
    <w:p>
      <w:pPr>
        <w:adjustRightInd w:val="0"/>
        <w:snapToGrid w:val="0"/>
        <w:spacing w:line="560" w:lineRule="exact"/>
        <w:ind w:firstLine="640" w:firstLineChars="200"/>
        <w:rPr>
          <w:rFonts w:eastAsia="仿宋_GB2312"/>
          <w:sz w:val="32"/>
          <w:szCs w:val="32"/>
        </w:rPr>
      </w:pPr>
      <w:r>
        <w:rPr>
          <w:rFonts w:eastAsia="仿宋_GB2312"/>
          <w:sz w:val="32"/>
          <w:szCs w:val="32"/>
        </w:rPr>
        <w:t>（二）项目资金</w:t>
      </w:r>
      <w:r>
        <w:rPr>
          <w:rFonts w:hint="eastAsia" w:eastAsia="仿宋_GB2312"/>
          <w:sz w:val="32"/>
          <w:szCs w:val="32"/>
        </w:rPr>
        <w:t>实际使用情况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资金全部对应用于项目，支出合理、合法、合规，无违规使用现象。</w:t>
      </w:r>
    </w:p>
    <w:p>
      <w:pPr>
        <w:adjustRightInd w:val="0"/>
        <w:snapToGrid w:val="0"/>
        <w:spacing w:line="560" w:lineRule="exact"/>
        <w:ind w:firstLine="640" w:firstLineChars="200"/>
        <w:rPr>
          <w:rFonts w:eastAsia="仿宋_GB2312"/>
          <w:sz w:val="32"/>
          <w:szCs w:val="32"/>
        </w:rPr>
      </w:pPr>
      <w:r>
        <w:rPr>
          <w:rFonts w:eastAsia="仿宋_GB2312"/>
          <w:sz w:val="32"/>
          <w:szCs w:val="32"/>
        </w:rPr>
        <w:t>（三）项目资金管理情况</w:t>
      </w:r>
    </w:p>
    <w:p>
      <w:pPr>
        <w:adjustRightInd w:val="0"/>
        <w:snapToGrid w:val="0"/>
        <w:spacing w:line="560" w:lineRule="exact"/>
        <w:ind w:firstLine="640" w:firstLineChars="200"/>
        <w:outlineLvl w:val="0"/>
        <w:rPr>
          <w:rFonts w:eastAsia="仿宋_GB2312"/>
          <w:color w:val="000000"/>
          <w:sz w:val="32"/>
          <w:szCs w:val="32"/>
        </w:rPr>
      </w:pPr>
      <w:r>
        <w:rPr>
          <w:rFonts w:hint="eastAsia" w:eastAsia="仿宋_GB2312"/>
          <w:color w:val="000000"/>
          <w:sz w:val="32"/>
          <w:szCs w:val="32"/>
        </w:rPr>
        <w:t>为合理、有效、规范使用项目资金，我局完善项目资金管理流程，做到专款专用，严格按照相关会计制度进行会计核算和财务处理，做到财务处理及时、会计核算规范。杜绝了弄虚作假、截留、挤占、挪用项木资金的情况发生。</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（一）项目组织情况分析</w:t>
      </w:r>
    </w:p>
    <w:p>
      <w:pPr>
        <w:spacing w:line="560" w:lineRule="exact"/>
        <w:ind w:firstLine="640" w:firstLineChars="200"/>
        <w:rPr>
          <w:rFonts w:eastAsia="仿宋_GB2312"/>
          <w:sz w:val="32"/>
          <w:szCs w:val="32"/>
        </w:rPr>
      </w:pPr>
      <w:r>
        <w:rPr>
          <w:rFonts w:hint="eastAsia" w:eastAsia="仿宋_GB2312"/>
          <w:sz w:val="32"/>
          <w:szCs w:val="32"/>
        </w:rPr>
        <w:t>按照工作需要及时申报。</w:t>
      </w:r>
    </w:p>
    <w:p>
      <w:pPr>
        <w:adjustRightInd w:val="0"/>
        <w:snapToGrid w:val="0"/>
        <w:spacing w:line="560" w:lineRule="exact"/>
        <w:ind w:firstLine="640" w:firstLineChars="200"/>
        <w:rPr>
          <w:rFonts w:eastAsia="仿宋_GB2312"/>
          <w:sz w:val="32"/>
          <w:szCs w:val="32"/>
        </w:rPr>
      </w:pPr>
      <w:r>
        <w:rPr>
          <w:rFonts w:eastAsia="仿宋_GB2312"/>
          <w:sz w:val="32"/>
          <w:szCs w:val="32"/>
        </w:rPr>
        <w:t>（二）项目管理情况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项目资金均按照财务管理制度执行，资金的使用严格把关，财务资料完整。通过实时监管保证了国家资金使用的真实、合法、有效，提高了资金的使用率。</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（1）项目成本（预算）控制情况：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项目成本（预算）使用合理，无超支。</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2、项目的效率性分析</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（1）项目的实施进度</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已全部实施完毕。</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（2）项目完成质量</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20</w:t>
      </w:r>
      <w:r>
        <w:rPr>
          <w:rFonts w:hint="eastAsia" w:eastAsia="仿宋_GB2312"/>
          <w:color w:val="000000"/>
          <w:sz w:val="32"/>
          <w:szCs w:val="32"/>
          <w:lang w:val="en-US" w:eastAsia="zh-CN"/>
        </w:rPr>
        <w:t>20</w:t>
      </w:r>
      <w:r>
        <w:rPr>
          <w:rFonts w:hint="eastAsia" w:eastAsia="仿宋_GB2312"/>
          <w:color w:val="000000"/>
          <w:sz w:val="32"/>
          <w:szCs w:val="32"/>
        </w:rPr>
        <w:t>年我县</w:t>
      </w:r>
      <w:r>
        <w:rPr>
          <w:rFonts w:hint="eastAsia" w:eastAsia="仿宋_GB2312"/>
          <w:sz w:val="32"/>
          <w:szCs w:val="32"/>
        </w:rPr>
        <w:t>各基金系统安全可靠运行</w:t>
      </w:r>
      <w:r>
        <w:rPr>
          <w:rFonts w:hint="eastAsia"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3、项目的</w:t>
      </w:r>
      <w:r>
        <w:rPr>
          <w:rFonts w:eastAsia="仿宋_GB2312"/>
          <w:color w:val="000000"/>
          <w:sz w:val="32"/>
          <w:szCs w:val="32"/>
        </w:rPr>
        <w:t>有效性</w:t>
      </w:r>
      <w:r>
        <w:rPr>
          <w:rFonts w:hint="eastAsia" w:eastAsia="仿宋_GB2312"/>
          <w:color w:val="000000"/>
          <w:sz w:val="32"/>
          <w:szCs w:val="32"/>
        </w:rPr>
        <w:t>分析</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（1）项目预期目标完成程度</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20</w:t>
      </w:r>
      <w:r>
        <w:rPr>
          <w:rFonts w:hint="eastAsia" w:eastAsia="仿宋_GB2312"/>
          <w:color w:val="000000"/>
          <w:sz w:val="32"/>
          <w:szCs w:val="32"/>
          <w:lang w:val="en-US" w:eastAsia="zh-CN"/>
        </w:rPr>
        <w:t>20</w:t>
      </w:r>
      <w:r>
        <w:rPr>
          <w:rFonts w:hint="eastAsia" w:eastAsia="仿宋_GB2312"/>
          <w:color w:val="000000"/>
          <w:sz w:val="32"/>
          <w:szCs w:val="32"/>
        </w:rPr>
        <w:t>年我县各项基金系统平稳安全运行，各项待遇都及时发放到位。</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（2）项目实施对经济和社会的影响</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维护全县基金平稳安全运行，对社会稳定有着重要意义。</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4、项目的</w:t>
      </w:r>
      <w:r>
        <w:rPr>
          <w:rFonts w:eastAsia="仿宋_GB2312"/>
          <w:color w:val="000000"/>
          <w:sz w:val="32"/>
          <w:szCs w:val="32"/>
        </w:rPr>
        <w:t>可持续性</w:t>
      </w:r>
      <w:r>
        <w:rPr>
          <w:rFonts w:hint="eastAsia" w:eastAsia="仿宋_GB2312"/>
          <w:color w:val="000000"/>
          <w:sz w:val="32"/>
          <w:szCs w:val="32"/>
        </w:rPr>
        <w:t>分析</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（1）项目做到了管理规范，程序到位。</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（2）项目利国利民，存在意义重大。</w:t>
      </w:r>
    </w:p>
    <w:p>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pPr>
        <w:adjustRightInd w:val="0"/>
        <w:snapToGrid w:val="0"/>
        <w:spacing w:line="560" w:lineRule="exact"/>
        <w:ind w:firstLine="640" w:firstLineChars="200"/>
        <w:rPr>
          <w:rFonts w:eastAsia="仿宋_GB2312"/>
          <w:sz w:val="32"/>
          <w:szCs w:val="32"/>
        </w:rPr>
      </w:pPr>
      <w:r>
        <w:rPr>
          <w:rFonts w:eastAsia="仿宋_GB2312"/>
          <w:sz w:val="32"/>
          <w:szCs w:val="32"/>
        </w:rPr>
        <w:t>（一）后续工作计划。</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 xml:space="preserve">1、是制定信息系统维护质量控制准则，规范和指导信息系统维护，提高工作质量，防范风险。 </w:t>
      </w:r>
    </w:p>
    <w:p>
      <w:pPr>
        <w:adjustRightInd w:val="0"/>
        <w:snapToGrid w:val="0"/>
        <w:spacing w:line="560" w:lineRule="exact"/>
        <w:rPr>
          <w:rFonts w:eastAsia="仿宋_GB2312"/>
          <w:sz w:val="32"/>
          <w:szCs w:val="32"/>
        </w:rPr>
      </w:pPr>
      <w:r>
        <w:rPr>
          <w:rFonts w:hint="eastAsia" w:eastAsia="仿宋_GB2312"/>
          <w:sz w:val="32"/>
          <w:szCs w:val="32"/>
        </w:rPr>
        <w:t>     2、加快信息系统人才的培养，并对其进行持续不断地后续教育。</w:t>
      </w:r>
    </w:p>
    <w:p>
      <w:pPr>
        <w:adjustRightInd w:val="0"/>
        <w:snapToGrid w:val="0"/>
        <w:spacing w:line="560" w:lineRule="exact"/>
        <w:ind w:firstLine="320" w:firstLineChars="100"/>
        <w:rPr>
          <w:rFonts w:eastAsia="仿宋_GB2312"/>
          <w:sz w:val="32"/>
          <w:szCs w:val="32"/>
        </w:rPr>
      </w:pPr>
      <w:r>
        <w:rPr>
          <w:rFonts w:eastAsia="仿宋_GB2312"/>
          <w:sz w:val="32"/>
          <w:szCs w:val="32"/>
        </w:rPr>
        <w:t>（二）主要经验做法、存在的问题和建议。</w:t>
      </w:r>
    </w:p>
    <w:p>
      <w:pPr>
        <w:adjustRightInd w:val="0"/>
        <w:snapToGrid w:val="0"/>
        <w:spacing w:line="560" w:lineRule="exact"/>
        <w:ind w:firstLine="480" w:firstLineChars="150"/>
        <w:rPr>
          <w:rFonts w:eastAsia="仿宋_GB2312"/>
          <w:sz w:val="32"/>
          <w:szCs w:val="32"/>
        </w:rPr>
      </w:pPr>
      <w:r>
        <w:rPr>
          <w:rFonts w:hint="eastAsia" w:eastAsia="仿宋_GB2312"/>
          <w:sz w:val="32"/>
          <w:szCs w:val="32"/>
        </w:rPr>
        <w:t>信息管理系统维护项目整体情况运行良好，项目发挥了其应有的经济和社会效益，但也存在一些问题：</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1、信息系统安全的需求日益增加，但资金受财力限制投入有限，许多维护保障工作亟待加强，需要更多的资金投入。</w:t>
      </w:r>
    </w:p>
    <w:p>
      <w:pPr>
        <w:adjustRightInd w:val="0"/>
        <w:snapToGrid w:val="0"/>
        <w:spacing w:line="560" w:lineRule="exact"/>
        <w:ind w:left="320"/>
        <w:rPr>
          <w:rFonts w:eastAsia="仿宋_GB2312"/>
          <w:sz w:val="32"/>
          <w:szCs w:val="32"/>
        </w:rPr>
      </w:pPr>
      <w:r>
        <w:rPr>
          <w:rFonts w:hint="eastAsia" w:eastAsia="仿宋_GB2312"/>
          <w:sz w:val="32"/>
          <w:szCs w:val="32"/>
        </w:rPr>
        <w:t xml:space="preserve">   2、信息维护人才缺乏。</w:t>
      </w:r>
    </w:p>
    <w:p>
      <w:r>
        <w:rPr>
          <w:rFonts w:hint="eastAsia" w:eastAsia="仿宋_GB2312"/>
          <w:sz w:val="32"/>
          <w:szCs w:val="32"/>
        </w:rPr>
        <w:t xml:space="preserve"> </w:t>
      </w:r>
    </w:p>
    <w:p/>
    <w:p/>
    <w:p/>
    <w:p/>
    <w:p/>
    <w:p/>
    <w:p/>
    <w:p/>
    <w:p/>
    <w:p/>
    <w:p/>
    <w:p/>
    <w:p/>
    <w:p/>
    <w:p/>
    <w:p/>
    <w:p/>
    <w:p/>
    <w:p/>
    <w:p/>
    <w:p/>
    <w:tbl>
      <w:tblPr>
        <w:tblStyle w:val="6"/>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tcMar>
              <w:top w:w="15" w:type="dxa"/>
              <w:left w:w="15" w:type="dxa"/>
              <w:right w:w="15" w:type="dxa"/>
            </w:tcMar>
            <w:vAlign w:val="center"/>
          </w:tcPr>
          <w:p>
            <w:pPr>
              <w:widowControl/>
              <w:spacing w:line="200" w:lineRule="exact"/>
              <w:textAlignment w:val="center"/>
              <w:rPr>
                <w:rFonts w:hAnsi="黑体" w:eastAsia="黑体"/>
                <w:kern w:val="0"/>
                <w:sz w:val="28"/>
                <w:szCs w:val="28"/>
              </w:rPr>
            </w:pPr>
          </w:p>
          <w:p>
            <w:pPr>
              <w:widowControl/>
              <w:spacing w:line="240" w:lineRule="exact"/>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6"/>
              <w:tblW w:w="9283" w:type="dxa"/>
              <w:jc w:val="center"/>
              <w:tblLayout w:type="fixed"/>
              <w:tblCellMar>
                <w:top w:w="0" w:type="dxa"/>
                <w:left w:w="108" w:type="dxa"/>
                <w:bottom w:w="0" w:type="dxa"/>
                <w:right w:w="108" w:type="dxa"/>
              </w:tblCellMar>
            </w:tblPr>
            <w:tblGrid>
              <w:gridCol w:w="1178"/>
              <w:gridCol w:w="985"/>
              <w:gridCol w:w="1183"/>
              <w:gridCol w:w="127"/>
              <w:gridCol w:w="932"/>
              <w:gridCol w:w="1025"/>
              <w:gridCol w:w="1067"/>
              <w:gridCol w:w="714"/>
              <w:gridCol w:w="795"/>
              <w:gridCol w:w="1277"/>
            </w:tblGrid>
            <w:tr>
              <w:trPr>
                <w:trHeight w:val="696" w:hRule="atLeast"/>
                <w:jc w:val="center"/>
              </w:trPr>
              <w:tc>
                <w:tcPr>
                  <w:tcW w:w="9283" w:type="dxa"/>
                  <w:gridSpan w:val="10"/>
                  <w:tcBorders>
                    <w:top w:val="nil"/>
                    <w:left w:val="nil"/>
                    <w:bottom w:val="nil"/>
                    <w:right w:val="nil"/>
                  </w:tcBorders>
                  <w:noWrap/>
                  <w:vAlign w:val="center"/>
                </w:tcPr>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w:t>
                  </w:r>
                  <w:r>
                    <w:rPr>
                      <w:rFonts w:hint="eastAsia"/>
                      <w:color w:val="000000"/>
                      <w:kern w:val="0"/>
                      <w:sz w:val="22"/>
                      <w:lang w:val="en-US" w:eastAsia="zh-CN"/>
                    </w:rPr>
                    <w:t>20</w:t>
                  </w:r>
                  <w:r>
                    <w:rPr>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项目支</w:t>
                  </w:r>
                </w:p>
                <w:p>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信息管理系统维护</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w:t>
                  </w:r>
                  <w:r>
                    <w:rPr>
                      <w:rFonts w:hint="eastAsia" w:eastAsia="仿宋_GB2312"/>
                      <w:color w:val="000000"/>
                      <w:kern w:val="0"/>
                      <w:szCs w:val="21"/>
                      <w:lang w:eastAsia="zh-CN"/>
                    </w:rPr>
                    <w:t>人力资源和社会保障</w:t>
                  </w:r>
                  <w:r>
                    <w:rPr>
                      <w:rFonts w:hint="eastAsia" w:eastAsia="仿宋_GB2312"/>
                      <w:color w:val="000000"/>
                      <w:kern w:val="0"/>
                      <w:szCs w:val="21"/>
                    </w:rPr>
                    <w:t>局</w:t>
                  </w:r>
                </w:p>
              </w:tc>
              <w:tc>
                <w:tcPr>
                  <w:tcW w:w="1067" w:type="dxa"/>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786"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hint="eastAsia" w:eastAsia="仿宋_GB2312"/>
                      <w:color w:val="000000"/>
                      <w:kern w:val="0"/>
                      <w:sz w:val="18"/>
                      <w:szCs w:val="18"/>
                    </w:rPr>
                    <w:t>炎陵县</w:t>
                  </w:r>
                  <w:r>
                    <w:rPr>
                      <w:rFonts w:hint="eastAsia" w:eastAsia="仿宋_GB2312"/>
                      <w:color w:val="000000"/>
                      <w:kern w:val="0"/>
                      <w:sz w:val="18"/>
                      <w:szCs w:val="18"/>
                      <w:lang w:eastAsia="zh-CN"/>
                    </w:rPr>
                    <w:t>人力资源和社会保障</w:t>
                  </w:r>
                  <w:r>
                    <w:rPr>
                      <w:rFonts w:hint="eastAsia" w:eastAsia="仿宋_GB2312"/>
                      <w:color w:val="000000"/>
                      <w:kern w:val="0"/>
                      <w:sz w:val="18"/>
                      <w:szCs w:val="18"/>
                    </w:rPr>
                    <w:t>局</w:t>
                  </w:r>
                </w:p>
              </w:tc>
            </w:tr>
            <w:tr>
              <w:tblPrEx>
                <w:tblCellMar>
                  <w:top w:w="0" w:type="dxa"/>
                  <w:left w:w="108" w:type="dxa"/>
                  <w:bottom w:w="0" w:type="dxa"/>
                  <w:right w:w="108" w:type="dxa"/>
                </w:tblCellMar>
              </w:tblPrEx>
              <w:trPr>
                <w:trHeight w:val="49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95" w:type="dxa"/>
                  <w:gridSpan w:val="3"/>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p>
              </w:tc>
              <w:tc>
                <w:tcPr>
                  <w:tcW w:w="932"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025"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067"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全年执行数</w:t>
                  </w:r>
                </w:p>
              </w:tc>
              <w:tc>
                <w:tcPr>
                  <w:tcW w:w="714"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得分</w:t>
                  </w:r>
                </w:p>
              </w:tc>
            </w:tr>
            <w:tr>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年度资金总额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2</w:t>
                  </w:r>
                  <w:r>
                    <w:rPr>
                      <w:rFonts w:hint="eastAsia" w:eastAsia="仿宋_GB2312"/>
                      <w:color w:val="000000"/>
                      <w:kern w:val="0"/>
                      <w:szCs w:val="21"/>
                    </w:rPr>
                    <w:t>0</w:t>
                  </w:r>
                </w:p>
              </w:tc>
              <w:tc>
                <w:tcPr>
                  <w:tcW w:w="1025" w:type="dxa"/>
                  <w:tcBorders>
                    <w:top w:val="nil"/>
                    <w:left w:val="nil"/>
                    <w:bottom w:val="single" w:color="auto" w:sz="4" w:space="0"/>
                    <w:right w:val="single" w:color="auto" w:sz="4" w:space="0"/>
                  </w:tcBorders>
                  <w:vAlign w:val="center"/>
                </w:tcPr>
                <w:p>
                  <w:pPr>
                    <w:widowControl/>
                    <w:spacing w:line="200" w:lineRule="exact"/>
                    <w:ind w:firstLine="210" w:firstLineChars="100"/>
                    <w:jc w:val="left"/>
                    <w:rPr>
                      <w:rFonts w:hint="default" w:eastAsia="仿宋_GB2312"/>
                      <w:color w:val="000000"/>
                      <w:kern w:val="0"/>
                      <w:szCs w:val="21"/>
                      <w:lang w:val="en-US" w:eastAsia="zh-CN"/>
                    </w:rPr>
                  </w:pPr>
                  <w:r>
                    <w:rPr>
                      <w:rFonts w:hint="eastAsia" w:eastAsia="仿宋_GB2312"/>
                      <w:color w:val="000000"/>
                      <w:kern w:val="0"/>
                      <w:szCs w:val="21"/>
                      <w:lang w:val="en-US" w:eastAsia="zh-CN"/>
                    </w:rPr>
                    <w:t>20</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20</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10</w:t>
                  </w:r>
                </w:p>
              </w:tc>
              <w:tc>
                <w:tcPr>
                  <w:tcW w:w="795" w:type="dxa"/>
                  <w:tcBorders>
                    <w:top w:val="nil"/>
                    <w:left w:val="nil"/>
                    <w:bottom w:val="single" w:color="auto" w:sz="4" w:space="0"/>
                    <w:right w:val="single" w:color="auto" w:sz="4" w:space="0"/>
                  </w:tcBorders>
                  <w:vAlign w:val="center"/>
                </w:tcPr>
                <w:p>
                  <w:pPr>
                    <w:widowControl/>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2</w:t>
                  </w:r>
                  <w:r>
                    <w:rPr>
                      <w:rFonts w:hint="eastAsia" w:eastAsia="仿宋_GB2312"/>
                      <w:color w:val="000000"/>
                      <w:kern w:val="0"/>
                      <w:szCs w:val="21"/>
                    </w:rPr>
                    <w:t>0</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20</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20</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10</w:t>
                  </w:r>
                </w:p>
              </w:tc>
              <w:tc>
                <w:tcPr>
                  <w:tcW w:w="795" w:type="dxa"/>
                  <w:tcBorders>
                    <w:top w:val="nil"/>
                    <w:left w:val="nil"/>
                    <w:bottom w:val="single" w:color="auto" w:sz="4" w:space="0"/>
                    <w:right w:val="single" w:color="auto" w:sz="4" w:space="0"/>
                  </w:tcBorders>
                  <w:vAlign w:val="center"/>
                </w:tcPr>
                <w:p>
                  <w:pPr>
                    <w:widowControl/>
                    <w:spacing w:line="20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年度总</w:t>
                  </w:r>
                </w:p>
                <w:p>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252" w:type="dxa"/>
                  <w:gridSpan w:val="5"/>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4252" w:type="dxa"/>
                  <w:gridSpan w:val="5"/>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基金系统平稳运行</w:t>
                  </w:r>
                </w:p>
              </w:tc>
              <w:tc>
                <w:tcPr>
                  <w:tcW w:w="3853" w:type="dxa"/>
                  <w:gridSpan w:val="4"/>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 xml:space="preserve">             </w:t>
                  </w:r>
                  <w:r>
                    <w:rPr>
                      <w:rFonts w:hint="eastAsia" w:eastAsia="仿宋_GB2312"/>
                      <w:color w:val="000000"/>
                      <w:kern w:val="0"/>
                      <w:szCs w:val="21"/>
                    </w:rPr>
                    <w:t>完成</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绩</w:t>
                  </w:r>
                </w:p>
                <w:p>
                  <w:pPr>
                    <w:widowControl/>
                    <w:spacing w:line="200" w:lineRule="exact"/>
                    <w:jc w:val="center"/>
                    <w:rPr>
                      <w:rFonts w:eastAsia="仿宋_GB2312"/>
                      <w:color w:val="000000"/>
                      <w:kern w:val="0"/>
                      <w:szCs w:val="21"/>
                    </w:rPr>
                  </w:pPr>
                  <w:r>
                    <w:rPr>
                      <w:rFonts w:eastAsia="仿宋_GB2312"/>
                      <w:color w:val="000000"/>
                      <w:kern w:val="0"/>
                      <w:szCs w:val="21"/>
                    </w:rPr>
                    <w:t>效</w:t>
                  </w:r>
                </w:p>
                <w:p>
                  <w:pPr>
                    <w:widowControl/>
                    <w:spacing w:line="200" w:lineRule="exact"/>
                    <w:jc w:val="center"/>
                    <w:rPr>
                      <w:rFonts w:eastAsia="仿宋_GB2312"/>
                      <w:color w:val="000000"/>
                      <w:kern w:val="0"/>
                      <w:szCs w:val="21"/>
                    </w:rPr>
                  </w:pPr>
                  <w:r>
                    <w:rPr>
                      <w:rFonts w:eastAsia="仿宋_GB2312"/>
                      <w:color w:val="000000"/>
                      <w:kern w:val="0"/>
                      <w:szCs w:val="21"/>
                    </w:rPr>
                    <w:t>指</w:t>
                  </w:r>
                </w:p>
                <w:p>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0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restart"/>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产出</w:t>
                  </w:r>
                </w:p>
                <w:p>
                  <w:pPr>
                    <w:widowControl/>
                    <w:spacing w:line="200" w:lineRule="exact"/>
                    <w:jc w:val="center"/>
                    <w:rPr>
                      <w:rFonts w:eastAsia="仿宋_GB2312"/>
                      <w:color w:val="000000"/>
                      <w:kern w:val="0"/>
                      <w:sz w:val="15"/>
                      <w:szCs w:val="15"/>
                    </w:rPr>
                  </w:pPr>
                  <w:r>
                    <w:rPr>
                      <w:rFonts w:eastAsia="仿宋_GB2312"/>
                      <w:color w:val="000000"/>
                      <w:kern w:val="0"/>
                      <w:sz w:val="15"/>
                      <w:szCs w:val="15"/>
                    </w:rPr>
                    <w:t>指标</w:t>
                  </w:r>
                </w:p>
                <w:p>
                  <w:pPr>
                    <w:widowControl/>
                    <w:spacing w:line="200" w:lineRule="exact"/>
                    <w:jc w:val="center"/>
                    <w:rPr>
                      <w:rFonts w:eastAsia="仿宋_GB2312"/>
                      <w:color w:val="000000"/>
                      <w:kern w:val="0"/>
                      <w:sz w:val="15"/>
                      <w:szCs w:val="15"/>
                    </w:rPr>
                  </w:pPr>
                </w:p>
                <w:p>
                  <w:pPr>
                    <w:widowControl/>
                    <w:spacing w:line="200" w:lineRule="exact"/>
                    <w:jc w:val="center"/>
                    <w:rPr>
                      <w:rFonts w:eastAsia="仿宋_GB2312"/>
                      <w:color w:val="000000"/>
                      <w:kern w:val="0"/>
                      <w:sz w:val="15"/>
                      <w:szCs w:val="15"/>
                    </w:rPr>
                  </w:pPr>
                  <w:r>
                    <w:rPr>
                      <w:rFonts w:eastAsia="仿宋_GB2312"/>
                      <w:color w:val="000000"/>
                      <w:kern w:val="0"/>
                      <w:sz w:val="15"/>
                      <w:szCs w:val="15"/>
                    </w:rPr>
                    <w:t>(50分)</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数量指标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保障待遇及时到位</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质量指标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系统正常运行</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20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20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时效指标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保障待遇及时到位</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成本指标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20</w:t>
                  </w:r>
                  <w:r>
                    <w:rPr>
                      <w:rFonts w:hint="eastAsia" w:eastAsia="仿宋_GB2312"/>
                      <w:color w:val="000000"/>
                      <w:kern w:val="0"/>
                      <w:sz w:val="15"/>
                      <w:szCs w:val="15"/>
                      <w:lang w:val="en-US" w:eastAsia="zh-CN"/>
                    </w:rPr>
                    <w:t>20</w:t>
                  </w:r>
                  <w:r>
                    <w:rPr>
                      <w:rFonts w:hint="eastAsia" w:eastAsia="仿宋_GB2312"/>
                      <w:color w:val="000000"/>
                      <w:kern w:val="0"/>
                      <w:sz w:val="15"/>
                      <w:szCs w:val="15"/>
                    </w:rPr>
                    <w:t>预算安排</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lang w:val="en-US" w:eastAsia="zh-CN"/>
                    </w:rPr>
                    <w:t>10</w:t>
                  </w:r>
                  <w:r>
                    <w:rPr>
                      <w:rFonts w:hint="eastAsia" w:ascii="宋体" w:hAnsi="宋体" w:cs="宋体"/>
                      <w:color w:val="000000"/>
                      <w:sz w:val="20"/>
                      <w:szCs w:val="20"/>
                    </w:rPr>
                    <w:t>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restart"/>
                  <w:tcBorders>
                    <w:top w:val="single" w:color="auto" w:sz="4" w:space="0"/>
                    <w:left w:val="nil"/>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效益</w:t>
                  </w:r>
                </w:p>
                <w:p>
                  <w:pPr>
                    <w:widowControl/>
                    <w:spacing w:line="200" w:lineRule="exact"/>
                    <w:jc w:val="center"/>
                    <w:rPr>
                      <w:rFonts w:eastAsia="仿宋_GB2312"/>
                      <w:color w:val="000000"/>
                      <w:kern w:val="0"/>
                      <w:sz w:val="15"/>
                      <w:szCs w:val="15"/>
                    </w:rPr>
                  </w:pPr>
                  <w:r>
                    <w:rPr>
                      <w:rFonts w:eastAsia="仿宋_GB2312"/>
                      <w:color w:val="000000"/>
                      <w:kern w:val="0"/>
                      <w:sz w:val="15"/>
                      <w:szCs w:val="15"/>
                    </w:rPr>
                    <w:t>指标</w:t>
                  </w:r>
                </w:p>
                <w:p>
                  <w:pPr>
                    <w:widowControl/>
                    <w:spacing w:line="200" w:lineRule="exact"/>
                    <w:jc w:val="left"/>
                    <w:rPr>
                      <w:rFonts w:eastAsia="仿宋_GB2312"/>
                      <w:color w:val="000000"/>
                      <w:kern w:val="0"/>
                      <w:sz w:val="15"/>
                      <w:szCs w:val="15"/>
                    </w:rPr>
                  </w:pPr>
                </w:p>
                <w:p>
                  <w:pPr>
                    <w:widowControl/>
                    <w:spacing w:line="200" w:lineRule="exact"/>
                    <w:jc w:val="left"/>
                    <w:rPr>
                      <w:rFonts w:eastAsia="仿宋_GB2312"/>
                      <w:color w:val="000000"/>
                      <w:kern w:val="0"/>
                      <w:sz w:val="15"/>
                      <w:szCs w:val="15"/>
                    </w:rPr>
                  </w:pPr>
                  <w:r>
                    <w:rPr>
                      <w:rFonts w:eastAsia="仿宋_GB2312"/>
                      <w:color w:val="000000"/>
                      <w:kern w:val="0"/>
                      <w:sz w:val="15"/>
                      <w:szCs w:val="15"/>
                    </w:rPr>
                    <w:t>（</w:t>
                  </w:r>
                  <w:r>
                    <w:rPr>
                      <w:rFonts w:hint="eastAsia" w:eastAsia="仿宋_GB2312"/>
                      <w:color w:val="000000"/>
                      <w:kern w:val="0"/>
                      <w:sz w:val="15"/>
                      <w:szCs w:val="15"/>
                    </w:rPr>
                    <w:t>3</w:t>
                  </w:r>
                  <w:r>
                    <w:rPr>
                      <w:rFonts w:eastAsia="仿宋_GB2312"/>
                      <w:color w:val="000000"/>
                      <w:kern w:val="0"/>
                      <w:sz w:val="15"/>
                      <w:szCs w:val="15"/>
                    </w:rPr>
                    <w:t>0分）</w:t>
                  </w:r>
                </w:p>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经济效</w:t>
                  </w:r>
                </w:p>
                <w:p>
                  <w:pPr>
                    <w:widowControl/>
                    <w:spacing w:line="200" w:lineRule="exact"/>
                    <w:jc w:val="center"/>
                    <w:rPr>
                      <w:rFonts w:eastAsia="仿宋_GB2312"/>
                      <w:color w:val="000000"/>
                      <w:kern w:val="0"/>
                      <w:sz w:val="15"/>
                      <w:szCs w:val="15"/>
                    </w:rPr>
                  </w:pPr>
                  <w:r>
                    <w:rPr>
                      <w:rFonts w:eastAsia="仿宋_GB2312"/>
                      <w:color w:val="000000"/>
                      <w:kern w:val="0"/>
                      <w:sz w:val="15"/>
                      <w:szCs w:val="15"/>
                    </w:rPr>
                    <w:t>益指标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保障待遇及时到位</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社会效</w:t>
                  </w:r>
                </w:p>
                <w:p>
                  <w:pPr>
                    <w:widowControl/>
                    <w:spacing w:line="200" w:lineRule="exact"/>
                    <w:jc w:val="center"/>
                    <w:rPr>
                      <w:rFonts w:eastAsia="仿宋_GB2312"/>
                      <w:color w:val="000000"/>
                      <w:kern w:val="0"/>
                      <w:sz w:val="15"/>
                      <w:szCs w:val="15"/>
                    </w:rPr>
                  </w:pPr>
                  <w:r>
                    <w:rPr>
                      <w:rFonts w:eastAsia="仿宋_GB2312"/>
                      <w:color w:val="000000"/>
                      <w:kern w:val="0"/>
                      <w:sz w:val="15"/>
                      <w:szCs w:val="15"/>
                    </w:rPr>
                    <w:t>益指标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确保基金安全运行</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生态效</w:t>
                  </w:r>
                </w:p>
                <w:p>
                  <w:pPr>
                    <w:widowControl/>
                    <w:spacing w:line="200" w:lineRule="exact"/>
                    <w:jc w:val="center"/>
                    <w:rPr>
                      <w:rFonts w:eastAsia="仿宋_GB2312"/>
                      <w:color w:val="000000"/>
                      <w:kern w:val="0"/>
                      <w:sz w:val="15"/>
                      <w:szCs w:val="15"/>
                    </w:rPr>
                  </w:pPr>
                  <w:r>
                    <w:rPr>
                      <w:rFonts w:eastAsia="仿宋_GB2312"/>
                      <w:color w:val="000000"/>
                      <w:kern w:val="0"/>
                      <w:sz w:val="15"/>
                      <w:szCs w:val="15"/>
                    </w:rPr>
                    <w:t>益指标</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不影响</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不影响</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不影响</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465" w:hRule="atLeast"/>
                <w:jc w:val="center"/>
              </w:trPr>
              <w:tc>
                <w:tcPr>
                  <w:tcW w:w="1178" w:type="dxa"/>
                  <w:vMerge w:val="continue"/>
                  <w:tcBorders>
                    <w:left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p>
              </w:tc>
              <w:tc>
                <w:tcPr>
                  <w:tcW w:w="985" w:type="dxa"/>
                  <w:vMerge w:val="continue"/>
                  <w:tcBorders>
                    <w:left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可持续影响指标</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可持续</w:t>
                  </w:r>
                </w:p>
              </w:tc>
              <w:tc>
                <w:tcPr>
                  <w:tcW w:w="10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left"/>
                    <w:rPr>
                      <w:rFonts w:eastAsia="仿宋_GB2312"/>
                      <w:color w:val="000000"/>
                      <w:kern w:val="0"/>
                      <w:sz w:val="15"/>
                      <w:szCs w:val="15"/>
                    </w:rPr>
                  </w:pPr>
                </w:p>
              </w:tc>
              <w:tc>
                <w:tcPr>
                  <w:tcW w:w="985" w:type="dxa"/>
                  <w:vMerge w:val="restart"/>
                  <w:tcBorders>
                    <w:top w:val="nil"/>
                    <w:left w:val="nil"/>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满意度</w:t>
                  </w:r>
                </w:p>
                <w:p>
                  <w:pPr>
                    <w:widowControl/>
                    <w:spacing w:line="200" w:lineRule="exact"/>
                    <w:jc w:val="center"/>
                    <w:rPr>
                      <w:rFonts w:eastAsia="仿宋_GB2312"/>
                      <w:color w:val="000000"/>
                      <w:kern w:val="0"/>
                      <w:sz w:val="15"/>
                      <w:szCs w:val="15"/>
                    </w:rPr>
                  </w:pPr>
                  <w:r>
                    <w:rPr>
                      <w:rFonts w:eastAsia="仿宋_GB2312"/>
                      <w:color w:val="000000"/>
                      <w:kern w:val="0"/>
                      <w:sz w:val="15"/>
                      <w:szCs w:val="15"/>
                    </w:rPr>
                    <w:t>指标</w:t>
                  </w:r>
                </w:p>
                <w:p>
                  <w:pPr>
                    <w:widowControl/>
                    <w:spacing w:line="200" w:lineRule="exact"/>
                    <w:jc w:val="center"/>
                    <w:rPr>
                      <w:rFonts w:eastAsia="仿宋_GB2312"/>
                      <w:color w:val="000000"/>
                      <w:kern w:val="0"/>
                      <w:sz w:val="15"/>
                      <w:szCs w:val="15"/>
                    </w:rPr>
                  </w:pPr>
                  <w:r>
                    <w:rPr>
                      <w:rFonts w:eastAsia="仿宋_GB2312"/>
                      <w:color w:val="000000"/>
                      <w:kern w:val="0"/>
                      <w:sz w:val="15"/>
                      <w:szCs w:val="15"/>
                    </w:rPr>
                    <w:t>（10分）</w:t>
                  </w:r>
                </w:p>
              </w:tc>
              <w:tc>
                <w:tcPr>
                  <w:tcW w:w="1310" w:type="dxa"/>
                  <w:gridSpan w:val="2"/>
                  <w:vMerge w:val="restart"/>
                  <w:tcBorders>
                    <w:top w:val="nil"/>
                    <w:left w:val="nil"/>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服务对象满意度指标</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群众满意度</w:t>
                  </w:r>
                </w:p>
              </w:tc>
              <w:tc>
                <w:tcPr>
                  <w:tcW w:w="1025" w:type="dxa"/>
                  <w:tcBorders>
                    <w:top w:val="nil"/>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nil"/>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nil"/>
                    <w:left w:val="nil"/>
                    <w:bottom w:val="single" w:color="auto" w:sz="4" w:space="0"/>
                    <w:right w:val="single" w:color="auto" w:sz="4" w:space="0"/>
                  </w:tcBorders>
                  <w:vAlign w:val="center"/>
                </w:tcPr>
                <w:p>
                  <w:pPr>
                    <w:widowControl/>
                    <w:spacing w:line="200" w:lineRule="exact"/>
                    <w:ind w:firstLine="150" w:firstLineChars="100"/>
                    <w:jc w:val="left"/>
                    <w:rPr>
                      <w:rFonts w:eastAsia="仿宋_GB2312"/>
                      <w:color w:val="000000"/>
                      <w:kern w:val="0"/>
                      <w:sz w:val="15"/>
                      <w:szCs w:val="15"/>
                    </w:rPr>
                  </w:pPr>
                  <w:r>
                    <w:rPr>
                      <w:rFonts w:hint="eastAsia" w:eastAsia="仿宋_GB2312"/>
                      <w:color w:val="000000"/>
                      <w:kern w:val="0"/>
                      <w:sz w:val="15"/>
                      <w:szCs w:val="15"/>
                    </w:rPr>
                    <w:t>10</w:t>
                  </w:r>
                  <w:r>
                    <w:rPr>
                      <w:rFonts w:eastAsia="仿宋_GB2312"/>
                      <w:color w:val="000000"/>
                      <w:kern w:val="0"/>
                      <w:sz w:val="15"/>
                      <w:szCs w:val="15"/>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985" w:type="dxa"/>
                  <w:vMerge w:val="continue"/>
                  <w:tcBorders>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vMerge w:val="continue"/>
                  <w:tcBorders>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6497" w:type="dxa"/>
                  <w:gridSpan w:val="7"/>
                  <w:tcBorders>
                    <w:top w:val="single" w:color="auto" w:sz="4" w:space="0"/>
                    <w:left w:val="single" w:color="auto" w:sz="4" w:space="0"/>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714" w:type="dxa"/>
                  <w:tcBorders>
                    <w:top w:val="nil"/>
                    <w:left w:val="nil"/>
                    <w:bottom w:val="nil"/>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795" w:type="dxa"/>
                  <w:tcBorders>
                    <w:top w:val="nil"/>
                    <w:left w:val="nil"/>
                    <w:bottom w:val="nil"/>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277" w:type="dxa"/>
                  <w:tcBorders>
                    <w:top w:val="nil"/>
                    <w:left w:val="nil"/>
                    <w:bottom w:val="nil"/>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rPr>
                <w:trHeight w:val="1015" w:hRule="atLeast"/>
                <w:jc w:val="center"/>
              </w:trPr>
              <w:tc>
                <w:tcPr>
                  <w:tcW w:w="3346" w:type="dxa"/>
                  <w:gridSpan w:val="3"/>
                  <w:tcBorders>
                    <w:top w:val="single" w:color="auto" w:sz="4" w:space="0"/>
                    <w:left w:val="single" w:color="auto" w:sz="4" w:space="0"/>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937" w:type="dxa"/>
                  <w:gridSpan w:val="7"/>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r>
          </w:tbl>
          <w:p>
            <w:pPr>
              <w:spacing w:beforeLines="50" w:line="200" w:lineRule="exact"/>
              <w:rPr>
                <w:rFonts w:hint="eastAsia" w:ascii="方正小标宋简体" w:hAnsi="方正小标宋简体" w:eastAsia="仿宋_GB2312" w:cs="方正小标宋简体"/>
                <w:color w:val="000000"/>
                <w:sz w:val="44"/>
                <w:szCs w:val="44"/>
                <w:lang w:eastAsia="zh-CN"/>
              </w:rPr>
            </w:pPr>
            <w:r>
              <w:rPr>
                <w:rFonts w:eastAsia="仿宋_GB2312"/>
                <w:sz w:val="24"/>
              </w:rPr>
              <w:t>填表人：</w:t>
            </w:r>
            <w:r>
              <w:rPr>
                <w:rFonts w:hint="eastAsia" w:eastAsia="仿宋_GB2312"/>
                <w:sz w:val="24"/>
                <w:lang w:eastAsia="zh-CN"/>
              </w:rPr>
              <w:t>杨晔</w:t>
            </w:r>
            <w:r>
              <w:rPr>
                <w:rFonts w:eastAsia="仿宋_GB2312"/>
                <w:sz w:val="24"/>
              </w:rPr>
              <w:t xml:space="preserve">  填报日期：</w:t>
            </w:r>
            <w:r>
              <w:rPr>
                <w:rFonts w:hint="eastAsia" w:eastAsia="仿宋_GB2312"/>
                <w:sz w:val="24"/>
              </w:rPr>
              <w:t>202</w:t>
            </w:r>
            <w:r>
              <w:rPr>
                <w:rFonts w:hint="eastAsia" w:eastAsia="仿宋_GB2312"/>
                <w:sz w:val="24"/>
                <w:lang w:val="en-US" w:eastAsia="zh-CN"/>
              </w:rPr>
              <w:t>1</w:t>
            </w:r>
            <w:r>
              <w:rPr>
                <w:rFonts w:hint="eastAsia" w:eastAsia="仿宋_GB2312"/>
                <w:sz w:val="24"/>
              </w:rPr>
              <w:t>.9.2</w:t>
            </w:r>
            <w:r>
              <w:rPr>
                <w:rFonts w:hint="eastAsia" w:eastAsia="仿宋_GB2312"/>
                <w:sz w:val="24"/>
                <w:lang w:val="en-US" w:eastAsia="zh-CN"/>
              </w:rPr>
              <w:t>9</w:t>
            </w:r>
            <w:r>
              <w:rPr>
                <w:rFonts w:eastAsia="仿宋_GB2312"/>
                <w:sz w:val="24"/>
              </w:rPr>
              <w:t xml:space="preserve">   联系电话：</w:t>
            </w:r>
            <w:r>
              <w:rPr>
                <w:rFonts w:hint="eastAsia" w:eastAsia="仿宋_GB2312"/>
                <w:sz w:val="24"/>
              </w:rPr>
              <w:t>22542898</w:t>
            </w:r>
            <w:r>
              <w:rPr>
                <w:rFonts w:eastAsia="仿宋_GB2312"/>
                <w:sz w:val="24"/>
              </w:rPr>
              <w:t xml:space="preserve">  单位负责人签字：</w:t>
            </w:r>
            <w:r>
              <w:rPr>
                <w:rFonts w:hint="eastAsia" w:eastAsia="仿宋_GB2312"/>
                <w:sz w:val="24"/>
              </w:rPr>
              <w:t>张</w:t>
            </w:r>
            <w:r>
              <w:rPr>
                <w:rFonts w:hint="eastAsia" w:eastAsia="仿宋_GB2312"/>
                <w:sz w:val="24"/>
                <w:lang w:eastAsia="zh-CN"/>
              </w:rPr>
              <w:t>孝红</w:t>
            </w:r>
          </w:p>
        </w:tc>
      </w:tr>
    </w:tbl>
    <w:p>
      <w:pPr>
        <w:spacing w:line="200" w:lineRule="exact"/>
        <w:sectPr>
          <w:footerReference r:id="rId6" w:type="first"/>
          <w:headerReference r:id="rId3" w:type="default"/>
          <w:footerReference r:id="rId4" w:type="default"/>
          <w:footerReference r:id="rId5" w:type="even"/>
          <w:pgSz w:w="11906" w:h="16838"/>
          <w:pgMar w:top="1440" w:right="1800" w:bottom="1440" w:left="1800" w:header="851" w:footer="992" w:gutter="0"/>
          <w:pgNumType w:fmt="numberInDash"/>
          <w:cols w:space="720" w:num="1"/>
          <w:titlePg/>
          <w:docGrid w:type="lines" w:linePitch="312" w:charSpace="0"/>
        </w:sectPr>
      </w:pPr>
    </w:p>
    <w:tbl>
      <w:tblPr>
        <w:tblStyle w:val="6"/>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hAnsi="宋体"/>
        <w:sz w:val="24"/>
        <w:szCs w:val="24"/>
      </w:rPr>
    </w:pPr>
    <w:r>
      <w:rPr>
        <w:rFonts w:ascii="宋体" w:hAnsi="宋体"/>
        <w:sz w:val="24"/>
        <w:szCs w:val="24"/>
      </w:rPr>
      <w:fldChar w:fldCharType="begin"/>
    </w:r>
    <w:r>
      <w:rPr>
        <w:rStyle w:val="8"/>
        <w:rFonts w:ascii="宋体" w:hAnsi="宋体"/>
        <w:sz w:val="24"/>
        <w:szCs w:val="24"/>
      </w:rPr>
      <w:instrText xml:space="preserve">PAGE  </w:instrText>
    </w:r>
    <w:r>
      <w:rPr>
        <w:rFonts w:ascii="宋体" w:hAnsi="宋体"/>
        <w:sz w:val="24"/>
        <w:szCs w:val="24"/>
      </w:rPr>
      <w:fldChar w:fldCharType="separate"/>
    </w:r>
    <w:r>
      <w:rPr>
        <w:rStyle w:val="8"/>
        <w:rFonts w:ascii="宋体" w:hAnsi="宋体"/>
        <w:sz w:val="24"/>
        <w:szCs w:val="24"/>
      </w:rPr>
      <w:t>- 5 -</w:t>
    </w:r>
    <w:r>
      <w:rPr>
        <w:rFonts w:ascii="宋体" w:hAnsi="宋体"/>
        <w:sz w:val="24"/>
        <w:szCs w:val="24"/>
      </w:rPr>
      <w:fldChar w:fldCharType="end"/>
    </w:r>
  </w:p>
  <w:p>
    <w:pPr>
      <w:pStyle w:val="4"/>
      <w:ind w:right="360"/>
      <w:rPr>
        <w:rStyle w:val="8"/>
        <w:rFonts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Pr>
    <w:r>
      <w:fldChar w:fldCharType="begin"/>
    </w:r>
    <w:r>
      <w:rPr>
        <w:rStyle w:val="8"/>
      </w:rPr>
      <w:instrText xml:space="preserve">Page</w:instrText>
    </w:r>
    <w:r>
      <w:fldChar w:fldCharType="separate"/>
    </w:r>
    <w:r>
      <w:rPr>
        <w:rStyle w:val="8"/>
      </w:rPr>
      <w:t>- 1 -</w:t>
    </w:r>
    <w:r>
      <w:fldChar w:fldCharType="end"/>
    </w:r>
  </w:p>
  <w:p>
    <w:pPr>
      <w:pStyle w:val="4"/>
      <w:framePr w:wrap="around" w:vAnchor="text" w:hAnchor="margin" w:xAlign="center" w:y="1"/>
      <w:ind w:right="360"/>
    </w:pPr>
    <w:r>
      <w:fldChar w:fldCharType="begin"/>
    </w:r>
    <w:r>
      <w:rPr>
        <w:rStyle w:val="8"/>
      </w:rPr>
      <w:instrText xml:space="preserve">Page</w:instrText>
    </w:r>
    <w:r>
      <w:fldChar w:fldCharType="separate"/>
    </w:r>
    <w:r>
      <w:rPr>
        <w:rStyle w:val="8"/>
      </w:rPr>
      <w:t>- 1 -</w:t>
    </w:r>
    <w:r>
      <w:fldChar w:fldCharType="end"/>
    </w:r>
  </w:p>
  <w:p>
    <w:pPr>
      <w:pStyle w:val="4"/>
      <w:framePr w:wrap="around" w:vAnchor="text" w:hAnchor="margin" w:xAlign="center" w:y="1"/>
      <w:ind w:right="360"/>
      <w:rPr>
        <w:rStyle w:val="8"/>
      </w:rPr>
    </w:pPr>
    <w:r>
      <w:fldChar w:fldCharType="begin"/>
    </w:r>
    <w:r>
      <w:rPr>
        <w:rStyle w:val="8"/>
      </w:rPr>
      <w:instrText xml:space="preserve">Page</w:instrText>
    </w:r>
    <w:r>
      <w:fldChar w:fldCharType="separate"/>
    </w:r>
    <w:r>
      <w:rPr>
        <w:rStyle w:val="8"/>
      </w:rPr>
      <w:t>- 1 -</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4"/>
        <w:szCs w:val="24"/>
      </w:rPr>
    </w:pPr>
    <w:r>
      <w:rPr>
        <w:rFonts w:ascii="宋体" w:hAnsi="宋体"/>
        <w:sz w:val="24"/>
        <w:szCs w:val="24"/>
      </w:rPr>
      <w:fldChar w:fldCharType="begin"/>
    </w:r>
    <w:r>
      <w:rPr>
        <w:rStyle w:val="8"/>
        <w:rFonts w:ascii="宋体" w:hAnsi="宋体"/>
        <w:sz w:val="24"/>
        <w:szCs w:val="24"/>
      </w:rPr>
      <w:instrText xml:space="preserve"> PAGE </w:instrText>
    </w:r>
    <w:r>
      <w:rPr>
        <w:rFonts w:ascii="宋体" w:hAnsi="宋体"/>
        <w:sz w:val="24"/>
        <w:szCs w:val="24"/>
      </w:rPr>
      <w:fldChar w:fldCharType="separate"/>
    </w:r>
    <w:r>
      <w:rPr>
        <w:rStyle w:val="8"/>
        <w:rFonts w:ascii="宋体" w:hAnsi="宋体"/>
        <w:sz w:val="24"/>
        <w:szCs w:val="24"/>
      </w:rPr>
      <w:t>- 6 -</w:t>
    </w:r>
    <w:r>
      <w:rPr>
        <w:rFonts w:ascii="宋体" w:hAnsi="宋体"/>
        <w:sz w:val="24"/>
        <w:szCs w:val="24"/>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6738"/>
    <w:rsid w:val="0002218E"/>
    <w:rsid w:val="000552B1"/>
    <w:rsid w:val="00074C72"/>
    <w:rsid w:val="00084352"/>
    <w:rsid w:val="000B4DF2"/>
    <w:rsid w:val="000B7571"/>
    <w:rsid w:val="00155D7E"/>
    <w:rsid w:val="00164DCD"/>
    <w:rsid w:val="00184EF0"/>
    <w:rsid w:val="0019727C"/>
    <w:rsid w:val="001A5FFB"/>
    <w:rsid w:val="001E27CB"/>
    <w:rsid w:val="00223B31"/>
    <w:rsid w:val="002513C3"/>
    <w:rsid w:val="00256F58"/>
    <w:rsid w:val="00282D10"/>
    <w:rsid w:val="003109AD"/>
    <w:rsid w:val="00335584"/>
    <w:rsid w:val="00353AD3"/>
    <w:rsid w:val="00371403"/>
    <w:rsid w:val="00385241"/>
    <w:rsid w:val="003A27FD"/>
    <w:rsid w:val="003E20DF"/>
    <w:rsid w:val="003F739F"/>
    <w:rsid w:val="00425ED2"/>
    <w:rsid w:val="00435A47"/>
    <w:rsid w:val="004A7A59"/>
    <w:rsid w:val="004C5AD5"/>
    <w:rsid w:val="004D4894"/>
    <w:rsid w:val="00553E7F"/>
    <w:rsid w:val="005646ED"/>
    <w:rsid w:val="00587379"/>
    <w:rsid w:val="005C7406"/>
    <w:rsid w:val="00620378"/>
    <w:rsid w:val="00635BFD"/>
    <w:rsid w:val="00676738"/>
    <w:rsid w:val="0069603C"/>
    <w:rsid w:val="006C52BE"/>
    <w:rsid w:val="006D4506"/>
    <w:rsid w:val="006D7F62"/>
    <w:rsid w:val="006E75E2"/>
    <w:rsid w:val="006F33C2"/>
    <w:rsid w:val="006F52C8"/>
    <w:rsid w:val="007B5A10"/>
    <w:rsid w:val="007C270E"/>
    <w:rsid w:val="0081151A"/>
    <w:rsid w:val="00850DC9"/>
    <w:rsid w:val="0087062E"/>
    <w:rsid w:val="0087549A"/>
    <w:rsid w:val="008C5B5C"/>
    <w:rsid w:val="008E1B67"/>
    <w:rsid w:val="008E24C9"/>
    <w:rsid w:val="0096760A"/>
    <w:rsid w:val="0097439F"/>
    <w:rsid w:val="009D7575"/>
    <w:rsid w:val="009F791D"/>
    <w:rsid w:val="00A55AFA"/>
    <w:rsid w:val="00A7566D"/>
    <w:rsid w:val="00B013C0"/>
    <w:rsid w:val="00B13D75"/>
    <w:rsid w:val="00B34DA7"/>
    <w:rsid w:val="00B52FBF"/>
    <w:rsid w:val="00BC5BAC"/>
    <w:rsid w:val="00BE757D"/>
    <w:rsid w:val="00BF7350"/>
    <w:rsid w:val="00C4165E"/>
    <w:rsid w:val="00C44436"/>
    <w:rsid w:val="00C60C36"/>
    <w:rsid w:val="00C67286"/>
    <w:rsid w:val="00C84747"/>
    <w:rsid w:val="00CB3A5A"/>
    <w:rsid w:val="00CC0BEB"/>
    <w:rsid w:val="00CF7FF0"/>
    <w:rsid w:val="00D36B30"/>
    <w:rsid w:val="00D61721"/>
    <w:rsid w:val="00DB4F42"/>
    <w:rsid w:val="00DC416E"/>
    <w:rsid w:val="00E10995"/>
    <w:rsid w:val="00E16479"/>
    <w:rsid w:val="00E37D87"/>
    <w:rsid w:val="00E86376"/>
    <w:rsid w:val="00E92805"/>
    <w:rsid w:val="00E96A88"/>
    <w:rsid w:val="00EA6786"/>
    <w:rsid w:val="00EA6B9D"/>
    <w:rsid w:val="00EC2C4E"/>
    <w:rsid w:val="00EE470D"/>
    <w:rsid w:val="00F24688"/>
    <w:rsid w:val="00F36181"/>
    <w:rsid w:val="00F36CF1"/>
    <w:rsid w:val="00F42D7F"/>
    <w:rsid w:val="00FF06E5"/>
    <w:rsid w:val="01976577"/>
    <w:rsid w:val="01DA5812"/>
    <w:rsid w:val="022B35ED"/>
    <w:rsid w:val="02DA6F5D"/>
    <w:rsid w:val="02EF3813"/>
    <w:rsid w:val="044D1467"/>
    <w:rsid w:val="045250EF"/>
    <w:rsid w:val="06060035"/>
    <w:rsid w:val="06DC6C1E"/>
    <w:rsid w:val="071A465B"/>
    <w:rsid w:val="073B754C"/>
    <w:rsid w:val="074B63D9"/>
    <w:rsid w:val="08555A73"/>
    <w:rsid w:val="087865C0"/>
    <w:rsid w:val="08BD14FA"/>
    <w:rsid w:val="08DF19AE"/>
    <w:rsid w:val="096B62AC"/>
    <w:rsid w:val="0AF25469"/>
    <w:rsid w:val="0CAC0E08"/>
    <w:rsid w:val="0CBC32EF"/>
    <w:rsid w:val="0CC4069A"/>
    <w:rsid w:val="0D714A65"/>
    <w:rsid w:val="0E2F3C7F"/>
    <w:rsid w:val="0E36354D"/>
    <w:rsid w:val="0F1206F8"/>
    <w:rsid w:val="0F196D56"/>
    <w:rsid w:val="0F272FD7"/>
    <w:rsid w:val="0F446824"/>
    <w:rsid w:val="0F923F10"/>
    <w:rsid w:val="10D77C7F"/>
    <w:rsid w:val="112B0EE7"/>
    <w:rsid w:val="116815AB"/>
    <w:rsid w:val="122150F3"/>
    <w:rsid w:val="13172443"/>
    <w:rsid w:val="135B342B"/>
    <w:rsid w:val="1385437F"/>
    <w:rsid w:val="13B76964"/>
    <w:rsid w:val="14BD1C1B"/>
    <w:rsid w:val="155668A2"/>
    <w:rsid w:val="16512494"/>
    <w:rsid w:val="16D41557"/>
    <w:rsid w:val="172B6861"/>
    <w:rsid w:val="17845C02"/>
    <w:rsid w:val="17DF4381"/>
    <w:rsid w:val="18420831"/>
    <w:rsid w:val="189507A1"/>
    <w:rsid w:val="18D147A4"/>
    <w:rsid w:val="191B21D0"/>
    <w:rsid w:val="19B57B6B"/>
    <w:rsid w:val="1A496D89"/>
    <w:rsid w:val="1A6E132E"/>
    <w:rsid w:val="1A81434E"/>
    <w:rsid w:val="1B901997"/>
    <w:rsid w:val="1BB9725C"/>
    <w:rsid w:val="1CF03D16"/>
    <w:rsid w:val="1CF35BB5"/>
    <w:rsid w:val="1D0733F9"/>
    <w:rsid w:val="1D667504"/>
    <w:rsid w:val="1DCA17E6"/>
    <w:rsid w:val="1DDB1699"/>
    <w:rsid w:val="1EA13C50"/>
    <w:rsid w:val="1F0C76C3"/>
    <w:rsid w:val="20EC3E89"/>
    <w:rsid w:val="212271EE"/>
    <w:rsid w:val="215F4A89"/>
    <w:rsid w:val="23C40A9D"/>
    <w:rsid w:val="242B69CD"/>
    <w:rsid w:val="256D7D8E"/>
    <w:rsid w:val="25967C2E"/>
    <w:rsid w:val="25F73386"/>
    <w:rsid w:val="2627495A"/>
    <w:rsid w:val="26284171"/>
    <w:rsid w:val="26832E31"/>
    <w:rsid w:val="26C91CD1"/>
    <w:rsid w:val="27D25885"/>
    <w:rsid w:val="284637BC"/>
    <w:rsid w:val="285628BD"/>
    <w:rsid w:val="288A2DC4"/>
    <w:rsid w:val="28E156A0"/>
    <w:rsid w:val="2B227993"/>
    <w:rsid w:val="2D9C4350"/>
    <w:rsid w:val="2EBB44CD"/>
    <w:rsid w:val="2F1C0A5A"/>
    <w:rsid w:val="30584AF1"/>
    <w:rsid w:val="306971E6"/>
    <w:rsid w:val="30DD5D30"/>
    <w:rsid w:val="31C54EA4"/>
    <w:rsid w:val="326E6D63"/>
    <w:rsid w:val="32BE04FF"/>
    <w:rsid w:val="32EA2325"/>
    <w:rsid w:val="34945B9A"/>
    <w:rsid w:val="34C414B2"/>
    <w:rsid w:val="34E678EB"/>
    <w:rsid w:val="354505A7"/>
    <w:rsid w:val="3563661B"/>
    <w:rsid w:val="35AB59B1"/>
    <w:rsid w:val="36D6104C"/>
    <w:rsid w:val="37B44161"/>
    <w:rsid w:val="38016405"/>
    <w:rsid w:val="386323A6"/>
    <w:rsid w:val="393C251E"/>
    <w:rsid w:val="396035B9"/>
    <w:rsid w:val="397C2420"/>
    <w:rsid w:val="39862275"/>
    <w:rsid w:val="3B1578BB"/>
    <w:rsid w:val="3B173D42"/>
    <w:rsid w:val="3B2F6946"/>
    <w:rsid w:val="3D1A71EC"/>
    <w:rsid w:val="3D361365"/>
    <w:rsid w:val="3D8E01DF"/>
    <w:rsid w:val="3E0D3D52"/>
    <w:rsid w:val="3E422D78"/>
    <w:rsid w:val="3E77366E"/>
    <w:rsid w:val="3E957CD1"/>
    <w:rsid w:val="3ECB1AAA"/>
    <w:rsid w:val="3ECC33F9"/>
    <w:rsid w:val="3EEC0A15"/>
    <w:rsid w:val="3F47002E"/>
    <w:rsid w:val="3FF97F2D"/>
    <w:rsid w:val="3FFB6EE5"/>
    <w:rsid w:val="40636A03"/>
    <w:rsid w:val="40B72F12"/>
    <w:rsid w:val="413938AE"/>
    <w:rsid w:val="417C5C99"/>
    <w:rsid w:val="42CA1E32"/>
    <w:rsid w:val="42CF5AB9"/>
    <w:rsid w:val="42F63E63"/>
    <w:rsid w:val="432E1EC4"/>
    <w:rsid w:val="43BE2850"/>
    <w:rsid w:val="43E34B0F"/>
    <w:rsid w:val="44951534"/>
    <w:rsid w:val="44A15194"/>
    <w:rsid w:val="44EA5752"/>
    <w:rsid w:val="451B0AFA"/>
    <w:rsid w:val="452C4A85"/>
    <w:rsid w:val="452E22BA"/>
    <w:rsid w:val="455C226D"/>
    <w:rsid w:val="46284D1D"/>
    <w:rsid w:val="474D6FEC"/>
    <w:rsid w:val="480A7815"/>
    <w:rsid w:val="4832757B"/>
    <w:rsid w:val="487B12C0"/>
    <w:rsid w:val="494755CA"/>
    <w:rsid w:val="49606E6C"/>
    <w:rsid w:val="49BA0A0E"/>
    <w:rsid w:val="4ADB02AC"/>
    <w:rsid w:val="4AFD1E7E"/>
    <w:rsid w:val="4B2D4B8C"/>
    <w:rsid w:val="4B7F1CCF"/>
    <w:rsid w:val="4D1A0375"/>
    <w:rsid w:val="4D2B4695"/>
    <w:rsid w:val="4D3363EE"/>
    <w:rsid w:val="4D3600C7"/>
    <w:rsid w:val="4E9C3D5C"/>
    <w:rsid w:val="4F593182"/>
    <w:rsid w:val="4F6B5BB4"/>
    <w:rsid w:val="4F73429B"/>
    <w:rsid w:val="50992183"/>
    <w:rsid w:val="523C108F"/>
    <w:rsid w:val="52513A20"/>
    <w:rsid w:val="52AA1D2E"/>
    <w:rsid w:val="5345603A"/>
    <w:rsid w:val="538B560D"/>
    <w:rsid w:val="544D3E31"/>
    <w:rsid w:val="5476192E"/>
    <w:rsid w:val="54972C8E"/>
    <w:rsid w:val="549A1E61"/>
    <w:rsid w:val="55706BCC"/>
    <w:rsid w:val="55947B81"/>
    <w:rsid w:val="55EC59B0"/>
    <w:rsid w:val="563A72F4"/>
    <w:rsid w:val="56A551A6"/>
    <w:rsid w:val="56F41BF4"/>
    <w:rsid w:val="57413943"/>
    <w:rsid w:val="575F4560"/>
    <w:rsid w:val="57B10AF0"/>
    <w:rsid w:val="58411BC6"/>
    <w:rsid w:val="58DB61EC"/>
    <w:rsid w:val="5977649E"/>
    <w:rsid w:val="59D95994"/>
    <w:rsid w:val="59E918CC"/>
    <w:rsid w:val="5B14650D"/>
    <w:rsid w:val="5B94382C"/>
    <w:rsid w:val="5C1859AE"/>
    <w:rsid w:val="5C752DB2"/>
    <w:rsid w:val="5C9B4D95"/>
    <w:rsid w:val="5CB356C7"/>
    <w:rsid w:val="5D363CE3"/>
    <w:rsid w:val="5DD949F6"/>
    <w:rsid w:val="5EE14BB7"/>
    <w:rsid w:val="5F2B2A82"/>
    <w:rsid w:val="5F89047D"/>
    <w:rsid w:val="5F8E05D9"/>
    <w:rsid w:val="5FF3575D"/>
    <w:rsid w:val="605F6FE2"/>
    <w:rsid w:val="609A53A9"/>
    <w:rsid w:val="60B16E40"/>
    <w:rsid w:val="61090FA9"/>
    <w:rsid w:val="61DF11CE"/>
    <w:rsid w:val="62212454"/>
    <w:rsid w:val="62704B06"/>
    <w:rsid w:val="6393665D"/>
    <w:rsid w:val="645D3890"/>
    <w:rsid w:val="6470095C"/>
    <w:rsid w:val="65590F97"/>
    <w:rsid w:val="656F73EA"/>
    <w:rsid w:val="65B34441"/>
    <w:rsid w:val="65C94462"/>
    <w:rsid w:val="661C7C5D"/>
    <w:rsid w:val="66200BD2"/>
    <w:rsid w:val="662D7142"/>
    <w:rsid w:val="663B7AEB"/>
    <w:rsid w:val="66796278"/>
    <w:rsid w:val="671D5C56"/>
    <w:rsid w:val="67746340"/>
    <w:rsid w:val="67BD745B"/>
    <w:rsid w:val="68B45E41"/>
    <w:rsid w:val="68EA7875"/>
    <w:rsid w:val="68F42AF4"/>
    <w:rsid w:val="692177D5"/>
    <w:rsid w:val="6A036F17"/>
    <w:rsid w:val="6A726959"/>
    <w:rsid w:val="6AAA6D24"/>
    <w:rsid w:val="6AB310E2"/>
    <w:rsid w:val="6B657AAE"/>
    <w:rsid w:val="6C0A776E"/>
    <w:rsid w:val="6C3C0A1F"/>
    <w:rsid w:val="6C4374C7"/>
    <w:rsid w:val="6CE545E8"/>
    <w:rsid w:val="6D311D0C"/>
    <w:rsid w:val="6D4702BE"/>
    <w:rsid w:val="6E184F4B"/>
    <w:rsid w:val="6E3D056D"/>
    <w:rsid w:val="6E8144B5"/>
    <w:rsid w:val="6EC00C0E"/>
    <w:rsid w:val="6F5D4C51"/>
    <w:rsid w:val="6F7B5AEE"/>
    <w:rsid w:val="704B5B69"/>
    <w:rsid w:val="7107138B"/>
    <w:rsid w:val="710D4FB9"/>
    <w:rsid w:val="712C42F8"/>
    <w:rsid w:val="714030CB"/>
    <w:rsid w:val="71733711"/>
    <w:rsid w:val="72387E6E"/>
    <w:rsid w:val="743C4138"/>
    <w:rsid w:val="745179EF"/>
    <w:rsid w:val="74644278"/>
    <w:rsid w:val="74A259D9"/>
    <w:rsid w:val="74C5769E"/>
    <w:rsid w:val="74F22388"/>
    <w:rsid w:val="75357645"/>
    <w:rsid w:val="759F04FB"/>
    <w:rsid w:val="75CB46FB"/>
    <w:rsid w:val="761803BC"/>
    <w:rsid w:val="76664356"/>
    <w:rsid w:val="77466F8D"/>
    <w:rsid w:val="77EA44AB"/>
    <w:rsid w:val="77EF40D1"/>
    <w:rsid w:val="78A109FE"/>
    <w:rsid w:val="792568C8"/>
    <w:rsid w:val="79E272E7"/>
    <w:rsid w:val="7A275695"/>
    <w:rsid w:val="7A7D7B02"/>
    <w:rsid w:val="7AA7368E"/>
    <w:rsid w:val="7ACF16F6"/>
    <w:rsid w:val="7C0846F6"/>
    <w:rsid w:val="7C3F4E09"/>
    <w:rsid w:val="7D4F704C"/>
    <w:rsid w:val="7D9F428E"/>
    <w:rsid w:val="7E006F72"/>
    <w:rsid w:val="7ECD698A"/>
    <w:rsid w:val="7F39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qFormat/>
    <w:uiPriority w:val="0"/>
    <w:pPr>
      <w:ind w:left="800" w:leftChars="800"/>
    </w:pPr>
  </w:style>
  <w:style w:type="paragraph" w:styleId="3">
    <w:name w:val="Document Map"/>
    <w:basedOn w:val="1"/>
    <w:semiHidden/>
    <w:qFormat/>
    <w:uiPriority w:val="0"/>
    <w:pPr>
      <w:shd w:val="clear" w:color="auto" w:fill="00008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7"/>
      </w:tabs>
      <w:snapToGrid w:val="0"/>
      <w:jc w:val="center"/>
    </w:pPr>
    <w:rPr>
      <w:sz w:val="18"/>
    </w:rPr>
  </w:style>
  <w:style w:type="character" w:styleId="8">
    <w:name w:val="page number"/>
    <w:basedOn w:val="7"/>
    <w:qFormat/>
    <w:uiPriority w:val="0"/>
  </w:style>
  <w:style w:type="character" w:customStyle="1" w:styleId="9">
    <w:name w:val="title"/>
    <w:uiPriority w:val="0"/>
  </w:style>
  <w:style w:type="paragraph" w:customStyle="1" w:styleId="10">
    <w:name w:val="_Style 3"/>
    <w:basedOn w:val="1"/>
    <w:qFormat/>
    <w:uiPriority w:val="0"/>
    <w:pPr>
      <w:widowControl/>
      <w:jc w:val="left"/>
    </w:pPr>
    <w:rPr>
      <w:rFonts w:ascii="Verdana" w:hAnsi="Verdana" w:eastAsia="仿宋_GB2312"/>
      <w:kern w:val="0"/>
      <w:sz w:val="28"/>
      <w:szCs w:val="20"/>
      <w:lang w:eastAsia="en-US"/>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671</Words>
  <Characters>3830</Characters>
  <Lines>31</Lines>
  <Paragraphs>8</Paragraphs>
  <TotalTime>0</TotalTime>
  <ScaleCrop>false</ScaleCrop>
  <LinksUpToDate>false</LinksUpToDate>
  <CharactersWithSpaces>4493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2020-10-12T14:35:00Z</dcterms:created>
  <dc:creator>310</dc:creator>
  <cp:lastModifiedBy>低唱潛吟心坎舞</cp:lastModifiedBy>
  <cp:lastPrinted>2020-10-14T03:21:00Z</cp:lastPrinted>
  <dcterms:modified xsi:type="dcterms:W3CDTF">2021-10-20T03:41:41Z</dcterms:modified>
  <dc:title>炎财发〔2017〕号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5A18F2FA7A004DF29DAEC8AA0943740D</vt:lpwstr>
  </property>
</Properties>
</file>