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炎陵县人力资源和社会保障局2020年度</w:t>
      </w:r>
    </w:p>
    <w:p>
      <w:pPr>
        <w:spacing w:after="0"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机关事业单位</w:t>
      </w:r>
      <w:bookmarkStart w:id="0" w:name="_GoBack"/>
      <w:bookmarkEnd w:id="0"/>
      <w:r>
        <w:rPr>
          <w:rFonts w:hint="eastAsia" w:ascii="方正小标宋简体" w:eastAsia="方正小标宋简体"/>
          <w:sz w:val="44"/>
          <w:szCs w:val="44"/>
        </w:rPr>
        <w:t>职业年金预算</w:t>
      </w:r>
    </w:p>
    <w:p>
      <w:pPr>
        <w:spacing w:after="0" w:line="560" w:lineRule="exact"/>
        <w:jc w:val="center"/>
        <w:rPr>
          <w:rFonts w:ascii="方正小标宋简体" w:eastAsia="方正小标宋简体"/>
          <w:sz w:val="44"/>
          <w:szCs w:val="44"/>
        </w:rPr>
      </w:pPr>
      <w:r>
        <w:rPr>
          <w:rFonts w:hint="eastAsia" w:ascii="方正小标宋简体" w:eastAsia="方正小标宋简体"/>
          <w:sz w:val="44"/>
          <w:szCs w:val="44"/>
        </w:rPr>
        <w:t>支出绩效报告</w:t>
      </w:r>
    </w:p>
    <w:p>
      <w:pPr>
        <w:spacing w:after="0" w:line="560" w:lineRule="exact"/>
        <w:jc w:val="center"/>
        <w:rPr>
          <w:rFonts w:ascii="楷体_GB2312" w:eastAsia="楷体_GB2312"/>
          <w:sz w:val="32"/>
          <w:szCs w:val="32"/>
        </w:rPr>
      </w:pPr>
    </w:p>
    <w:p>
      <w:pPr>
        <w:spacing w:after="0" w:line="560" w:lineRule="exact"/>
        <w:jc w:val="center"/>
        <w:rPr>
          <w:rFonts w:ascii="楷体_GB2312" w:eastAsia="楷体_GB2312"/>
          <w:sz w:val="32"/>
          <w:szCs w:val="32"/>
        </w:rPr>
      </w:pPr>
      <w:r>
        <w:rPr>
          <w:rFonts w:hint="eastAsia" w:ascii="楷体_GB2312" w:eastAsia="楷体_GB2312"/>
          <w:sz w:val="32"/>
          <w:szCs w:val="32"/>
        </w:rPr>
        <w:t>炎陵县社会保险服务中心</w:t>
      </w:r>
    </w:p>
    <w:p>
      <w:pPr>
        <w:spacing w:after="0" w:line="560" w:lineRule="exact"/>
        <w:jc w:val="center"/>
        <w:rPr>
          <w:rFonts w:ascii="楷体_GB2312" w:eastAsia="楷体_GB2312"/>
          <w:sz w:val="32"/>
          <w:szCs w:val="32"/>
        </w:rPr>
      </w:pPr>
    </w:p>
    <w:p>
      <w:pPr>
        <w:spacing w:after="0" w:line="560" w:lineRule="exact"/>
        <w:jc w:val="center"/>
        <w:rPr>
          <w:rFonts w:ascii="楷体_GB2312" w:eastAsia="楷体_GB2312"/>
          <w:sz w:val="32"/>
          <w:szCs w:val="32"/>
        </w:rPr>
      </w:pPr>
    </w:p>
    <w:p>
      <w:pPr>
        <w:spacing w:after="0" w:line="560" w:lineRule="exact"/>
        <w:ind w:firstLine="640" w:firstLineChars="200"/>
        <w:jc w:val="both"/>
        <w:rPr>
          <w:rFonts w:ascii="黑体" w:hAnsi="宋体" w:eastAsia="黑体"/>
          <w:sz w:val="32"/>
          <w:szCs w:val="32"/>
        </w:rPr>
      </w:pPr>
      <w:r>
        <w:rPr>
          <w:rFonts w:hint="eastAsia" w:ascii="黑体" w:hAnsi="宋体" w:eastAsia="黑体"/>
          <w:sz w:val="32"/>
          <w:szCs w:val="32"/>
        </w:rPr>
        <w:t>一、项目概况</w:t>
      </w:r>
    </w:p>
    <w:p>
      <w:pPr>
        <w:spacing w:after="0" w:line="560" w:lineRule="exact"/>
        <w:ind w:firstLine="643" w:firstLineChars="200"/>
        <w:jc w:val="both"/>
        <w:rPr>
          <w:rFonts w:ascii="仿宋_GB2312" w:hAnsi="宋体" w:eastAsia="仿宋_GB2312"/>
          <w:sz w:val="32"/>
          <w:szCs w:val="32"/>
        </w:rPr>
      </w:pPr>
      <w:r>
        <w:rPr>
          <w:rFonts w:hint="eastAsia" w:ascii="仿宋_GB2312" w:hAnsi="宋体" w:eastAsia="仿宋_GB2312"/>
          <w:b/>
          <w:sz w:val="32"/>
          <w:szCs w:val="32"/>
        </w:rPr>
        <w:t>（一）项目单位基本情况</w:t>
      </w:r>
      <w:r>
        <w:rPr>
          <w:rFonts w:hint="eastAsia" w:ascii="仿宋_GB2312" w:hAnsi="宋体" w:eastAsia="仿宋_GB2312"/>
          <w:sz w:val="32"/>
          <w:szCs w:val="32"/>
        </w:rPr>
        <w:t>：</w:t>
      </w:r>
      <w:r>
        <w:rPr>
          <w:rFonts w:hint="eastAsia" w:ascii="仿宋_GB2312" w:hAnsi="宋体" w:eastAsia="仿宋_GB2312" w:cs="Times New Roman"/>
          <w:sz w:val="32"/>
          <w:szCs w:val="32"/>
        </w:rPr>
        <w:t>2020年4月，设立炎陵县社会保险服务中心，为副科级全额拨款事业单位，归口县人力资源和社会保障局管理</w:t>
      </w:r>
      <w:r>
        <w:rPr>
          <w:rFonts w:hint="eastAsia" w:ascii="仿宋_GB2312" w:hAnsi="宋体" w:eastAsia="仿宋_GB2312"/>
          <w:sz w:val="32"/>
          <w:szCs w:val="32"/>
        </w:rPr>
        <w:t>。管理辖区内机关事业单位养老保险基金，基金的使用计划编制与执行，退休人员退休费的发放等相关工作。县人力资源和社会保障部门要切实履行机关事业单位养老保险工作行政主管部门的职责，会同有关部门做好机关事业单位养老保险的统筹规划、政策解读、统一管理、综合协调和监督检查等工作。</w:t>
      </w:r>
    </w:p>
    <w:p>
      <w:pPr>
        <w:spacing w:after="0" w:line="560" w:lineRule="exact"/>
        <w:ind w:firstLine="643" w:firstLineChars="200"/>
        <w:jc w:val="both"/>
        <w:rPr>
          <w:rFonts w:ascii="仿宋_GB2312" w:hAnsi="宋体" w:eastAsia="仿宋_GB2312"/>
          <w:sz w:val="32"/>
          <w:szCs w:val="32"/>
        </w:rPr>
      </w:pPr>
      <w:r>
        <w:rPr>
          <w:rFonts w:hint="eastAsia" w:ascii="仿宋_GB2312" w:hAnsi="宋体" w:eastAsia="仿宋_GB2312"/>
          <w:b/>
          <w:sz w:val="32"/>
          <w:szCs w:val="32"/>
        </w:rPr>
        <w:t>（二）项目基本情况简介：</w:t>
      </w:r>
      <w:r>
        <w:rPr>
          <w:rFonts w:hint="eastAsia" w:ascii="仿宋_GB2312" w:hAnsi="宋体" w:eastAsia="仿宋_GB2312"/>
          <w:sz w:val="32"/>
          <w:szCs w:val="32"/>
        </w:rPr>
        <w:t>根据国发[2015]2号、国发[2015]18号文件精神，结合我省实际，制定了全省机关事业单位工作人员养老保险制度改革的实施意见（湘政发[2015]38号）。本实施意见适用于按照公务员法管理的单位、参照公务员法管理的机关（单位）、事业单位及其编制内的工作人员；具体对改革的单位范围、人员范围、基金筹集、个人账户、职业年金计发等方面进行了明确规定；目标是改革现行机关事业单位工作人员退休保障制度，逐步建立独立于机关事业单位之外、资金来源多渠道、保障方式多层次、管理服务社会化的养老保险体系。</w:t>
      </w:r>
    </w:p>
    <w:p>
      <w:pPr>
        <w:spacing w:after="0" w:line="560" w:lineRule="exact"/>
        <w:ind w:firstLine="640" w:firstLineChars="200"/>
        <w:jc w:val="both"/>
        <w:rPr>
          <w:rFonts w:ascii="黑体" w:hAnsi="宋体" w:eastAsia="黑体" w:cs="Times New Roman"/>
          <w:sz w:val="32"/>
          <w:szCs w:val="32"/>
        </w:rPr>
      </w:pPr>
      <w:r>
        <w:rPr>
          <w:rFonts w:hint="eastAsia" w:ascii="黑体" w:hAnsi="宋体" w:eastAsia="黑体" w:cs="Times New Roman"/>
          <w:sz w:val="32"/>
          <w:szCs w:val="32"/>
        </w:rPr>
        <w:t>二、项目资金使用及管理情况</w:t>
      </w:r>
    </w:p>
    <w:p>
      <w:pPr>
        <w:spacing w:after="0" w:line="560" w:lineRule="exact"/>
        <w:ind w:firstLine="643" w:firstLineChars="200"/>
        <w:jc w:val="both"/>
        <w:rPr>
          <w:rFonts w:ascii="仿宋_GB2312" w:hAnsi="宋体" w:eastAsia="仿宋_GB2312" w:cs="Times New Roman"/>
          <w:sz w:val="32"/>
          <w:szCs w:val="32"/>
        </w:rPr>
      </w:pPr>
      <w:r>
        <w:rPr>
          <w:rFonts w:hint="eastAsia" w:ascii="仿宋_GB2312" w:hAnsi="宋体" w:eastAsia="仿宋_GB2312" w:cs="Times New Roman"/>
          <w:b/>
          <w:sz w:val="32"/>
          <w:szCs w:val="32"/>
        </w:rPr>
        <w:t>（一）项目资金安排落实情况：</w:t>
      </w:r>
      <w:r>
        <w:rPr>
          <w:rFonts w:hint="eastAsia" w:ascii="仿宋_GB2312" w:hAnsi="宋体" w:eastAsia="仿宋_GB2312" w:cs="Times New Roman"/>
          <w:sz w:val="32"/>
          <w:szCs w:val="32"/>
        </w:rPr>
        <w:t>预计2020年领取年金人数为963人，在职人员5086人，预计全年发放待遇258万元；按照职业年金办法，结合我县实际，全年预计需安排财政补助资金1942万元，主要用于参保人员个人账户实账计息，转移人员、死亡人员、退休人员的个人账户实账计息、虚账记实。</w:t>
      </w:r>
    </w:p>
    <w:p>
      <w:pPr>
        <w:spacing w:after="0" w:line="560" w:lineRule="exact"/>
        <w:ind w:firstLine="643" w:firstLineChars="200"/>
        <w:jc w:val="both"/>
        <w:rPr>
          <w:rFonts w:ascii="仿宋_GB2312" w:hAnsi="宋体" w:eastAsia="仿宋_GB2312" w:cs="Times New Roman"/>
          <w:sz w:val="32"/>
          <w:szCs w:val="32"/>
        </w:rPr>
      </w:pPr>
      <w:r>
        <w:rPr>
          <w:rFonts w:hint="eastAsia" w:ascii="仿宋_GB2312" w:hAnsi="宋体" w:eastAsia="仿宋_GB2312" w:cs="Times New Roman"/>
          <w:b/>
          <w:sz w:val="32"/>
          <w:szCs w:val="32"/>
        </w:rPr>
        <w:t>（二）项目资金实际使用情况：</w:t>
      </w:r>
      <w:r>
        <w:rPr>
          <w:rFonts w:hint="eastAsia" w:ascii="仿宋_GB2312" w:hAnsi="宋体" w:eastAsia="仿宋_GB2312" w:cs="Times New Roman"/>
          <w:sz w:val="32"/>
          <w:szCs w:val="32"/>
        </w:rPr>
        <w:t>2020年年末实际领取人员585人，全年发放年金待遇2.8万元（因为2020年11月才开始试发，且只发放了部分人员，拉低了领取人数和全年发放待遇），在职人员4697人，在职人员虚账计息全部到位。收到同级财政补助资金1942万元，财政配套资金的全额划入，确保了职业年金的正常运转，维护了参保人的利益。</w:t>
      </w:r>
    </w:p>
    <w:p>
      <w:pPr>
        <w:spacing w:after="0" w:line="560" w:lineRule="exact"/>
        <w:ind w:firstLine="442" w:firstLineChars="200"/>
        <w:jc w:val="both"/>
        <w:rPr>
          <w:rFonts w:ascii="仿宋_GB2312" w:hAnsi="宋体" w:eastAsia="仿宋_GB2312"/>
          <w:sz w:val="32"/>
          <w:szCs w:val="32"/>
        </w:rPr>
      </w:pPr>
      <w:r>
        <w:rPr>
          <w:rFonts w:ascii="仿宋_GB2312" w:hAnsi="宋体" w:eastAsia="仿宋_GB2312"/>
          <w:b/>
        </w:rPr>
        <w:pict>
          <v:shape id="_x0000_s1026" o:spid="_x0000_s1026" o:spt="202" type="#_x0000_t202" style="position:absolute;left:0pt;margin-left:-189pt;margin-top:0pt;height:31.2pt;width:90pt;z-index:251659264;mso-width-relative:page;mso-height-relative:page;" filled="f" stroked="f" coordsize="21600,21600">
            <v:path/>
            <v:fill on="f" focussize="0,0"/>
            <v:stroke on="f" joinstyle="miter"/>
            <v:imagedata o:title=""/>
            <o:lock v:ext="edit"/>
            <v:textbox>
              <w:txbxContent>
                <w:p>
                  <w:pPr>
                    <w:rPr>
                      <w:rFonts w:ascii="黑体" w:eastAsia="黑体"/>
                    </w:rPr>
                  </w:pPr>
                </w:p>
              </w:txbxContent>
            </v:textbox>
          </v:shape>
        </w:pict>
      </w:r>
      <w:r>
        <w:rPr>
          <w:rFonts w:hint="eastAsia" w:ascii="仿宋_GB2312" w:hAnsi="宋体" w:eastAsia="仿宋_GB2312" w:cs="宋体"/>
          <w:b/>
          <w:color w:val="000000"/>
          <w:sz w:val="32"/>
          <w:szCs w:val="32"/>
        </w:rPr>
        <w:t>（三）</w:t>
      </w:r>
      <w:r>
        <w:rPr>
          <w:rFonts w:hint="eastAsia" w:ascii="仿宋_GB2312" w:hAnsi="宋体" w:eastAsia="仿宋_GB2312"/>
          <w:b/>
          <w:sz w:val="32"/>
          <w:szCs w:val="32"/>
        </w:rPr>
        <w:t>项目资金管理情况：</w:t>
      </w:r>
      <w:r>
        <w:rPr>
          <w:rFonts w:hint="eastAsia" w:ascii="仿宋_GB2312" w:hAnsi="宋体" w:eastAsia="仿宋_GB2312"/>
          <w:sz w:val="32"/>
          <w:szCs w:val="32"/>
        </w:rPr>
        <w:t>为加强基金管理，切实维护参保人员的合法权益，确保基金安全运行，社保中心加强了制度建设，制定了一系列管理制度，主要有《内控制度实施细则》、《办事公开制度》、《工作纪律制度》、《基金财务管理制度》、《廉政建设制度》、《档案保密制度》、《信息披露制度》、《信息系统及设备日常维护制度》等制度，这些制度的建立健全，为确保基金安全提供了强有力的制度保证。</w:t>
      </w:r>
    </w:p>
    <w:p>
      <w:pPr>
        <w:spacing w:after="0" w:line="560" w:lineRule="exact"/>
        <w:ind w:firstLine="640" w:firstLineChars="200"/>
        <w:jc w:val="both"/>
        <w:rPr>
          <w:rFonts w:ascii="黑体" w:hAnsi="宋体" w:eastAsia="黑体" w:cs="宋体"/>
          <w:color w:val="000000"/>
          <w:sz w:val="32"/>
          <w:szCs w:val="32"/>
        </w:rPr>
      </w:pPr>
      <w:r>
        <w:rPr>
          <w:rFonts w:hint="eastAsia" w:ascii="黑体" w:hAnsi="宋体" w:eastAsia="黑体" w:cs="宋体"/>
          <w:color w:val="000000"/>
          <w:sz w:val="32"/>
          <w:szCs w:val="32"/>
        </w:rPr>
        <w:t>三、项目组织实施情况</w:t>
      </w:r>
    </w:p>
    <w:p>
      <w:pPr>
        <w:spacing w:after="0" w:line="560" w:lineRule="exact"/>
        <w:ind w:firstLine="643" w:firstLineChars="200"/>
        <w:jc w:val="both"/>
        <w:rPr>
          <w:rFonts w:ascii="仿宋_GB2312" w:hAnsi="宋体" w:eastAsia="仿宋_GB2312" w:cs="宋体"/>
          <w:b/>
          <w:color w:val="000000"/>
          <w:sz w:val="32"/>
          <w:szCs w:val="32"/>
        </w:rPr>
      </w:pPr>
      <w:r>
        <w:rPr>
          <w:rFonts w:hint="eastAsia" w:ascii="仿宋_GB2312" w:hAnsi="宋体" w:eastAsia="仿宋_GB2312" w:cs="宋体"/>
          <w:b/>
          <w:color w:val="000000"/>
          <w:sz w:val="32"/>
          <w:szCs w:val="32"/>
        </w:rPr>
        <w:t>（一）加强待遇支付管理</w:t>
      </w:r>
    </w:p>
    <w:p>
      <w:pPr>
        <w:spacing w:after="0" w:line="560" w:lineRule="exact"/>
        <w:ind w:firstLine="640" w:firstLineChars="200"/>
        <w:jc w:val="both"/>
        <w:rPr>
          <w:rFonts w:ascii="仿宋_GB2312" w:eastAsia="仿宋_GB2312"/>
          <w:sz w:val="32"/>
          <w:szCs w:val="32"/>
        </w:rPr>
      </w:pPr>
      <w:r>
        <w:rPr>
          <w:rFonts w:hint="eastAsia" w:ascii="仿宋_GB2312" w:eastAsia="仿宋_GB2312"/>
          <w:sz w:val="32"/>
          <w:szCs w:val="32"/>
        </w:rPr>
        <w:t>县级经办机构核定参保人员、转移人员、死亡人员、退休人员等个人账户数据，加强个人账户管理，按年及时进行虚账记实、实账记息，待遇由省中心统一按月发放。</w:t>
      </w:r>
    </w:p>
    <w:p>
      <w:pPr>
        <w:spacing w:after="0" w:line="560" w:lineRule="exact"/>
        <w:ind w:firstLine="643" w:firstLineChars="200"/>
        <w:jc w:val="both"/>
        <w:rPr>
          <w:rFonts w:ascii="仿宋_GB2312" w:hAnsi="宋体" w:eastAsia="仿宋_GB2312" w:cs="宋体"/>
          <w:b/>
          <w:color w:val="000000"/>
          <w:sz w:val="32"/>
          <w:szCs w:val="32"/>
        </w:rPr>
      </w:pPr>
      <w:r>
        <w:rPr>
          <w:rFonts w:hint="eastAsia" w:ascii="仿宋_GB2312" w:hAnsi="宋体" w:eastAsia="仿宋_GB2312" w:cs="宋体"/>
          <w:b/>
          <w:color w:val="000000"/>
          <w:sz w:val="32"/>
          <w:szCs w:val="32"/>
        </w:rPr>
        <w:t>（二）严守基金管理制度</w:t>
      </w:r>
    </w:p>
    <w:p>
      <w:pPr>
        <w:spacing w:after="0" w:line="560" w:lineRule="exact"/>
        <w:ind w:firstLine="643" w:firstLineChars="200"/>
        <w:jc w:val="both"/>
        <w:rPr>
          <w:rFonts w:ascii="仿宋_GB2312" w:hAnsi="宋体" w:eastAsia="仿宋_GB2312"/>
          <w:sz w:val="32"/>
          <w:szCs w:val="32"/>
        </w:rPr>
      </w:pPr>
      <w:r>
        <w:rPr>
          <w:rFonts w:hint="eastAsia" w:ascii="仿宋_GB2312" w:eastAsia="仿宋_GB2312"/>
          <w:b/>
          <w:sz w:val="32"/>
          <w:szCs w:val="32"/>
        </w:rPr>
        <w:t>一是</w:t>
      </w:r>
      <w:r>
        <w:rPr>
          <w:rFonts w:hint="eastAsia" w:ascii="仿宋_GB2312" w:eastAsia="仿宋_GB2312"/>
          <w:sz w:val="32"/>
          <w:szCs w:val="32"/>
        </w:rPr>
        <w:t>严格执行国家统一的基金财务会计制度，严格落实基金预决算管理制度，基金纳入财政专户管理，实行收支两条线。</w:t>
      </w:r>
      <w:r>
        <w:rPr>
          <w:rFonts w:hint="eastAsia" w:ascii="仿宋_GB2312" w:eastAsia="仿宋_GB2312"/>
          <w:b/>
          <w:sz w:val="32"/>
          <w:szCs w:val="32"/>
        </w:rPr>
        <w:t>二是</w:t>
      </w:r>
      <w:r>
        <w:rPr>
          <w:rFonts w:hint="eastAsia" w:ascii="仿宋_GB2312" w:eastAsia="仿宋_GB2312"/>
          <w:sz w:val="32"/>
          <w:szCs w:val="32"/>
        </w:rPr>
        <w:t>基金的存储都是在国有商业银行，无违规开立和使用收入户、支出户和财政专户的情况。社会保险基金均享受了优惠利率。</w:t>
      </w:r>
      <w:r>
        <w:rPr>
          <w:rFonts w:hint="eastAsia" w:ascii="仿宋_GB2312" w:eastAsia="仿宋_GB2312"/>
          <w:b/>
          <w:sz w:val="32"/>
          <w:szCs w:val="32"/>
        </w:rPr>
        <w:t>三是</w:t>
      </w:r>
      <w:r>
        <w:rPr>
          <w:rFonts w:hint="eastAsia" w:ascii="仿宋_GB2312" w:eastAsia="仿宋_GB2312"/>
          <w:sz w:val="32"/>
          <w:szCs w:val="32"/>
        </w:rPr>
        <w:t>按照人社部和财政部要求，年初编制上年度基金决算，反应上年度基金收入、支出、结余；年末编制下年度基金预算，预计下年度的基金收入、支出、结余；每月编制基金月报表，每季度编制基金执行情况表，反应同期增幅、基金运行情况。</w:t>
      </w:r>
      <w:r>
        <w:rPr>
          <w:rFonts w:hint="eastAsia" w:ascii="仿宋_GB2312" w:eastAsia="仿宋_GB2312"/>
          <w:b/>
          <w:sz w:val="32"/>
          <w:szCs w:val="32"/>
        </w:rPr>
        <w:t>四是</w:t>
      </w:r>
      <w:r>
        <w:rPr>
          <w:rFonts w:hint="eastAsia" w:ascii="仿宋_GB2312" w:eastAsia="仿宋_GB2312"/>
          <w:sz w:val="32"/>
          <w:szCs w:val="32"/>
        </w:rPr>
        <w:t>按新会计制度及相关财务管理办法，会计核算是以经办业务为依据，除了利息、收入户上解基金、财政拨付用款外，其他业务必须经过业务系统登帐，再传递到财务系统进行记账，各种原始凭证真实、合法、有效，做到账账相符、账实相符。</w:t>
      </w:r>
      <w:r>
        <w:rPr>
          <w:rFonts w:hint="eastAsia" w:ascii="仿宋_GB2312" w:eastAsia="仿宋_GB2312"/>
          <w:b/>
          <w:sz w:val="32"/>
          <w:szCs w:val="32"/>
        </w:rPr>
        <w:t>五是</w:t>
      </w:r>
      <w:r>
        <w:rPr>
          <w:rFonts w:hint="eastAsia" w:ascii="仿宋_GB2312" w:eastAsia="仿宋_GB2312"/>
          <w:sz w:val="32"/>
          <w:szCs w:val="32"/>
        </w:rPr>
        <w:t>会计记账凭证、会计报表和其它会计资料等会计信息合法、真实、准确，并能定期归档。</w:t>
      </w:r>
      <w:r>
        <w:rPr>
          <w:rFonts w:hint="eastAsia" w:ascii="仿宋_GB2312" w:eastAsia="仿宋_GB2312"/>
          <w:b/>
          <w:sz w:val="32"/>
          <w:szCs w:val="32"/>
        </w:rPr>
        <w:t>六是</w:t>
      </w:r>
      <w:r>
        <w:rPr>
          <w:rFonts w:hint="eastAsia" w:ascii="仿宋_GB2312" w:eastAsia="仿宋_GB2312"/>
          <w:sz w:val="32"/>
          <w:szCs w:val="32"/>
        </w:rPr>
        <w:t>按月与基金开户银行，财政部门核对基金的收付情况，基金收入能及时入账，记账。</w:t>
      </w:r>
      <w:r>
        <w:rPr>
          <w:rFonts w:hint="eastAsia" w:ascii="仿宋_GB2312" w:eastAsia="仿宋_GB2312"/>
          <w:b/>
          <w:sz w:val="32"/>
          <w:szCs w:val="32"/>
        </w:rPr>
        <w:t>七是</w:t>
      </w:r>
      <w:r>
        <w:rPr>
          <w:rFonts w:hint="eastAsia" w:ascii="仿宋_GB2312" w:eastAsia="仿宋_GB2312"/>
          <w:sz w:val="32"/>
          <w:szCs w:val="32"/>
        </w:rPr>
        <w:t>按照省里统一要求同时启用了新的财务系统和业务系统，及时进行了学习，掌握了操作方法与流程。</w:t>
      </w:r>
      <w:r>
        <w:rPr>
          <w:rFonts w:hint="eastAsia" w:ascii="仿宋_GB2312" w:eastAsia="仿宋_GB2312"/>
          <w:b/>
          <w:sz w:val="32"/>
          <w:szCs w:val="32"/>
        </w:rPr>
        <w:t>八是</w:t>
      </w:r>
      <w:r>
        <w:rPr>
          <w:rFonts w:hint="eastAsia" w:ascii="仿宋_GB2312" w:eastAsia="仿宋_GB2312"/>
          <w:sz w:val="32"/>
          <w:szCs w:val="32"/>
        </w:rPr>
        <w:t>没有使用现金和现金支票方式支付待遇的情况，没有将基金用于经办人员和工作经费的情况。没有截留、挤占、挪用、贪污社会保险基金的情况。</w:t>
      </w:r>
    </w:p>
    <w:p>
      <w:pPr>
        <w:spacing w:after="0" w:line="560" w:lineRule="exact"/>
        <w:ind w:firstLine="643" w:firstLineChars="200"/>
        <w:jc w:val="both"/>
        <w:rPr>
          <w:rFonts w:ascii="仿宋_GB2312" w:hAnsi="宋体" w:eastAsia="仿宋_GB2312"/>
          <w:b/>
          <w:sz w:val="32"/>
          <w:szCs w:val="32"/>
        </w:rPr>
      </w:pPr>
      <w:r>
        <w:rPr>
          <w:rFonts w:hint="eastAsia" w:ascii="仿宋_GB2312" w:hAnsi="宋体" w:eastAsia="仿宋_GB2312"/>
          <w:b/>
          <w:sz w:val="32"/>
          <w:szCs w:val="32"/>
        </w:rPr>
        <w:t>（三）提升经办服务管理能力</w:t>
      </w:r>
    </w:p>
    <w:p>
      <w:pPr>
        <w:spacing w:after="0" w:line="560" w:lineRule="exact"/>
        <w:ind w:firstLine="640" w:firstLineChars="200"/>
        <w:jc w:val="both"/>
        <w:rPr>
          <w:rFonts w:ascii="仿宋_GB2312" w:eastAsia="仿宋_GB2312"/>
          <w:sz w:val="32"/>
          <w:szCs w:val="32"/>
        </w:rPr>
      </w:pPr>
      <w:r>
        <w:rPr>
          <w:rFonts w:hint="eastAsia" w:ascii="仿宋_GB2312" w:eastAsia="仿宋_GB2312"/>
          <w:sz w:val="32"/>
          <w:szCs w:val="32"/>
        </w:rPr>
        <w:t>严格落实“一事双岗双审”制度，按照业务与财务不兼容的原则设置了业务初审和复审岗位、财务经办和复核岗位。依托单位对享受待遇人员定期进行资格认证和审查，防止虚报冒领现象的发生。业务与财务部门实行定期对账，确保业务财务数据一致。没有伪造、篡改、擅自销毁参保人员社会保险缴费记录、待遇享受记录、个人权益记录等社会保险数据资料的现象。没有违规更改社会保险信息及违规调整待遇参数设置的现象。</w:t>
      </w:r>
    </w:p>
    <w:p>
      <w:pPr>
        <w:spacing w:after="0" w:line="560" w:lineRule="exact"/>
        <w:ind w:firstLine="640" w:firstLineChars="200"/>
        <w:jc w:val="both"/>
        <w:rPr>
          <w:rFonts w:ascii="黑体" w:hAnsi="宋体" w:eastAsia="黑体"/>
          <w:sz w:val="32"/>
          <w:szCs w:val="32"/>
        </w:rPr>
      </w:pPr>
      <w:r>
        <w:rPr>
          <w:rFonts w:hint="eastAsia" w:ascii="黑体" w:hAnsi="宋体" w:eastAsia="黑体"/>
          <w:sz w:val="32"/>
          <w:szCs w:val="32"/>
        </w:rPr>
        <w:t>三、存在的问题和建议</w:t>
      </w:r>
    </w:p>
    <w:p>
      <w:pPr>
        <w:spacing w:after="0" w:line="560" w:lineRule="exact"/>
        <w:ind w:firstLine="643" w:firstLineChars="200"/>
        <w:jc w:val="both"/>
        <w:rPr>
          <w:rFonts w:ascii="仿宋_GB2312" w:hAnsi="仿宋_GB2312" w:eastAsia="仿宋_GB2312" w:cs="仿宋_GB2312"/>
          <w:kern w:val="1"/>
          <w:sz w:val="32"/>
          <w:szCs w:val="32"/>
        </w:rPr>
      </w:pPr>
      <w:r>
        <w:rPr>
          <w:rFonts w:hint="eastAsia" w:ascii="仿宋_GB2312" w:hAnsi="仿宋_GB2312" w:eastAsia="仿宋_GB2312" w:cs="仿宋_GB2312"/>
          <w:b/>
          <w:kern w:val="1"/>
          <w:sz w:val="32"/>
          <w:szCs w:val="32"/>
        </w:rPr>
        <w:t>业务经办工作人员紧张</w:t>
      </w:r>
      <w:r>
        <w:rPr>
          <w:rFonts w:hint="eastAsia" w:ascii="楷体_GB2312" w:hAnsi="仿宋_GB2312" w:eastAsia="楷体_GB2312" w:cs="仿宋_GB2312"/>
          <w:kern w:val="1"/>
          <w:sz w:val="32"/>
          <w:szCs w:val="32"/>
        </w:rPr>
        <w:t>。</w:t>
      </w:r>
      <w:r>
        <w:rPr>
          <w:rFonts w:hint="eastAsia" w:ascii="仿宋_GB2312" w:hAnsi="仿宋_GB2312" w:eastAsia="仿宋_GB2312" w:cs="仿宋_GB2312"/>
          <w:kern w:val="1"/>
          <w:sz w:val="32"/>
          <w:szCs w:val="32"/>
        </w:rPr>
        <w:t>改革期内大量的基础性工作、历史遗留问题要解决，同时建立了职业年金制度，加之群众对窗口服务水平要求提高，社保中心日常工作量逐年增大，但目前机关养老和职业年金分别仅有一名业务工作人员，导致社保中心人少事多困难愈加突出，严重影响了机关养老工作开展，不利于改革的平稳过渡和基金安全。</w:t>
      </w:r>
    </w:p>
    <w:p>
      <w:pPr>
        <w:spacing w:after="0" w:line="560" w:lineRule="exact"/>
        <w:ind w:firstLine="600" w:firstLineChars="200"/>
        <w:jc w:val="both"/>
        <w:rPr>
          <w:rFonts w:ascii="仿宋_GB2312" w:eastAsia="仿宋_GB2312"/>
          <w:sz w:val="30"/>
          <w:szCs w:val="30"/>
        </w:rPr>
      </w:pPr>
    </w:p>
    <w:p>
      <w:pPr>
        <w:spacing w:after="0" w:line="560" w:lineRule="exact"/>
        <w:ind w:firstLine="1680" w:firstLineChars="200"/>
        <w:jc w:val="both"/>
        <w:rPr>
          <w:rFonts w:ascii="仿宋_GB2312" w:eastAsia="仿宋_GB2312"/>
          <w:sz w:val="84"/>
          <w:szCs w:val="84"/>
        </w:rPr>
      </w:pPr>
    </w:p>
    <w:p>
      <w:pPr>
        <w:spacing w:after="0" w:line="560" w:lineRule="exact"/>
        <w:ind w:firstLine="1680" w:firstLineChars="200"/>
        <w:jc w:val="both"/>
        <w:rPr>
          <w:rFonts w:ascii="仿宋_GB2312" w:eastAsia="仿宋_GB2312"/>
          <w:sz w:val="84"/>
          <w:szCs w:val="84"/>
        </w:rPr>
      </w:pPr>
    </w:p>
    <w:p>
      <w:pPr>
        <w:spacing w:after="0" w:line="560" w:lineRule="exact"/>
        <w:ind w:firstLine="1680" w:firstLineChars="200"/>
        <w:jc w:val="both"/>
        <w:rPr>
          <w:rFonts w:ascii="仿宋_GB2312" w:eastAsia="仿宋_GB2312"/>
          <w:sz w:val="84"/>
          <w:szCs w:val="84"/>
        </w:rPr>
      </w:pPr>
    </w:p>
    <w:p>
      <w:pPr>
        <w:spacing w:after="0" w:line="560" w:lineRule="exact"/>
        <w:ind w:firstLine="1680" w:firstLineChars="200"/>
        <w:jc w:val="both"/>
        <w:rPr>
          <w:rFonts w:ascii="仿宋_GB2312" w:eastAsia="仿宋_GB2312"/>
          <w:sz w:val="84"/>
          <w:szCs w:val="84"/>
        </w:rPr>
      </w:pPr>
    </w:p>
    <w:tbl>
      <w:tblPr>
        <w:tblStyle w:val="5"/>
        <w:tblW w:w="9640" w:type="dxa"/>
        <w:tblInd w:w="-564" w:type="dxa"/>
        <w:tblLayout w:type="fixed"/>
        <w:tblCellMar>
          <w:top w:w="0" w:type="dxa"/>
          <w:left w:w="0" w:type="dxa"/>
          <w:bottom w:w="0" w:type="dxa"/>
          <w:right w:w="0" w:type="dxa"/>
        </w:tblCellMar>
      </w:tblPr>
      <w:tblGrid>
        <w:gridCol w:w="9640"/>
      </w:tblGrid>
      <w:tr>
        <w:tblPrEx>
          <w:tblCellMar>
            <w:top w:w="0" w:type="dxa"/>
            <w:left w:w="0" w:type="dxa"/>
            <w:bottom w:w="0" w:type="dxa"/>
            <w:right w:w="0" w:type="dxa"/>
          </w:tblCellMar>
        </w:tblPrEx>
        <w:trPr>
          <w:trHeight w:val="13231" w:hRule="atLeast"/>
        </w:trPr>
        <w:tc>
          <w:tcPr>
            <w:tcW w:w="9640" w:type="dxa"/>
            <w:tcBorders>
              <w:top w:val="nil"/>
              <w:left w:val="nil"/>
              <w:bottom w:val="nil"/>
              <w:right w:val="nil"/>
            </w:tcBorders>
            <w:noWrap w:val="0"/>
            <w:tcMar>
              <w:top w:w="15" w:type="dxa"/>
              <w:left w:w="15" w:type="dxa"/>
              <w:right w:w="15" w:type="dxa"/>
            </w:tcMar>
            <w:vAlign w:val="center"/>
          </w:tcPr>
          <w:p>
            <w:pPr>
              <w:widowControl/>
              <w:spacing w:line="240" w:lineRule="exact"/>
              <w:textAlignment w:val="center"/>
              <w:rPr>
                <w:rFonts w:hAnsi="黑体" w:eastAsia="黑体"/>
                <w:kern w:val="0"/>
                <w:sz w:val="28"/>
                <w:szCs w:val="28"/>
              </w:rPr>
            </w:pPr>
            <w:r>
              <w:rPr>
                <w:rFonts w:hint="eastAsia" w:hAnsi="黑体" w:eastAsia="黑体"/>
                <w:kern w:val="0"/>
                <w:sz w:val="28"/>
                <w:szCs w:val="28"/>
              </w:rPr>
              <w:t>附</w:t>
            </w:r>
            <w:r>
              <w:rPr>
                <w:rFonts w:hAnsi="黑体" w:eastAsia="黑体"/>
                <w:kern w:val="0"/>
                <w:sz w:val="28"/>
                <w:szCs w:val="28"/>
              </w:rPr>
              <w:t>件</w:t>
            </w:r>
            <w:r>
              <w:rPr>
                <w:rFonts w:eastAsia="黑体"/>
                <w:kern w:val="0"/>
                <w:sz w:val="28"/>
                <w:szCs w:val="28"/>
              </w:rPr>
              <w:t>2</w:t>
            </w:r>
          </w:p>
          <w:tbl>
            <w:tblPr>
              <w:tblStyle w:val="5"/>
              <w:tblW w:w="9283" w:type="dxa"/>
              <w:jc w:val="center"/>
              <w:tblLayout w:type="fixed"/>
              <w:tblCellMar>
                <w:top w:w="0" w:type="dxa"/>
                <w:left w:w="108" w:type="dxa"/>
                <w:bottom w:w="0" w:type="dxa"/>
                <w:right w:w="108" w:type="dxa"/>
              </w:tblCellMar>
            </w:tblPr>
            <w:tblGrid>
              <w:gridCol w:w="1178"/>
              <w:gridCol w:w="985"/>
              <w:gridCol w:w="1073"/>
              <w:gridCol w:w="110"/>
              <w:gridCol w:w="1166"/>
              <w:gridCol w:w="992"/>
              <w:gridCol w:w="1134"/>
              <w:gridCol w:w="573"/>
              <w:gridCol w:w="795"/>
              <w:gridCol w:w="1277"/>
            </w:tblGrid>
            <w:tr>
              <w:trPr>
                <w:trHeight w:val="696" w:hRule="atLeast"/>
                <w:jc w:val="center"/>
              </w:trPr>
              <w:tc>
                <w:tcPr>
                  <w:tcW w:w="9283" w:type="dxa"/>
                  <w:gridSpan w:val="10"/>
                  <w:tcBorders>
                    <w:top w:val="nil"/>
                    <w:left w:val="nil"/>
                    <w:bottom w:val="nil"/>
                    <w:right w:val="nil"/>
                  </w:tcBorders>
                  <w:noWrap/>
                  <w:vAlign w:val="center"/>
                </w:tcPr>
                <w:p>
                  <w:pPr>
                    <w:widowControl/>
                    <w:spacing w:line="560" w:lineRule="exact"/>
                    <w:jc w:val="center"/>
                    <w:rPr>
                      <w:rFonts w:eastAsia="方正小标宋_GBK"/>
                      <w:color w:val="000000"/>
                      <w:kern w:val="0"/>
                      <w:sz w:val="36"/>
                      <w:szCs w:val="36"/>
                    </w:rPr>
                  </w:pPr>
                  <w:r>
                    <w:rPr>
                      <w:rFonts w:eastAsia="方正小标宋_GBK"/>
                      <w:color w:val="000000"/>
                      <w:kern w:val="0"/>
                      <w:sz w:val="36"/>
                      <w:szCs w:val="36"/>
                    </w:rPr>
                    <w:t>预算支出绩效自评表</w:t>
                  </w:r>
                </w:p>
              </w:tc>
            </w:tr>
            <w:tr>
              <w:tblPrEx>
                <w:tblCellMar>
                  <w:top w:w="0" w:type="dxa"/>
                  <w:left w:w="108" w:type="dxa"/>
                  <w:bottom w:w="0" w:type="dxa"/>
                  <w:right w:w="108" w:type="dxa"/>
                </w:tblCellMar>
              </w:tblPrEx>
              <w:trPr>
                <w:trHeight w:val="270" w:hRule="atLeast"/>
                <w:jc w:val="center"/>
              </w:trPr>
              <w:tc>
                <w:tcPr>
                  <w:tcW w:w="9283" w:type="dxa"/>
                  <w:gridSpan w:val="10"/>
                  <w:tcBorders>
                    <w:top w:val="nil"/>
                    <w:left w:val="nil"/>
                    <w:bottom w:val="single" w:color="auto" w:sz="4" w:space="0"/>
                    <w:right w:val="nil"/>
                  </w:tcBorders>
                  <w:noWrap/>
                  <w:vAlign w:val="center"/>
                </w:tcPr>
                <w:p>
                  <w:pPr>
                    <w:widowControl/>
                    <w:spacing w:line="200" w:lineRule="exact"/>
                    <w:jc w:val="center"/>
                    <w:rPr>
                      <w:color w:val="000000"/>
                      <w:kern w:val="0"/>
                      <w:sz w:val="22"/>
                    </w:rPr>
                  </w:pPr>
                  <w:r>
                    <w:rPr>
                      <w:color w:val="000000"/>
                      <w:kern w:val="0"/>
                      <w:sz w:val="22"/>
                    </w:rPr>
                    <w:t xml:space="preserve">（  </w:t>
                  </w:r>
                  <w:r>
                    <w:rPr>
                      <w:rFonts w:hint="eastAsia"/>
                      <w:color w:val="000000"/>
                      <w:kern w:val="0"/>
                      <w:sz w:val="22"/>
                    </w:rPr>
                    <w:t>2020</w:t>
                  </w:r>
                  <w:r>
                    <w:rPr>
                      <w:color w:val="000000"/>
                      <w:kern w:val="0"/>
                      <w:sz w:val="22"/>
                    </w:rPr>
                    <w:t xml:space="preserve"> 年度）</w:t>
                  </w:r>
                </w:p>
              </w:tc>
            </w:tr>
            <w:tr>
              <w:tblPrEx>
                <w:tblCellMar>
                  <w:top w:w="0" w:type="dxa"/>
                  <w:left w:w="108" w:type="dxa"/>
                  <w:bottom w:w="0" w:type="dxa"/>
                  <w:right w:w="108" w:type="dxa"/>
                </w:tblCellMar>
              </w:tblPrEx>
              <w:trPr>
                <w:trHeight w:val="480" w:hRule="atLeast"/>
                <w:jc w:val="center"/>
              </w:trPr>
              <w:tc>
                <w:tcPr>
                  <w:tcW w:w="1178" w:type="dxa"/>
                  <w:tcBorders>
                    <w:top w:val="nil"/>
                    <w:left w:val="single" w:color="auto" w:sz="4" w:space="0"/>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项目支</w:t>
                  </w:r>
                </w:p>
                <w:p>
                  <w:pPr>
                    <w:widowControl/>
                    <w:spacing w:line="200" w:lineRule="exact"/>
                    <w:jc w:val="center"/>
                    <w:rPr>
                      <w:rFonts w:eastAsia="仿宋_GB2312"/>
                      <w:color w:val="000000"/>
                      <w:kern w:val="0"/>
                      <w:szCs w:val="21"/>
                    </w:rPr>
                  </w:pPr>
                  <w:r>
                    <w:rPr>
                      <w:rFonts w:eastAsia="仿宋_GB2312"/>
                      <w:color w:val="000000"/>
                      <w:kern w:val="0"/>
                      <w:szCs w:val="21"/>
                    </w:rPr>
                    <w:t>出名称</w:t>
                  </w:r>
                </w:p>
              </w:tc>
              <w:tc>
                <w:tcPr>
                  <w:tcW w:w="8105" w:type="dxa"/>
                  <w:gridSpan w:val="9"/>
                  <w:tcBorders>
                    <w:top w:val="single" w:color="auto" w:sz="4" w:space="0"/>
                    <w:left w:val="nil"/>
                    <w:bottom w:val="single" w:color="auto" w:sz="4" w:space="0"/>
                    <w:right w:val="single" w:color="000000"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职业年金</w:t>
                  </w:r>
                </w:p>
              </w:tc>
            </w:tr>
            <w:tr>
              <w:tblPrEx>
                <w:tblCellMar>
                  <w:top w:w="0" w:type="dxa"/>
                  <w:left w:w="108" w:type="dxa"/>
                  <w:bottom w:w="0" w:type="dxa"/>
                  <w:right w:w="108" w:type="dxa"/>
                </w:tblCellMar>
              </w:tblPrEx>
              <w:trPr>
                <w:trHeight w:val="340" w:hRule="atLeast"/>
                <w:jc w:val="center"/>
              </w:trPr>
              <w:tc>
                <w:tcPr>
                  <w:tcW w:w="1178" w:type="dxa"/>
                  <w:tcBorders>
                    <w:top w:val="nil"/>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主管部门</w:t>
                  </w:r>
                </w:p>
              </w:tc>
              <w:tc>
                <w:tcPr>
                  <w:tcW w:w="4326" w:type="dxa"/>
                  <w:gridSpan w:val="5"/>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炎陵县人力资源和社会保障局</w:t>
                  </w:r>
                </w:p>
              </w:tc>
              <w:tc>
                <w:tcPr>
                  <w:tcW w:w="1134" w:type="dxa"/>
                  <w:tcBorders>
                    <w:top w:val="single" w:color="auto" w:sz="4" w:space="0"/>
                    <w:left w:val="nil"/>
                    <w:bottom w:val="single" w:color="auto" w:sz="4" w:space="0"/>
                    <w:right w:val="single" w:color="000000"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实施单位</w:t>
                  </w:r>
                </w:p>
              </w:tc>
              <w:tc>
                <w:tcPr>
                  <w:tcW w:w="2645" w:type="dxa"/>
                  <w:gridSpan w:val="3"/>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炎陵县社会保险服务中心</w:t>
                  </w:r>
                </w:p>
              </w:tc>
            </w:tr>
            <w:tr>
              <w:trPr>
                <w:trHeight w:val="490" w:hRule="atLeast"/>
                <w:jc w:val="center"/>
              </w:trPr>
              <w:tc>
                <w:tcPr>
                  <w:tcW w:w="1178" w:type="dxa"/>
                  <w:vMerge w:val="restart"/>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项目资金</w:t>
                  </w:r>
                  <w:r>
                    <w:rPr>
                      <w:rFonts w:eastAsia="仿宋_GB2312"/>
                      <w:color w:val="000000"/>
                      <w:kern w:val="0"/>
                      <w:szCs w:val="21"/>
                    </w:rPr>
                    <w:br w:type="textWrapping"/>
                  </w:r>
                  <w:r>
                    <w:rPr>
                      <w:rFonts w:eastAsia="仿宋_GB2312"/>
                      <w:color w:val="000000"/>
                      <w:kern w:val="0"/>
                      <w:szCs w:val="21"/>
                    </w:rPr>
                    <w:t>（万元）</w:t>
                  </w:r>
                </w:p>
              </w:tc>
              <w:tc>
                <w:tcPr>
                  <w:tcW w:w="2058" w:type="dxa"/>
                  <w:gridSpan w:val="2"/>
                  <w:tcBorders>
                    <w:top w:val="nil"/>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c>
                <w:tcPr>
                  <w:tcW w:w="1276" w:type="dxa"/>
                  <w:gridSpan w:val="2"/>
                  <w:tcBorders>
                    <w:top w:val="nil"/>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年初预算数</w:t>
                  </w:r>
                </w:p>
              </w:tc>
              <w:tc>
                <w:tcPr>
                  <w:tcW w:w="992" w:type="dxa"/>
                  <w:tcBorders>
                    <w:top w:val="nil"/>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全年预算数</w:t>
                  </w:r>
                </w:p>
              </w:tc>
              <w:tc>
                <w:tcPr>
                  <w:tcW w:w="1134" w:type="dxa"/>
                  <w:tcBorders>
                    <w:top w:val="nil"/>
                    <w:left w:val="nil"/>
                    <w:bottom w:val="single" w:color="auto" w:sz="4" w:space="0"/>
                    <w:right w:val="single" w:color="auto" w:sz="4" w:space="0"/>
                  </w:tcBorders>
                  <w:noWrap w:val="0"/>
                  <w:vAlign w:val="center"/>
                </w:tcPr>
                <w:p>
                  <w:pPr>
                    <w:spacing w:line="200" w:lineRule="exact"/>
                    <w:jc w:val="center"/>
                    <w:rPr>
                      <w:rFonts w:eastAsia="仿宋_GB2312"/>
                      <w:szCs w:val="21"/>
                    </w:rPr>
                  </w:pPr>
                  <w:r>
                    <w:rPr>
                      <w:rFonts w:eastAsia="仿宋_GB2312"/>
                      <w:szCs w:val="21"/>
                    </w:rPr>
                    <w:t>全年执行数</w:t>
                  </w:r>
                </w:p>
              </w:tc>
              <w:tc>
                <w:tcPr>
                  <w:tcW w:w="573" w:type="dxa"/>
                  <w:tcBorders>
                    <w:top w:val="nil"/>
                    <w:left w:val="nil"/>
                    <w:bottom w:val="single" w:color="auto" w:sz="4" w:space="0"/>
                    <w:right w:val="single" w:color="auto" w:sz="4" w:space="0"/>
                  </w:tcBorders>
                  <w:noWrap w:val="0"/>
                  <w:vAlign w:val="center"/>
                </w:tcPr>
                <w:p>
                  <w:pPr>
                    <w:spacing w:line="200" w:lineRule="exact"/>
                    <w:jc w:val="center"/>
                    <w:rPr>
                      <w:rFonts w:eastAsia="仿宋_GB2312"/>
                      <w:szCs w:val="21"/>
                    </w:rPr>
                  </w:pPr>
                  <w:r>
                    <w:rPr>
                      <w:rFonts w:eastAsia="仿宋_GB2312"/>
                      <w:szCs w:val="21"/>
                    </w:rPr>
                    <w:t>分值</w:t>
                  </w:r>
                </w:p>
              </w:tc>
              <w:tc>
                <w:tcPr>
                  <w:tcW w:w="795" w:type="dxa"/>
                  <w:tcBorders>
                    <w:top w:val="nil"/>
                    <w:left w:val="nil"/>
                    <w:bottom w:val="single" w:color="auto" w:sz="4" w:space="0"/>
                    <w:right w:val="single" w:color="auto" w:sz="4" w:space="0"/>
                  </w:tcBorders>
                  <w:noWrap w:val="0"/>
                  <w:vAlign w:val="center"/>
                </w:tcPr>
                <w:p>
                  <w:pPr>
                    <w:spacing w:line="200" w:lineRule="exact"/>
                    <w:jc w:val="center"/>
                    <w:rPr>
                      <w:rFonts w:eastAsia="仿宋_GB2312"/>
                      <w:szCs w:val="21"/>
                    </w:rPr>
                  </w:pPr>
                  <w:r>
                    <w:rPr>
                      <w:rFonts w:eastAsia="仿宋_GB2312"/>
                      <w:szCs w:val="21"/>
                    </w:rPr>
                    <w:t>执行率</w:t>
                  </w:r>
                </w:p>
              </w:tc>
              <w:tc>
                <w:tcPr>
                  <w:tcW w:w="1277" w:type="dxa"/>
                  <w:tcBorders>
                    <w:top w:val="nil"/>
                    <w:left w:val="nil"/>
                    <w:bottom w:val="single" w:color="auto" w:sz="4" w:space="0"/>
                    <w:right w:val="single" w:color="auto" w:sz="4" w:space="0"/>
                  </w:tcBorders>
                  <w:noWrap w:val="0"/>
                  <w:vAlign w:val="center"/>
                </w:tcPr>
                <w:p>
                  <w:pPr>
                    <w:spacing w:line="200" w:lineRule="exact"/>
                    <w:jc w:val="center"/>
                    <w:rPr>
                      <w:rFonts w:eastAsia="仿宋_GB2312"/>
                      <w:szCs w:val="21"/>
                    </w:rPr>
                  </w:pPr>
                  <w:r>
                    <w:rPr>
                      <w:rFonts w:eastAsia="仿宋_GB2312"/>
                      <w:szCs w:val="21"/>
                    </w:rPr>
                    <w:t>得分</w:t>
                  </w:r>
                </w:p>
              </w:tc>
            </w:tr>
            <w:tr>
              <w:tblPrEx>
                <w:tblCellMar>
                  <w:top w:w="0" w:type="dxa"/>
                  <w:left w:w="108" w:type="dxa"/>
                  <w:bottom w:w="0" w:type="dxa"/>
                  <w:right w:w="108" w:type="dxa"/>
                </w:tblCellMar>
              </w:tblPrEx>
              <w:trPr>
                <w:trHeight w:val="340" w:hRule="atLeast"/>
                <w:jc w:val="center"/>
              </w:trPr>
              <w:tc>
                <w:tcPr>
                  <w:tcW w:w="1178"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2058" w:type="dxa"/>
                  <w:gridSpan w:val="2"/>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年度资金总额　</w:t>
                  </w:r>
                </w:p>
              </w:tc>
              <w:tc>
                <w:tcPr>
                  <w:tcW w:w="1276" w:type="dxa"/>
                  <w:gridSpan w:val="2"/>
                  <w:tcBorders>
                    <w:top w:val="nil"/>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1942</w:t>
                  </w:r>
                </w:p>
              </w:tc>
              <w:tc>
                <w:tcPr>
                  <w:tcW w:w="992" w:type="dxa"/>
                  <w:tcBorders>
                    <w:top w:val="nil"/>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1942</w:t>
                  </w:r>
                </w:p>
              </w:tc>
              <w:tc>
                <w:tcPr>
                  <w:tcW w:w="1134"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1942</w:t>
                  </w:r>
                </w:p>
              </w:tc>
              <w:tc>
                <w:tcPr>
                  <w:tcW w:w="573" w:type="dxa"/>
                  <w:tcBorders>
                    <w:top w:val="nil"/>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10</w:t>
                  </w:r>
                </w:p>
              </w:tc>
              <w:tc>
                <w:tcPr>
                  <w:tcW w:w="795"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100%</w:t>
                  </w:r>
                </w:p>
              </w:tc>
              <w:tc>
                <w:tcPr>
                  <w:tcW w:w="1277" w:type="dxa"/>
                  <w:tcBorders>
                    <w:top w:val="nil"/>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w:t>
                  </w:r>
                </w:p>
              </w:tc>
            </w:tr>
            <w:tr>
              <w:tblPrEx>
                <w:tblCellMar>
                  <w:top w:w="0" w:type="dxa"/>
                  <w:left w:w="108" w:type="dxa"/>
                  <w:bottom w:w="0" w:type="dxa"/>
                  <w:right w:w="108" w:type="dxa"/>
                </w:tblCellMar>
              </w:tblPrEx>
              <w:trPr>
                <w:trHeight w:val="340" w:hRule="atLeast"/>
                <w:jc w:val="center"/>
              </w:trPr>
              <w:tc>
                <w:tcPr>
                  <w:tcW w:w="1178"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2058" w:type="dxa"/>
                  <w:gridSpan w:val="2"/>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其中：当年财政拨款　</w:t>
                  </w:r>
                </w:p>
              </w:tc>
              <w:tc>
                <w:tcPr>
                  <w:tcW w:w="1276" w:type="dxa"/>
                  <w:gridSpan w:val="2"/>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992"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134" w:type="dxa"/>
                  <w:tcBorders>
                    <w:top w:val="nil"/>
                    <w:left w:val="nil"/>
                    <w:bottom w:val="single" w:color="auto" w:sz="4" w:space="0"/>
                    <w:right w:val="single" w:color="auto" w:sz="4" w:space="0"/>
                  </w:tcBorders>
                  <w:noWrap w:val="0"/>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1942</w:t>
                  </w:r>
                </w:p>
              </w:tc>
              <w:tc>
                <w:tcPr>
                  <w:tcW w:w="573" w:type="dxa"/>
                  <w:tcBorders>
                    <w:top w:val="nil"/>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w:t>
                  </w:r>
                </w:p>
              </w:tc>
              <w:tc>
                <w:tcPr>
                  <w:tcW w:w="795" w:type="dxa"/>
                  <w:tcBorders>
                    <w:top w:val="nil"/>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100%</w:t>
                  </w:r>
                </w:p>
              </w:tc>
              <w:tc>
                <w:tcPr>
                  <w:tcW w:w="1277" w:type="dxa"/>
                  <w:tcBorders>
                    <w:top w:val="nil"/>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w:t>
                  </w:r>
                </w:p>
              </w:tc>
            </w:tr>
            <w:tr>
              <w:tblPrEx>
                <w:tblCellMar>
                  <w:top w:w="0" w:type="dxa"/>
                  <w:left w:w="108" w:type="dxa"/>
                  <w:bottom w:w="0" w:type="dxa"/>
                  <w:right w:w="108" w:type="dxa"/>
                </w:tblCellMar>
              </w:tblPrEx>
              <w:trPr>
                <w:trHeight w:val="340" w:hRule="atLeast"/>
                <w:jc w:val="center"/>
              </w:trPr>
              <w:tc>
                <w:tcPr>
                  <w:tcW w:w="1178"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2058" w:type="dxa"/>
                  <w:gridSpan w:val="2"/>
                  <w:tcBorders>
                    <w:top w:val="nil"/>
                    <w:left w:val="nil"/>
                    <w:bottom w:val="single" w:color="auto" w:sz="4" w:space="0"/>
                    <w:right w:val="single" w:color="auto" w:sz="4" w:space="0"/>
                  </w:tcBorders>
                  <w:noWrap w:val="0"/>
                  <w:vAlign w:val="center"/>
                </w:tcPr>
                <w:p>
                  <w:pPr>
                    <w:widowControl/>
                    <w:spacing w:line="200" w:lineRule="exact"/>
                    <w:ind w:firstLine="550" w:firstLineChars="250"/>
                    <w:jc w:val="left"/>
                    <w:rPr>
                      <w:rFonts w:eastAsia="仿宋_GB2312"/>
                      <w:color w:val="000000"/>
                      <w:kern w:val="0"/>
                      <w:szCs w:val="21"/>
                    </w:rPr>
                  </w:pPr>
                  <w:r>
                    <w:rPr>
                      <w:rFonts w:eastAsia="仿宋_GB2312"/>
                      <w:color w:val="000000"/>
                      <w:kern w:val="0"/>
                      <w:szCs w:val="21"/>
                    </w:rPr>
                    <w:t>上年结转资金　</w:t>
                  </w:r>
                </w:p>
              </w:tc>
              <w:tc>
                <w:tcPr>
                  <w:tcW w:w="1276" w:type="dxa"/>
                  <w:gridSpan w:val="2"/>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992"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134"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573" w:type="dxa"/>
                  <w:tcBorders>
                    <w:top w:val="nil"/>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c>
                <w:tcPr>
                  <w:tcW w:w="795" w:type="dxa"/>
                  <w:tcBorders>
                    <w:top w:val="nil"/>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c>
                <w:tcPr>
                  <w:tcW w:w="1277" w:type="dxa"/>
                  <w:tcBorders>
                    <w:top w:val="nil"/>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r>
            <w:tr>
              <w:tblPrEx>
                <w:tblCellMar>
                  <w:top w:w="0" w:type="dxa"/>
                  <w:left w:w="108" w:type="dxa"/>
                  <w:bottom w:w="0" w:type="dxa"/>
                  <w:right w:w="108" w:type="dxa"/>
                </w:tblCellMar>
              </w:tblPrEx>
              <w:trPr>
                <w:trHeight w:val="340" w:hRule="atLeast"/>
                <w:jc w:val="center"/>
              </w:trPr>
              <w:tc>
                <w:tcPr>
                  <w:tcW w:w="1178" w:type="dxa"/>
                  <w:vMerge w:val="continue"/>
                  <w:tcBorders>
                    <w:top w:val="nil"/>
                    <w:left w:val="single" w:color="auto" w:sz="4" w:space="0"/>
                    <w:bottom w:val="single" w:color="000000"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2058" w:type="dxa"/>
                  <w:gridSpan w:val="2"/>
                  <w:tcBorders>
                    <w:top w:val="nil"/>
                    <w:left w:val="nil"/>
                    <w:bottom w:val="single" w:color="auto" w:sz="4" w:space="0"/>
                    <w:right w:val="single" w:color="auto" w:sz="4" w:space="0"/>
                  </w:tcBorders>
                  <w:noWrap w:val="0"/>
                  <w:vAlign w:val="center"/>
                </w:tcPr>
                <w:p>
                  <w:pPr>
                    <w:widowControl/>
                    <w:spacing w:line="200" w:lineRule="exact"/>
                    <w:ind w:firstLine="660" w:firstLineChars="300"/>
                    <w:jc w:val="left"/>
                    <w:rPr>
                      <w:rFonts w:eastAsia="仿宋_GB2312"/>
                      <w:color w:val="000000"/>
                      <w:kern w:val="0"/>
                      <w:szCs w:val="21"/>
                    </w:rPr>
                  </w:pPr>
                  <w:r>
                    <w:rPr>
                      <w:rFonts w:eastAsia="仿宋_GB2312"/>
                      <w:color w:val="000000"/>
                      <w:kern w:val="0"/>
                      <w:szCs w:val="21"/>
                    </w:rPr>
                    <w:t>其他资金</w:t>
                  </w:r>
                </w:p>
              </w:tc>
              <w:tc>
                <w:tcPr>
                  <w:tcW w:w="1276" w:type="dxa"/>
                  <w:gridSpan w:val="2"/>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992"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134"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573"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795"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277"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78" w:type="dxa"/>
                  <w:vMerge w:val="restart"/>
                  <w:tcBorders>
                    <w:top w:val="nil"/>
                    <w:left w:val="single" w:color="auto" w:sz="4" w:space="0"/>
                    <w:bottom w:val="single" w:color="000000"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年度总</w:t>
                  </w:r>
                </w:p>
                <w:p>
                  <w:pPr>
                    <w:widowControl/>
                    <w:spacing w:line="200" w:lineRule="exact"/>
                    <w:jc w:val="center"/>
                    <w:rPr>
                      <w:rFonts w:eastAsia="仿宋_GB2312"/>
                      <w:color w:val="000000"/>
                      <w:kern w:val="0"/>
                      <w:szCs w:val="21"/>
                    </w:rPr>
                  </w:pPr>
                  <w:r>
                    <w:rPr>
                      <w:rFonts w:eastAsia="仿宋_GB2312"/>
                      <w:color w:val="000000"/>
                      <w:kern w:val="0"/>
                      <w:szCs w:val="21"/>
                    </w:rPr>
                    <w:t>体目标</w:t>
                  </w:r>
                </w:p>
              </w:tc>
              <w:tc>
                <w:tcPr>
                  <w:tcW w:w="4326" w:type="dxa"/>
                  <w:gridSpan w:val="5"/>
                  <w:tcBorders>
                    <w:top w:val="single" w:color="auto" w:sz="4" w:space="0"/>
                    <w:left w:val="nil"/>
                    <w:bottom w:val="single" w:color="auto" w:sz="4" w:space="0"/>
                    <w:right w:val="single" w:color="000000"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预期目标</w:t>
                  </w:r>
                </w:p>
              </w:tc>
              <w:tc>
                <w:tcPr>
                  <w:tcW w:w="3779" w:type="dxa"/>
                  <w:gridSpan w:val="4"/>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实际完成情况　</w:t>
                  </w:r>
                </w:p>
              </w:tc>
            </w:tr>
            <w:tr>
              <w:tblPrEx>
                <w:tblCellMar>
                  <w:top w:w="0" w:type="dxa"/>
                  <w:left w:w="108" w:type="dxa"/>
                  <w:bottom w:w="0" w:type="dxa"/>
                  <w:right w:w="108" w:type="dxa"/>
                </w:tblCellMar>
              </w:tblPrEx>
              <w:trPr>
                <w:trHeight w:val="513" w:hRule="atLeast"/>
                <w:jc w:val="center"/>
              </w:trPr>
              <w:tc>
                <w:tcPr>
                  <w:tcW w:w="1178" w:type="dxa"/>
                  <w:vMerge w:val="continue"/>
                  <w:tcBorders>
                    <w:top w:val="nil"/>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4326" w:type="dxa"/>
                  <w:gridSpan w:val="5"/>
                  <w:tcBorders>
                    <w:top w:val="single" w:color="auto" w:sz="4" w:space="0"/>
                    <w:left w:val="nil"/>
                    <w:bottom w:val="single" w:color="auto" w:sz="4" w:space="0"/>
                    <w:right w:val="single" w:color="000000"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专款专用，用于虚账记实、实账计息，保障职业年金发放，转移、死亡人员职业年金支出</w:t>
                  </w:r>
                </w:p>
              </w:tc>
              <w:tc>
                <w:tcPr>
                  <w:tcW w:w="3779" w:type="dxa"/>
                  <w:gridSpan w:val="4"/>
                  <w:tcBorders>
                    <w:top w:val="single" w:color="auto" w:sz="4" w:space="0"/>
                    <w:left w:val="nil"/>
                    <w:bottom w:val="single" w:color="auto" w:sz="4" w:space="0"/>
                    <w:right w:val="single" w:color="auto" w:sz="4" w:space="0"/>
                  </w:tcBorders>
                  <w:noWrap w:val="0"/>
                  <w:vAlign w:val="center"/>
                </w:tcPr>
                <w:p>
                  <w:pPr>
                    <w:widowControl/>
                    <w:spacing w:line="200" w:lineRule="exact"/>
                    <w:rPr>
                      <w:rFonts w:eastAsia="仿宋_GB2312"/>
                      <w:color w:val="000000"/>
                      <w:kern w:val="0"/>
                      <w:szCs w:val="21"/>
                    </w:rPr>
                  </w:pPr>
                  <w:r>
                    <w:rPr>
                      <w:rFonts w:hint="eastAsia" w:eastAsia="仿宋_GB2312"/>
                      <w:color w:val="000000"/>
                      <w:kern w:val="0"/>
                      <w:szCs w:val="21"/>
                    </w:rPr>
                    <w:t>专款专用，用于虚账记实、实账计息，保障职业年金发放，转移、死亡人员职业年金支出</w:t>
                  </w:r>
                </w:p>
              </w:tc>
            </w:tr>
            <w:tr>
              <w:tblPrEx>
                <w:tblCellMar>
                  <w:top w:w="0" w:type="dxa"/>
                  <w:left w:w="108" w:type="dxa"/>
                  <w:bottom w:w="0" w:type="dxa"/>
                  <w:right w:w="108" w:type="dxa"/>
                </w:tblCellMar>
              </w:tblPrEx>
              <w:trPr>
                <w:trHeight w:val="673" w:hRule="atLeast"/>
                <w:jc w:val="center"/>
              </w:trPr>
              <w:tc>
                <w:tcPr>
                  <w:tcW w:w="1178" w:type="dxa"/>
                  <w:vMerge w:val="restart"/>
                  <w:tcBorders>
                    <w:top w:val="single" w:color="auto" w:sz="4" w:space="0"/>
                    <w:left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绩</w:t>
                  </w:r>
                </w:p>
                <w:p>
                  <w:pPr>
                    <w:widowControl/>
                    <w:spacing w:line="200" w:lineRule="exact"/>
                    <w:jc w:val="center"/>
                    <w:rPr>
                      <w:rFonts w:eastAsia="仿宋_GB2312"/>
                      <w:color w:val="000000"/>
                      <w:kern w:val="0"/>
                      <w:szCs w:val="21"/>
                    </w:rPr>
                  </w:pPr>
                  <w:r>
                    <w:rPr>
                      <w:rFonts w:eastAsia="仿宋_GB2312"/>
                      <w:color w:val="000000"/>
                      <w:kern w:val="0"/>
                      <w:szCs w:val="21"/>
                    </w:rPr>
                    <w:t>效</w:t>
                  </w:r>
                </w:p>
                <w:p>
                  <w:pPr>
                    <w:widowControl/>
                    <w:spacing w:line="200" w:lineRule="exact"/>
                    <w:jc w:val="center"/>
                    <w:rPr>
                      <w:rFonts w:eastAsia="仿宋_GB2312"/>
                      <w:color w:val="000000"/>
                      <w:kern w:val="0"/>
                      <w:szCs w:val="21"/>
                    </w:rPr>
                  </w:pPr>
                  <w:r>
                    <w:rPr>
                      <w:rFonts w:eastAsia="仿宋_GB2312"/>
                      <w:color w:val="000000"/>
                      <w:kern w:val="0"/>
                      <w:szCs w:val="21"/>
                    </w:rPr>
                    <w:t>指</w:t>
                  </w:r>
                </w:p>
                <w:p>
                  <w:pPr>
                    <w:widowControl/>
                    <w:spacing w:line="200" w:lineRule="exact"/>
                    <w:jc w:val="center"/>
                    <w:rPr>
                      <w:rFonts w:eastAsia="仿宋_GB2312"/>
                      <w:color w:val="000000"/>
                      <w:kern w:val="0"/>
                      <w:szCs w:val="21"/>
                    </w:rPr>
                  </w:pPr>
                  <w:r>
                    <w:rPr>
                      <w:rFonts w:eastAsia="仿宋_GB2312"/>
                      <w:color w:val="000000"/>
                      <w:kern w:val="0"/>
                      <w:szCs w:val="21"/>
                    </w:rPr>
                    <w:t>标</w:t>
                  </w:r>
                </w:p>
              </w:tc>
              <w:tc>
                <w:tcPr>
                  <w:tcW w:w="98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0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27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szCs w:val="21"/>
                    </w:rPr>
                  </w:pPr>
                  <w:r>
                    <w:rPr>
                      <w:rFonts w:eastAsia="仿宋_GB2312"/>
                      <w:color w:val="000000"/>
                      <w:kern w:val="0"/>
                      <w:szCs w:val="21"/>
                    </w:rPr>
                    <w:t>偏差原因</w:t>
                  </w:r>
                </w:p>
                <w:p>
                  <w:pPr>
                    <w:widowControl/>
                    <w:spacing w:line="240" w:lineRule="exact"/>
                    <w:jc w:val="center"/>
                    <w:rPr>
                      <w:rFonts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985" w:type="dxa"/>
                  <w:vMerge w:val="restart"/>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产出</w:t>
                  </w:r>
                </w:p>
                <w:p>
                  <w:pPr>
                    <w:widowControl/>
                    <w:spacing w:line="200" w:lineRule="exact"/>
                    <w:jc w:val="center"/>
                    <w:rPr>
                      <w:rFonts w:eastAsia="仿宋_GB2312"/>
                      <w:color w:val="000000"/>
                      <w:kern w:val="0"/>
                      <w:szCs w:val="21"/>
                    </w:rPr>
                  </w:pPr>
                  <w:r>
                    <w:rPr>
                      <w:rFonts w:eastAsia="仿宋_GB2312"/>
                      <w:color w:val="000000"/>
                      <w:kern w:val="0"/>
                      <w:szCs w:val="21"/>
                    </w:rPr>
                    <w:t>指标</w:t>
                  </w:r>
                </w:p>
                <w:p>
                  <w:pPr>
                    <w:widowControl/>
                    <w:spacing w:line="200" w:lineRule="exact"/>
                    <w:jc w:val="center"/>
                    <w:rPr>
                      <w:rFonts w:eastAsia="仿宋_GB2312"/>
                      <w:color w:val="000000"/>
                      <w:kern w:val="0"/>
                      <w:szCs w:val="21"/>
                    </w:rPr>
                  </w:pPr>
                </w:p>
                <w:p>
                  <w:pPr>
                    <w:widowControl/>
                    <w:spacing w:line="200" w:lineRule="exact"/>
                    <w:jc w:val="center"/>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rPr>
                    <w:t>60</w:t>
                  </w:r>
                  <w:r>
                    <w:rPr>
                      <w:rFonts w:eastAsia="仿宋_GB2312"/>
                      <w:color w:val="000000"/>
                      <w:kern w:val="0"/>
                      <w:szCs w:val="21"/>
                    </w:rPr>
                    <w:t>分)</w:t>
                  </w:r>
                </w:p>
              </w:tc>
              <w:tc>
                <w:tcPr>
                  <w:tcW w:w="1073" w:type="dxa"/>
                  <w:vMerge w:val="restart"/>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数量指标</w:t>
                  </w:r>
                </w:p>
              </w:tc>
              <w:tc>
                <w:tcPr>
                  <w:tcW w:w="1276"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领取人数</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≥963</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00" w:lineRule="exact"/>
                    <w:ind w:firstLine="100" w:firstLineChars="50"/>
                    <w:jc w:val="left"/>
                    <w:rPr>
                      <w:rFonts w:eastAsia="仿宋_GB2312"/>
                      <w:color w:val="000000"/>
                      <w:kern w:val="0"/>
                      <w:szCs w:val="21"/>
                    </w:rPr>
                  </w:pPr>
                  <w:r>
                    <w:rPr>
                      <w:rFonts w:hint="eastAsia" w:ascii="宋体" w:hAnsi="宋体" w:cs="宋体"/>
                      <w:color w:val="000000"/>
                      <w:sz w:val="20"/>
                      <w:szCs w:val="20"/>
                    </w:rPr>
                    <w:t>≥585</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5</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2020年11月开始试发</w:t>
                  </w:r>
                </w:p>
              </w:tc>
            </w:tr>
            <w:tr>
              <w:tblPrEx>
                <w:tblCellMar>
                  <w:top w:w="0" w:type="dxa"/>
                  <w:left w:w="108" w:type="dxa"/>
                  <w:bottom w:w="0" w:type="dxa"/>
                  <w:right w:w="108" w:type="dxa"/>
                </w:tblCellMar>
              </w:tblPrEx>
              <w:trPr>
                <w:trHeight w:val="277" w:hRule="atLeast"/>
                <w:jc w:val="center"/>
              </w:trPr>
              <w:tc>
                <w:tcPr>
                  <w:tcW w:w="117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073"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c>
                <w:tcPr>
                  <w:tcW w:w="1276"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hint="eastAsia" w:eastAsia="仿宋_GB2312"/>
                      <w:color w:val="000000"/>
                      <w:kern w:val="0"/>
                      <w:szCs w:val="21"/>
                    </w:rPr>
                  </w:pPr>
                  <w:r>
                    <w:rPr>
                      <w:rFonts w:hint="eastAsia" w:eastAsia="仿宋_GB2312"/>
                      <w:color w:val="000000"/>
                      <w:kern w:val="0"/>
                      <w:szCs w:val="21"/>
                    </w:rPr>
                    <w:t>在职人员</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≥5086</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≥4697</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hint="eastAsia" w:eastAsia="仿宋_GB2312"/>
                      <w:color w:val="000000"/>
                      <w:kern w:val="0"/>
                      <w:szCs w:val="21"/>
                    </w:rPr>
                  </w:pPr>
                  <w:r>
                    <w:rPr>
                      <w:rFonts w:hint="eastAsia" w:eastAsia="仿宋_GB2312"/>
                      <w:color w:val="000000"/>
                      <w:kern w:val="0"/>
                      <w:szCs w:val="21"/>
                    </w:rPr>
                    <w:t>5</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hint="eastAsia"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hint="eastAsia" w:eastAsia="仿宋_GB2312"/>
                      <w:color w:val="000000"/>
                      <w:kern w:val="0"/>
                      <w:szCs w:val="21"/>
                    </w:rPr>
                  </w:pPr>
                  <w:r>
                    <w:rPr>
                      <w:rFonts w:hint="eastAsia" w:eastAsia="仿宋_GB2312"/>
                      <w:color w:val="000000"/>
                      <w:kern w:val="0"/>
                      <w:szCs w:val="21"/>
                    </w:rPr>
                    <w:t>清除原试点人员</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073" w:type="dxa"/>
                  <w:vMerge w:val="restart"/>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质量指标</w:t>
                  </w:r>
                </w:p>
              </w:tc>
              <w:tc>
                <w:tcPr>
                  <w:tcW w:w="1276"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资金到位率</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≥100</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073"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c>
                <w:tcPr>
                  <w:tcW w:w="1276"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资金使用率</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≥100</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5</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073" w:type="dxa"/>
                  <w:vMerge w:val="restart"/>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时效指标</w:t>
                  </w:r>
                </w:p>
              </w:tc>
              <w:tc>
                <w:tcPr>
                  <w:tcW w:w="1276"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到位及时性</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≥100</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073"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c>
                <w:tcPr>
                  <w:tcW w:w="1276"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使用及时性</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≥100</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536" w:hRule="atLeast"/>
                <w:jc w:val="center"/>
              </w:trPr>
              <w:tc>
                <w:tcPr>
                  <w:tcW w:w="117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073" w:type="dxa"/>
                  <w:vMerge w:val="restart"/>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成本指标</w:t>
                  </w:r>
                </w:p>
              </w:tc>
              <w:tc>
                <w:tcPr>
                  <w:tcW w:w="1276"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月平均待遇</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≥243元</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≥46元</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2020年11月开始试发</w:t>
                  </w:r>
                </w:p>
              </w:tc>
            </w:tr>
            <w:tr>
              <w:tblPrEx>
                <w:tblCellMar>
                  <w:top w:w="0" w:type="dxa"/>
                  <w:left w:w="108" w:type="dxa"/>
                  <w:bottom w:w="0" w:type="dxa"/>
                  <w:right w:w="108" w:type="dxa"/>
                </w:tblCellMar>
              </w:tblPrEx>
              <w:trPr>
                <w:trHeight w:val="557" w:hRule="atLeast"/>
                <w:jc w:val="center"/>
              </w:trPr>
              <w:tc>
                <w:tcPr>
                  <w:tcW w:w="117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073"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276"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全年发放待遇</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≥258万</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≥2.8万</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10</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2020年11月开始试发</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985" w:type="dxa"/>
                  <w:vMerge w:val="restart"/>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效益</w:t>
                  </w:r>
                </w:p>
                <w:p>
                  <w:pPr>
                    <w:widowControl/>
                    <w:spacing w:line="200" w:lineRule="exact"/>
                    <w:jc w:val="center"/>
                    <w:rPr>
                      <w:rFonts w:eastAsia="仿宋_GB2312"/>
                      <w:color w:val="000000"/>
                      <w:kern w:val="0"/>
                      <w:szCs w:val="21"/>
                    </w:rPr>
                  </w:pPr>
                  <w:r>
                    <w:rPr>
                      <w:rFonts w:eastAsia="仿宋_GB2312"/>
                      <w:color w:val="000000"/>
                      <w:kern w:val="0"/>
                      <w:szCs w:val="21"/>
                    </w:rPr>
                    <w:t>指标</w:t>
                  </w:r>
                </w:p>
                <w:p>
                  <w:pPr>
                    <w:widowControl/>
                    <w:spacing w:line="200" w:lineRule="exact"/>
                    <w:jc w:val="left"/>
                    <w:rPr>
                      <w:rFonts w:eastAsia="仿宋_GB2312"/>
                      <w:color w:val="000000"/>
                      <w:kern w:val="0"/>
                      <w:szCs w:val="21"/>
                    </w:rPr>
                  </w:pPr>
                </w:p>
                <w:p>
                  <w:pPr>
                    <w:widowControl/>
                    <w:spacing w:line="200" w:lineRule="exact"/>
                    <w:jc w:val="left"/>
                    <w:rPr>
                      <w:rFonts w:eastAsia="仿宋_GB2312"/>
                      <w:color w:val="000000"/>
                      <w:kern w:val="0"/>
                      <w:szCs w:val="21"/>
                    </w:rPr>
                  </w:pPr>
                  <w:r>
                    <w:rPr>
                      <w:rFonts w:eastAsia="仿宋_GB2312"/>
                      <w:color w:val="000000"/>
                      <w:kern w:val="0"/>
                      <w:szCs w:val="21"/>
                    </w:rPr>
                    <w:t>（30分）</w:t>
                  </w:r>
                </w:p>
                <w:p>
                  <w:pPr>
                    <w:widowControl/>
                    <w:spacing w:line="200" w:lineRule="exact"/>
                    <w:jc w:val="left"/>
                    <w:rPr>
                      <w:rFonts w:eastAsia="仿宋_GB2312"/>
                      <w:color w:val="000000"/>
                      <w:kern w:val="0"/>
                      <w:szCs w:val="21"/>
                    </w:rPr>
                  </w:pPr>
                  <w:r>
                    <w:rPr>
                      <w:rFonts w:eastAsia="仿宋_GB2312"/>
                      <w:color w:val="000000"/>
                      <w:kern w:val="0"/>
                      <w:szCs w:val="21"/>
                    </w:rPr>
                    <w:t>　</w:t>
                  </w:r>
                </w:p>
              </w:tc>
              <w:tc>
                <w:tcPr>
                  <w:tcW w:w="1073" w:type="dxa"/>
                  <w:vMerge w:val="restart"/>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经济效</w:t>
                  </w:r>
                </w:p>
                <w:p>
                  <w:pPr>
                    <w:widowControl/>
                    <w:spacing w:line="200" w:lineRule="exact"/>
                    <w:jc w:val="center"/>
                    <w:rPr>
                      <w:rFonts w:eastAsia="仿宋_GB2312"/>
                      <w:color w:val="000000"/>
                      <w:kern w:val="0"/>
                      <w:szCs w:val="21"/>
                    </w:rPr>
                  </w:pPr>
                  <w:r>
                    <w:rPr>
                      <w:rFonts w:eastAsia="仿宋_GB2312"/>
                      <w:color w:val="000000"/>
                      <w:kern w:val="0"/>
                      <w:szCs w:val="21"/>
                    </w:rPr>
                    <w:t>益指标</w:t>
                  </w:r>
                </w:p>
              </w:tc>
              <w:tc>
                <w:tcPr>
                  <w:tcW w:w="1276"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参保人权益</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保障合法</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保障合法</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073"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c>
                <w:tcPr>
                  <w:tcW w:w="1276"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受益对象</w:t>
                  </w:r>
                  <w:r>
                    <w:rPr>
                      <w:rFonts w:eastAsia="仿宋_GB2312"/>
                      <w:color w:val="000000"/>
                      <w:kern w:val="0"/>
                      <w:szCs w:val="21"/>
                    </w:rPr>
                    <w:t>…</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符合政策</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符合政策</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073" w:type="dxa"/>
                  <w:vMerge w:val="restart"/>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社会效</w:t>
                  </w:r>
                </w:p>
                <w:p>
                  <w:pPr>
                    <w:widowControl/>
                    <w:spacing w:line="200" w:lineRule="exact"/>
                    <w:jc w:val="center"/>
                    <w:rPr>
                      <w:rFonts w:eastAsia="仿宋_GB2312"/>
                      <w:color w:val="000000"/>
                      <w:kern w:val="0"/>
                      <w:szCs w:val="21"/>
                    </w:rPr>
                  </w:pPr>
                  <w:r>
                    <w:rPr>
                      <w:rFonts w:eastAsia="仿宋_GB2312"/>
                      <w:color w:val="000000"/>
                      <w:kern w:val="0"/>
                      <w:szCs w:val="21"/>
                    </w:rPr>
                    <w:t>益指标</w:t>
                  </w:r>
                </w:p>
              </w:tc>
              <w:tc>
                <w:tcPr>
                  <w:tcW w:w="1276"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领取人数</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≥963</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≥585</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2020年11月开始试发</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073"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c>
                <w:tcPr>
                  <w:tcW w:w="1276" w:type="dxa"/>
                  <w:gridSpan w:val="2"/>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政策知晓率</w:t>
                  </w:r>
                </w:p>
              </w:tc>
              <w:tc>
                <w:tcPr>
                  <w:tcW w:w="992"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≥100</w:t>
                  </w:r>
                </w:p>
              </w:tc>
              <w:tc>
                <w:tcPr>
                  <w:tcW w:w="573"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526" w:hRule="atLeast"/>
                <w:jc w:val="center"/>
              </w:trPr>
              <w:tc>
                <w:tcPr>
                  <w:tcW w:w="1178" w:type="dxa"/>
                  <w:vMerge w:val="continue"/>
                  <w:tcBorders>
                    <w:left w:val="single" w:color="auto" w:sz="4" w:space="0"/>
                    <w:right w:val="single" w:color="auto" w:sz="4" w:space="0"/>
                  </w:tcBorders>
                  <w:noWrap w:val="0"/>
                  <w:vAlign w:val="center"/>
                </w:tcPr>
                <w:p>
                  <w:pPr>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生态效</w:t>
                  </w:r>
                </w:p>
                <w:p>
                  <w:pPr>
                    <w:widowControl/>
                    <w:spacing w:line="200" w:lineRule="exact"/>
                    <w:jc w:val="center"/>
                    <w:rPr>
                      <w:rFonts w:eastAsia="仿宋_GB2312"/>
                      <w:color w:val="000000"/>
                      <w:kern w:val="0"/>
                      <w:szCs w:val="21"/>
                    </w:rPr>
                  </w:pPr>
                  <w:r>
                    <w:rPr>
                      <w:rFonts w:eastAsia="仿宋_GB2312"/>
                      <w:color w:val="000000"/>
                      <w:kern w:val="0"/>
                      <w:szCs w:val="21"/>
                    </w:rPr>
                    <w:t>益指标</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对环境影响</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无影响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无影响</w:t>
                  </w:r>
                </w:p>
              </w:tc>
              <w:tc>
                <w:tcPr>
                  <w:tcW w:w="573"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795"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277" w:type="dxa"/>
                  <w:tcBorders>
                    <w:top w:val="single" w:color="auto" w:sz="4" w:space="0"/>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548" w:hRule="atLeast"/>
                <w:jc w:val="center"/>
              </w:trPr>
              <w:tc>
                <w:tcPr>
                  <w:tcW w:w="1178" w:type="dxa"/>
                  <w:vMerge w:val="continue"/>
                  <w:tcBorders>
                    <w:left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p>
              </w:tc>
              <w:tc>
                <w:tcPr>
                  <w:tcW w:w="9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c>
                <w:tcPr>
                  <w:tcW w:w="1073" w:type="dxa"/>
                  <w:tcBorders>
                    <w:top w:val="single" w:color="auto" w:sz="4" w:space="0"/>
                    <w:left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可持续影响指标</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政策实施期</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长期执行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长期执行</w:t>
                  </w:r>
                </w:p>
              </w:tc>
              <w:tc>
                <w:tcPr>
                  <w:tcW w:w="573"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795"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5</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noWrap w:val="0"/>
                  <w:vAlign w:val="center"/>
                </w:tcPr>
                <w:p>
                  <w:pPr>
                    <w:spacing w:line="200" w:lineRule="exact"/>
                    <w:jc w:val="left"/>
                    <w:rPr>
                      <w:rFonts w:eastAsia="仿宋_GB2312"/>
                      <w:color w:val="000000"/>
                      <w:kern w:val="0"/>
                      <w:szCs w:val="21"/>
                    </w:rPr>
                  </w:pPr>
                </w:p>
              </w:tc>
              <w:tc>
                <w:tcPr>
                  <w:tcW w:w="985" w:type="dxa"/>
                  <w:tcBorders>
                    <w:top w:val="single" w:color="auto" w:sz="4" w:space="0"/>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满意度</w:t>
                  </w:r>
                </w:p>
                <w:p>
                  <w:pPr>
                    <w:widowControl/>
                    <w:spacing w:line="200" w:lineRule="exact"/>
                    <w:jc w:val="center"/>
                    <w:rPr>
                      <w:rFonts w:eastAsia="仿宋_GB2312"/>
                      <w:color w:val="000000"/>
                      <w:kern w:val="0"/>
                      <w:szCs w:val="21"/>
                    </w:rPr>
                  </w:pPr>
                  <w:r>
                    <w:rPr>
                      <w:rFonts w:eastAsia="仿宋_GB2312"/>
                      <w:color w:val="000000"/>
                      <w:kern w:val="0"/>
                      <w:szCs w:val="21"/>
                    </w:rPr>
                    <w:t>指标</w:t>
                  </w:r>
                </w:p>
                <w:p>
                  <w:pPr>
                    <w:widowControl/>
                    <w:spacing w:line="200" w:lineRule="exact"/>
                    <w:jc w:val="center"/>
                    <w:rPr>
                      <w:rFonts w:eastAsia="仿宋_GB2312"/>
                      <w:color w:val="000000"/>
                      <w:kern w:val="0"/>
                      <w:szCs w:val="21"/>
                    </w:rPr>
                  </w:pPr>
                  <w:r>
                    <w:rPr>
                      <w:rFonts w:eastAsia="仿宋_GB2312"/>
                      <w:color w:val="000000"/>
                      <w:kern w:val="0"/>
                      <w:szCs w:val="21"/>
                    </w:rPr>
                    <w:t>（10分）</w:t>
                  </w:r>
                </w:p>
              </w:tc>
              <w:tc>
                <w:tcPr>
                  <w:tcW w:w="1073" w:type="dxa"/>
                  <w:tcBorders>
                    <w:top w:val="single" w:color="auto" w:sz="4" w:space="0"/>
                    <w:left w:val="nil"/>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服务对象满意度指标</w:t>
                  </w:r>
                </w:p>
              </w:tc>
              <w:tc>
                <w:tcPr>
                  <w:tcW w:w="1276" w:type="dxa"/>
                  <w:gridSpan w:val="2"/>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参保人员满意度</w:t>
                  </w:r>
                </w:p>
              </w:tc>
              <w:tc>
                <w:tcPr>
                  <w:tcW w:w="992"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≥100</w:t>
                  </w:r>
                </w:p>
              </w:tc>
              <w:tc>
                <w:tcPr>
                  <w:tcW w:w="1134"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hint="eastAsia" w:ascii="宋体" w:hAnsi="宋体" w:cs="宋体"/>
                      <w:color w:val="000000"/>
                      <w:sz w:val="20"/>
                      <w:szCs w:val="20"/>
                    </w:rPr>
                    <w:t>≥99</w:t>
                  </w:r>
                </w:p>
              </w:tc>
              <w:tc>
                <w:tcPr>
                  <w:tcW w:w="573" w:type="dxa"/>
                  <w:tcBorders>
                    <w:top w:val="nil"/>
                    <w:left w:val="nil"/>
                    <w:bottom w:val="single" w:color="auto" w:sz="4" w:space="0"/>
                    <w:right w:val="single" w:color="auto"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w:t>
                  </w:r>
                </w:p>
              </w:tc>
              <w:tc>
                <w:tcPr>
                  <w:tcW w:w="795"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9</w:t>
                  </w:r>
                </w:p>
              </w:tc>
              <w:tc>
                <w:tcPr>
                  <w:tcW w:w="1277" w:type="dxa"/>
                  <w:tcBorders>
                    <w:top w:val="nil"/>
                    <w:left w:val="nil"/>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6638" w:type="dxa"/>
                  <w:gridSpan w:val="7"/>
                  <w:tcBorders>
                    <w:top w:val="single" w:color="auto" w:sz="4" w:space="0"/>
                    <w:left w:val="single" w:color="auto" w:sz="4" w:space="0"/>
                    <w:bottom w:val="single" w:color="auto" w:sz="4" w:space="0"/>
                    <w:right w:val="single" w:color="000000"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总分</w:t>
                  </w:r>
                </w:p>
              </w:tc>
              <w:tc>
                <w:tcPr>
                  <w:tcW w:w="573" w:type="dxa"/>
                  <w:tcBorders>
                    <w:top w:val="nil"/>
                    <w:left w:val="nil"/>
                    <w:bottom w:val="nil"/>
                    <w:right w:val="single" w:color="auto" w:sz="4" w:space="0"/>
                  </w:tcBorders>
                  <w:noWrap w:val="0"/>
                  <w:vAlign w:val="center"/>
                </w:tcPr>
                <w:p>
                  <w:pPr>
                    <w:widowControl/>
                    <w:spacing w:line="200" w:lineRule="exact"/>
                    <w:jc w:val="center"/>
                    <w:rPr>
                      <w:rFonts w:eastAsia="仿宋_GB2312"/>
                      <w:color w:val="000000"/>
                      <w:kern w:val="0"/>
                      <w:szCs w:val="21"/>
                    </w:rPr>
                  </w:pPr>
                  <w:r>
                    <w:rPr>
                      <w:rFonts w:eastAsia="仿宋_GB2312"/>
                      <w:color w:val="000000"/>
                      <w:kern w:val="0"/>
                      <w:szCs w:val="21"/>
                    </w:rPr>
                    <w:t>100</w:t>
                  </w:r>
                </w:p>
              </w:tc>
              <w:tc>
                <w:tcPr>
                  <w:tcW w:w="795" w:type="dxa"/>
                  <w:tcBorders>
                    <w:top w:val="nil"/>
                    <w:left w:val="nil"/>
                    <w:bottom w:val="nil"/>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99</w:t>
                  </w:r>
                </w:p>
              </w:tc>
              <w:tc>
                <w:tcPr>
                  <w:tcW w:w="1277" w:type="dxa"/>
                  <w:tcBorders>
                    <w:top w:val="nil"/>
                    <w:left w:val="nil"/>
                    <w:bottom w:val="nil"/>
                    <w:right w:val="single" w:color="auto" w:sz="4" w:space="0"/>
                  </w:tcBorders>
                  <w:noWrap w:val="0"/>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590" w:hRule="atLeast"/>
                <w:jc w:val="center"/>
              </w:trPr>
              <w:tc>
                <w:tcPr>
                  <w:tcW w:w="3346" w:type="dxa"/>
                  <w:gridSpan w:val="4"/>
                  <w:tcBorders>
                    <w:top w:val="single" w:color="auto" w:sz="4" w:space="0"/>
                    <w:left w:val="single" w:color="auto" w:sz="4" w:space="0"/>
                    <w:bottom w:val="single" w:color="auto" w:sz="4" w:space="0"/>
                    <w:right w:val="single" w:color="000000" w:sz="4" w:space="0"/>
                  </w:tcBorders>
                  <w:noWrap w:val="0"/>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归口管理业务股室审核意见</w:t>
                  </w:r>
                </w:p>
              </w:tc>
              <w:tc>
                <w:tcPr>
                  <w:tcW w:w="5937"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200" w:lineRule="exact"/>
                    <w:jc w:val="left"/>
                    <w:rPr>
                      <w:rFonts w:eastAsia="仿宋_GB2312"/>
                      <w:color w:val="000000"/>
                      <w:kern w:val="0"/>
                      <w:szCs w:val="21"/>
                    </w:rPr>
                  </w:pPr>
                </w:p>
              </w:tc>
            </w:tr>
          </w:tbl>
          <w:p>
            <w:pPr>
              <w:spacing w:before="156" w:beforeLines="50" w:line="200" w:lineRule="exact"/>
              <w:ind w:firstLine="110" w:firstLineChars="50"/>
              <w:rPr>
                <w:rFonts w:hint="eastAsia" w:eastAsia="仿宋_GB2312"/>
                <w:szCs w:val="21"/>
              </w:rPr>
            </w:pPr>
            <w:r>
              <w:rPr>
                <w:rFonts w:eastAsia="仿宋_GB2312"/>
                <w:szCs w:val="21"/>
              </w:rPr>
              <w:t>填表人：</w:t>
            </w:r>
            <w:r>
              <w:rPr>
                <w:rFonts w:hint="eastAsia" w:eastAsia="仿宋_GB2312"/>
                <w:szCs w:val="21"/>
                <w:lang w:eastAsia="zh-CN"/>
              </w:rPr>
              <w:t>周龙慧</w:t>
            </w:r>
            <w:r>
              <w:rPr>
                <w:rFonts w:hint="eastAsia" w:eastAsia="仿宋_GB2312"/>
                <w:szCs w:val="21"/>
              </w:rPr>
              <w:t xml:space="preserve">                                          </w:t>
            </w:r>
            <w:r>
              <w:rPr>
                <w:rFonts w:eastAsia="仿宋_GB2312"/>
                <w:szCs w:val="21"/>
              </w:rPr>
              <w:t>填报日期：</w:t>
            </w:r>
            <w:r>
              <w:rPr>
                <w:rFonts w:hint="eastAsia" w:eastAsia="仿宋_GB2312"/>
                <w:szCs w:val="21"/>
              </w:rPr>
              <w:t>2021年9月28日</w:t>
            </w:r>
            <w:r>
              <w:rPr>
                <w:rFonts w:eastAsia="仿宋_GB2312"/>
                <w:szCs w:val="21"/>
              </w:rPr>
              <w:t xml:space="preserve"> </w:t>
            </w:r>
          </w:p>
          <w:p>
            <w:pPr>
              <w:spacing w:before="156" w:beforeLines="50" w:line="200" w:lineRule="exact"/>
              <w:ind w:firstLine="110" w:firstLineChars="50"/>
              <w:rPr>
                <w:rFonts w:hint="eastAsia" w:ascii="方正小标宋简体" w:hAnsi="方正小标宋简体" w:eastAsia="仿宋_GB2312" w:cs="方正小标宋简体"/>
                <w:color w:val="000000"/>
                <w:sz w:val="44"/>
                <w:szCs w:val="44"/>
                <w:lang w:eastAsia="zh-CN"/>
              </w:rPr>
            </w:pPr>
            <w:r>
              <w:rPr>
                <w:rFonts w:eastAsia="仿宋_GB2312"/>
                <w:szCs w:val="21"/>
              </w:rPr>
              <w:t>联系电话：</w:t>
            </w:r>
            <w:r>
              <w:rPr>
                <w:rFonts w:hint="eastAsia" w:eastAsia="仿宋_GB2312"/>
                <w:szCs w:val="21"/>
                <w:lang w:val="en-US" w:eastAsia="zh-CN"/>
              </w:rPr>
              <w:t>22542816</w:t>
            </w:r>
            <w:r>
              <w:rPr>
                <w:rFonts w:hint="eastAsia" w:eastAsia="仿宋_GB2312"/>
                <w:szCs w:val="21"/>
              </w:rPr>
              <w:t xml:space="preserve">                                    </w:t>
            </w:r>
            <w:r>
              <w:rPr>
                <w:rFonts w:eastAsia="仿宋_GB2312"/>
                <w:szCs w:val="21"/>
              </w:rPr>
              <w:t>单位负责人签字：</w:t>
            </w:r>
            <w:r>
              <w:rPr>
                <w:rFonts w:hint="eastAsia" w:eastAsia="仿宋_GB2312"/>
                <w:szCs w:val="21"/>
                <w:lang w:eastAsia="zh-CN"/>
              </w:rPr>
              <w:t>张孝红</w:t>
            </w:r>
          </w:p>
        </w:tc>
      </w:tr>
    </w:tbl>
    <w:p>
      <w:pPr>
        <w:spacing w:line="200" w:lineRule="exact"/>
        <w:sectPr>
          <w:headerReference r:id="rId5" w:type="default"/>
          <w:footerReference r:id="rId6" w:type="default"/>
          <w:footerReference r:id="rId7" w:type="even"/>
          <w:pgSz w:w="11906" w:h="16838"/>
          <w:pgMar w:top="1440" w:right="1800" w:bottom="1440" w:left="1800" w:header="851" w:footer="992" w:gutter="0"/>
          <w:pgNumType w:fmt="numberInDash"/>
          <w:cols w:space="720" w:num="1"/>
          <w:titlePg/>
          <w:docGrid w:type="lines" w:linePitch="312" w:charSpace="0"/>
        </w:sectPr>
      </w:pPr>
    </w:p>
    <w:tbl>
      <w:tblPr>
        <w:tblStyle w:val="5"/>
        <w:tblW w:w="0" w:type="auto"/>
        <w:tblInd w:w="-252" w:type="dxa"/>
        <w:tblLayout w:type="fixed"/>
        <w:tblCellMar>
          <w:top w:w="0" w:type="dxa"/>
          <w:left w:w="108" w:type="dxa"/>
          <w:bottom w:w="0" w:type="dxa"/>
          <w:right w:w="108" w:type="dxa"/>
        </w:tblCellMar>
      </w:tblPr>
      <w:tblGrid>
        <w:gridCol w:w="1225"/>
        <w:gridCol w:w="1160"/>
        <w:gridCol w:w="900"/>
        <w:gridCol w:w="135"/>
        <w:gridCol w:w="625"/>
        <w:gridCol w:w="4460"/>
        <w:gridCol w:w="5600"/>
        <w:gridCol w:w="1080"/>
      </w:tblGrid>
      <w:tr>
        <w:tblPrEx>
          <w:tblCellMar>
            <w:top w:w="0" w:type="dxa"/>
            <w:left w:w="108" w:type="dxa"/>
            <w:bottom w:w="0" w:type="dxa"/>
            <w:right w:w="108" w:type="dxa"/>
          </w:tblCellMar>
        </w:tblPrEx>
        <w:trPr>
          <w:trHeight w:val="420" w:hRule="atLeast"/>
          <w:tblHeader/>
        </w:trPr>
        <w:tc>
          <w:tcPr>
            <w:tcW w:w="1225" w:type="dxa"/>
            <w:tcBorders>
              <w:top w:val="nil"/>
              <w:left w:val="nil"/>
              <w:bottom w:val="nil"/>
              <w:right w:val="nil"/>
            </w:tcBorders>
            <w:noWrap/>
            <w:vAlign w:val="center"/>
          </w:tcPr>
          <w:p>
            <w:pPr>
              <w:widowControl/>
              <w:jc w:val="left"/>
              <w:rPr>
                <w:rFonts w:hint="eastAsia" w:eastAsia="黑体"/>
                <w:kern w:val="0"/>
                <w:sz w:val="28"/>
                <w:szCs w:val="28"/>
              </w:rPr>
            </w:pPr>
            <w:r>
              <w:rPr>
                <w:rFonts w:hAnsi="黑体" w:eastAsia="黑体"/>
                <w:kern w:val="0"/>
                <w:sz w:val="28"/>
                <w:szCs w:val="28"/>
              </w:rPr>
              <w:t>附件</w:t>
            </w:r>
            <w:r>
              <w:rPr>
                <w:rFonts w:hint="eastAsia" w:eastAsia="黑体"/>
                <w:kern w:val="0"/>
                <w:sz w:val="28"/>
                <w:szCs w:val="28"/>
              </w:rPr>
              <w:t>3</w:t>
            </w:r>
          </w:p>
        </w:tc>
        <w:tc>
          <w:tcPr>
            <w:tcW w:w="1160" w:type="dxa"/>
            <w:tcBorders>
              <w:top w:val="nil"/>
              <w:left w:val="nil"/>
              <w:bottom w:val="nil"/>
              <w:right w:val="nil"/>
            </w:tcBorders>
            <w:noWrap/>
            <w:vAlign w:val="center"/>
          </w:tcPr>
          <w:p>
            <w:pPr>
              <w:widowControl/>
              <w:jc w:val="left"/>
              <w:rPr>
                <w:kern w:val="0"/>
                <w:sz w:val="24"/>
              </w:rPr>
            </w:pPr>
          </w:p>
        </w:tc>
        <w:tc>
          <w:tcPr>
            <w:tcW w:w="900" w:type="dxa"/>
            <w:tcBorders>
              <w:top w:val="nil"/>
              <w:left w:val="nil"/>
              <w:bottom w:val="nil"/>
              <w:right w:val="nil"/>
            </w:tcBorders>
            <w:noWrap/>
            <w:vAlign w:val="center"/>
          </w:tcPr>
          <w:p>
            <w:pPr>
              <w:widowControl/>
              <w:jc w:val="left"/>
              <w:rPr>
                <w:kern w:val="0"/>
                <w:sz w:val="24"/>
              </w:rPr>
            </w:pPr>
          </w:p>
        </w:tc>
        <w:tc>
          <w:tcPr>
            <w:tcW w:w="760" w:type="dxa"/>
            <w:gridSpan w:val="2"/>
            <w:tcBorders>
              <w:top w:val="nil"/>
              <w:left w:val="nil"/>
              <w:bottom w:val="nil"/>
              <w:right w:val="nil"/>
            </w:tcBorders>
            <w:noWrap/>
            <w:vAlign w:val="center"/>
          </w:tcPr>
          <w:p>
            <w:pPr>
              <w:widowControl/>
              <w:jc w:val="left"/>
              <w:rPr>
                <w:kern w:val="0"/>
                <w:sz w:val="24"/>
              </w:rPr>
            </w:pPr>
          </w:p>
        </w:tc>
        <w:tc>
          <w:tcPr>
            <w:tcW w:w="4460" w:type="dxa"/>
            <w:tcBorders>
              <w:top w:val="nil"/>
              <w:left w:val="nil"/>
              <w:bottom w:val="nil"/>
              <w:right w:val="nil"/>
            </w:tcBorders>
            <w:noWrap/>
            <w:vAlign w:val="center"/>
          </w:tcPr>
          <w:p>
            <w:pPr>
              <w:widowControl/>
              <w:jc w:val="left"/>
              <w:rPr>
                <w:kern w:val="0"/>
                <w:sz w:val="24"/>
              </w:rPr>
            </w:pPr>
          </w:p>
        </w:tc>
        <w:tc>
          <w:tcPr>
            <w:tcW w:w="5600" w:type="dxa"/>
            <w:tcBorders>
              <w:top w:val="nil"/>
              <w:left w:val="nil"/>
              <w:bottom w:val="nil"/>
              <w:right w:val="nil"/>
            </w:tcBorders>
            <w:noWrap/>
            <w:vAlign w:val="center"/>
          </w:tcPr>
          <w:p>
            <w:pPr>
              <w:widowControl/>
              <w:jc w:val="left"/>
              <w:rPr>
                <w:kern w:val="0"/>
                <w:sz w:val="24"/>
              </w:rPr>
            </w:pPr>
          </w:p>
        </w:tc>
        <w:tc>
          <w:tcPr>
            <w:tcW w:w="1080" w:type="dxa"/>
            <w:tcBorders>
              <w:top w:val="nil"/>
              <w:left w:val="nil"/>
              <w:bottom w:val="nil"/>
              <w:right w:val="nil"/>
            </w:tcBorders>
            <w:noWrap/>
            <w:vAlign w:val="center"/>
          </w:tcPr>
          <w:p>
            <w:pPr>
              <w:widowControl/>
              <w:jc w:val="left"/>
              <w:rPr>
                <w:kern w:val="0"/>
                <w:sz w:val="24"/>
              </w:rPr>
            </w:pPr>
          </w:p>
        </w:tc>
      </w:tr>
      <w:tr>
        <w:tblPrEx>
          <w:tblCellMar>
            <w:top w:w="0" w:type="dxa"/>
            <w:left w:w="108" w:type="dxa"/>
            <w:bottom w:w="0" w:type="dxa"/>
            <w:right w:w="108" w:type="dxa"/>
          </w:tblCellMar>
        </w:tblPrEx>
        <w:trPr>
          <w:trHeight w:val="855" w:hRule="atLeast"/>
          <w:tblHeader/>
        </w:trPr>
        <w:tc>
          <w:tcPr>
            <w:tcW w:w="15185" w:type="dxa"/>
            <w:gridSpan w:val="8"/>
            <w:tcBorders>
              <w:top w:val="nil"/>
              <w:left w:val="nil"/>
              <w:bottom w:val="nil"/>
              <w:right w:val="nil"/>
            </w:tcBorders>
            <w:noWrap/>
            <w:vAlign w:val="center"/>
          </w:tcPr>
          <w:p>
            <w:pPr>
              <w:widowControl/>
              <w:jc w:val="center"/>
              <w:rPr>
                <w:rFonts w:eastAsia="方正小标宋简体"/>
                <w:kern w:val="0"/>
                <w:sz w:val="36"/>
                <w:szCs w:val="36"/>
              </w:rPr>
            </w:pPr>
            <w:r>
              <w:rPr>
                <w:rFonts w:eastAsia="方正小标宋简体"/>
                <w:kern w:val="0"/>
                <w:sz w:val="36"/>
                <w:szCs w:val="36"/>
              </w:rPr>
              <w:t>项目支出绩效评价共性指标</w:t>
            </w:r>
          </w:p>
        </w:tc>
      </w:tr>
      <w:tr>
        <w:tblPrEx>
          <w:tblCellMar>
            <w:top w:w="0" w:type="dxa"/>
            <w:left w:w="108" w:type="dxa"/>
            <w:bottom w:w="0" w:type="dxa"/>
            <w:right w:w="108" w:type="dxa"/>
          </w:tblCellMar>
        </w:tblPrEx>
        <w:trPr>
          <w:trHeight w:val="750" w:hRule="atLeast"/>
          <w:tblHeader/>
        </w:trPr>
        <w:tc>
          <w:tcPr>
            <w:tcW w:w="12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一级指标</w:t>
            </w:r>
          </w:p>
        </w:tc>
        <w:tc>
          <w:tcPr>
            <w:tcW w:w="116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二级指标</w:t>
            </w:r>
          </w:p>
        </w:tc>
        <w:tc>
          <w:tcPr>
            <w:tcW w:w="1035" w:type="dxa"/>
            <w:gridSpan w:val="2"/>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三级指标</w:t>
            </w:r>
          </w:p>
        </w:tc>
        <w:tc>
          <w:tcPr>
            <w:tcW w:w="625"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分值</w:t>
            </w:r>
          </w:p>
        </w:tc>
        <w:tc>
          <w:tcPr>
            <w:tcW w:w="446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指标说明</w:t>
            </w:r>
          </w:p>
        </w:tc>
        <w:tc>
          <w:tcPr>
            <w:tcW w:w="560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评价标准</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自评分</w:t>
            </w:r>
          </w:p>
        </w:tc>
      </w:tr>
      <w:tr>
        <w:tblPrEx>
          <w:tblCellMar>
            <w:top w:w="0" w:type="dxa"/>
            <w:left w:w="108" w:type="dxa"/>
            <w:bottom w:w="0" w:type="dxa"/>
            <w:right w:w="108" w:type="dxa"/>
          </w:tblCellMar>
        </w:tblPrEx>
        <w:trPr>
          <w:trHeight w:val="1169" w:hRule="atLeast"/>
        </w:trPr>
        <w:tc>
          <w:tcPr>
            <w:tcW w:w="1225"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投入</w:t>
            </w:r>
            <w:r>
              <w:rPr>
                <w:kern w:val="0"/>
                <w:sz w:val="20"/>
                <w:szCs w:val="20"/>
              </w:rPr>
              <w:t xml:space="preserve">     </w:t>
            </w:r>
            <w:r>
              <w:rPr>
                <w:rFonts w:hAnsi="宋体"/>
                <w:kern w:val="0"/>
                <w:sz w:val="20"/>
                <w:szCs w:val="20"/>
              </w:rPr>
              <w:t>（</w:t>
            </w:r>
            <w:r>
              <w:rPr>
                <w:kern w:val="0"/>
                <w:sz w:val="20"/>
                <w:szCs w:val="20"/>
              </w:rPr>
              <w:t>20</w:t>
            </w:r>
            <w:r>
              <w:rPr>
                <w:rFonts w:hAnsi="宋体"/>
                <w:kern w:val="0"/>
                <w:sz w:val="20"/>
                <w:szCs w:val="20"/>
              </w:rPr>
              <w:t>分）</w:t>
            </w:r>
          </w:p>
        </w:tc>
        <w:tc>
          <w:tcPr>
            <w:tcW w:w="1160"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5</w:t>
            </w:r>
          </w:p>
        </w:tc>
      </w:tr>
      <w:tr>
        <w:tblPrEx>
          <w:tblCellMar>
            <w:top w:w="0" w:type="dxa"/>
            <w:left w:w="108" w:type="dxa"/>
            <w:bottom w:w="0" w:type="dxa"/>
            <w:right w:w="108" w:type="dxa"/>
          </w:tblCellMar>
        </w:tblPrEx>
        <w:trPr>
          <w:trHeight w:val="990"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、项目总体目标和年度目标设定合理合理得</w:t>
            </w:r>
            <w:r>
              <w:rPr>
                <w:kern w:val="0"/>
                <w:sz w:val="20"/>
                <w:szCs w:val="20"/>
              </w:rPr>
              <w:t>1</w:t>
            </w:r>
            <w:r>
              <w:rPr>
                <w:rFonts w:hAnsi="宋体"/>
                <w:kern w:val="0"/>
                <w:sz w:val="20"/>
                <w:szCs w:val="20"/>
              </w:rPr>
              <w:t>分，否则不得分。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1080"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840"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noWrap w:val="0"/>
            <w:vAlign w:val="center"/>
          </w:tcPr>
          <w:p>
            <w:pPr>
              <w:widowControl/>
              <w:jc w:val="center"/>
              <w:rPr>
                <w:kern w:val="0"/>
                <w:sz w:val="20"/>
                <w:szCs w:val="20"/>
              </w:rPr>
            </w:pPr>
            <w:r>
              <w:rPr>
                <w:rFonts w:hAnsi="宋体"/>
                <w:kern w:val="0"/>
                <w:sz w:val="20"/>
                <w:szCs w:val="20"/>
              </w:rPr>
              <w:t>资金落实</w:t>
            </w:r>
            <w:r>
              <w:rPr>
                <w:kern w:val="0"/>
                <w:sz w:val="20"/>
                <w:szCs w:val="20"/>
              </w:rPr>
              <w:t xml:space="preserve">  </w:t>
            </w:r>
            <w:r>
              <w:rPr>
                <w:rFonts w:hAnsi="宋体"/>
                <w:kern w:val="0"/>
                <w:sz w:val="20"/>
                <w:szCs w:val="20"/>
              </w:rPr>
              <w:t>（</w:t>
            </w:r>
            <w:r>
              <w:rPr>
                <w:kern w:val="0"/>
                <w:sz w:val="20"/>
                <w:szCs w:val="20"/>
              </w:rPr>
              <w:t>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资金</w:t>
            </w:r>
            <w:r>
              <w:rPr>
                <w:kern w:val="0"/>
                <w:sz w:val="20"/>
                <w:szCs w:val="20"/>
              </w:rPr>
              <w:t xml:space="preserve">   </w:t>
            </w:r>
            <w:r>
              <w:rPr>
                <w:rFonts w:hAnsi="宋体"/>
                <w:kern w:val="0"/>
                <w:sz w:val="20"/>
                <w:szCs w:val="20"/>
              </w:rPr>
              <w:t>到位率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2</w:t>
            </w:r>
          </w:p>
        </w:tc>
      </w:tr>
      <w:tr>
        <w:tblPrEx>
          <w:tblCellMar>
            <w:top w:w="0" w:type="dxa"/>
            <w:left w:w="108" w:type="dxa"/>
            <w:bottom w:w="0" w:type="dxa"/>
            <w:right w:w="108" w:type="dxa"/>
          </w:tblCellMar>
        </w:tblPrEx>
        <w:trPr>
          <w:trHeight w:val="821"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到位</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资金是否及时到位；若未及时到位，是否影响项目进度。</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2</w:t>
            </w:r>
          </w:p>
        </w:tc>
      </w:tr>
      <w:tr>
        <w:tblPrEx>
          <w:tblCellMar>
            <w:top w:w="0" w:type="dxa"/>
            <w:left w:w="108" w:type="dxa"/>
            <w:bottom w:w="0" w:type="dxa"/>
            <w:right w:w="108" w:type="dxa"/>
          </w:tblCellMar>
        </w:tblPrEx>
        <w:trPr>
          <w:trHeight w:val="855" w:hRule="atLeast"/>
        </w:trPr>
        <w:tc>
          <w:tcPr>
            <w:tcW w:w="12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kern w:val="0"/>
                <w:sz w:val="20"/>
                <w:szCs w:val="20"/>
              </w:rPr>
            </w:pPr>
            <w:r>
              <w:rPr>
                <w:rFonts w:hAnsi="宋体"/>
                <w:kern w:val="0"/>
                <w:sz w:val="20"/>
                <w:szCs w:val="20"/>
              </w:rPr>
              <w:t>过程</w:t>
            </w:r>
            <w:r>
              <w:rPr>
                <w:kern w:val="0"/>
                <w:sz w:val="20"/>
                <w:szCs w:val="20"/>
              </w:rPr>
              <w:t xml:space="preserve">  </w:t>
            </w:r>
          </w:p>
          <w:p>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pPr>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3</w:t>
            </w:r>
          </w:p>
        </w:tc>
      </w:tr>
      <w:tr>
        <w:tblPrEx>
          <w:tblCellMar>
            <w:top w:w="0" w:type="dxa"/>
            <w:left w:w="108" w:type="dxa"/>
            <w:bottom w:w="0" w:type="dxa"/>
            <w:right w:w="108" w:type="dxa"/>
          </w:tblCellMar>
        </w:tblPrEx>
        <w:trPr>
          <w:trHeight w:val="1335"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制度执行有效性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855"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项目质量可控性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2</w:t>
            </w:r>
            <w:r>
              <w:rPr>
                <w:rFonts w:hAnsi="宋体"/>
                <w:kern w:val="0"/>
                <w:sz w:val="24"/>
              </w:rPr>
              <w:t>　</w:t>
            </w:r>
          </w:p>
        </w:tc>
      </w:tr>
      <w:tr>
        <w:tblPrEx>
          <w:tblCellMar>
            <w:top w:w="0" w:type="dxa"/>
            <w:left w:w="108" w:type="dxa"/>
            <w:bottom w:w="0" w:type="dxa"/>
            <w:right w:w="108" w:type="dxa"/>
          </w:tblCellMar>
        </w:tblPrEx>
        <w:trPr>
          <w:trHeight w:val="900"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393"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资金使用合规性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10</w:t>
            </w:r>
          </w:p>
        </w:tc>
      </w:tr>
      <w:tr>
        <w:tblPrEx>
          <w:tblCellMar>
            <w:top w:w="0" w:type="dxa"/>
            <w:left w:w="108" w:type="dxa"/>
            <w:bottom w:w="0" w:type="dxa"/>
            <w:right w:w="108" w:type="dxa"/>
          </w:tblCellMar>
        </w:tblPrEx>
        <w:trPr>
          <w:trHeight w:val="750"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财务监控有效性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5</w:t>
            </w:r>
          </w:p>
        </w:tc>
      </w:tr>
      <w:tr>
        <w:tblPrEx>
          <w:tblCellMar>
            <w:top w:w="0" w:type="dxa"/>
            <w:left w:w="108" w:type="dxa"/>
            <w:bottom w:w="0" w:type="dxa"/>
            <w:right w:w="108" w:type="dxa"/>
          </w:tblCellMar>
        </w:tblPrEx>
        <w:trPr>
          <w:trHeight w:val="705" w:hRule="atLeast"/>
        </w:trPr>
        <w:tc>
          <w:tcPr>
            <w:tcW w:w="122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kern w:val="0"/>
                <w:sz w:val="20"/>
                <w:szCs w:val="20"/>
              </w:rPr>
            </w:pPr>
            <w:r>
              <w:rPr>
                <w:rFonts w:hAnsi="宋体"/>
                <w:kern w:val="0"/>
                <w:sz w:val="20"/>
                <w:szCs w:val="20"/>
              </w:rPr>
              <w:t>产出</w:t>
            </w:r>
          </w:p>
          <w:p>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60"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主要工作量完成率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10</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完成</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5</w:t>
            </w:r>
          </w:p>
        </w:tc>
      </w:tr>
      <w:tr>
        <w:tblPrEx>
          <w:tblCellMar>
            <w:top w:w="0" w:type="dxa"/>
            <w:left w:w="108" w:type="dxa"/>
            <w:bottom w:w="0" w:type="dxa"/>
            <w:right w:w="108" w:type="dxa"/>
          </w:tblCellMar>
        </w:tblPrEx>
        <w:trPr>
          <w:trHeight w:val="660"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工作质量达标率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根据项目验收结论，评价项目建设的工作质量的优劣。</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5</w:t>
            </w:r>
          </w:p>
        </w:tc>
      </w:tr>
      <w:tr>
        <w:tblPrEx>
          <w:tblCellMar>
            <w:top w:w="0" w:type="dxa"/>
            <w:left w:w="108" w:type="dxa"/>
            <w:bottom w:w="0" w:type="dxa"/>
            <w:right w:w="108" w:type="dxa"/>
          </w:tblCellMar>
        </w:tblPrEx>
        <w:trPr>
          <w:trHeight w:val="58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成本</w:t>
            </w:r>
            <w:r>
              <w:rPr>
                <w:kern w:val="0"/>
                <w:sz w:val="20"/>
                <w:szCs w:val="20"/>
              </w:rPr>
              <w:t xml:space="preserve">    </w:t>
            </w:r>
            <w:r>
              <w:rPr>
                <w:rFonts w:hAnsi="宋体"/>
                <w:kern w:val="0"/>
                <w:sz w:val="20"/>
                <w:szCs w:val="20"/>
              </w:rPr>
              <w:t>节约率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noWrap w:val="0"/>
            <w:vAlign w:val="center"/>
          </w:tcPr>
          <w:p>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ign w:val="center"/>
          </w:tcPr>
          <w:p>
            <w:pPr>
              <w:widowControl/>
              <w:jc w:val="center"/>
              <w:rPr>
                <w:kern w:val="0"/>
                <w:sz w:val="20"/>
                <w:szCs w:val="20"/>
              </w:rPr>
            </w:pPr>
            <w:r>
              <w:rPr>
                <w:rFonts w:hAnsi="宋体"/>
                <w:kern w:val="0"/>
                <w:sz w:val="20"/>
                <w:szCs w:val="20"/>
              </w:rPr>
              <w:t>社会效益</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15</w:t>
            </w:r>
          </w:p>
        </w:tc>
      </w:tr>
      <w:tr>
        <w:tblPrEx>
          <w:tblCellMar>
            <w:top w:w="0" w:type="dxa"/>
            <w:left w:w="108" w:type="dxa"/>
            <w:bottom w:w="0" w:type="dxa"/>
            <w:right w:w="108" w:type="dxa"/>
          </w:tblCellMar>
        </w:tblPrEx>
        <w:trPr>
          <w:trHeight w:val="67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可持续</w:t>
            </w:r>
            <w:r>
              <w:rPr>
                <w:kern w:val="0"/>
                <w:sz w:val="20"/>
                <w:szCs w:val="20"/>
              </w:rPr>
              <w:t xml:space="preserve">  </w:t>
            </w:r>
            <w:r>
              <w:rPr>
                <w:rFonts w:hAnsi="宋体"/>
                <w:kern w:val="0"/>
                <w:sz w:val="20"/>
                <w:szCs w:val="20"/>
              </w:rPr>
              <w:t>影响</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10</w:t>
            </w:r>
            <w:r>
              <w:rPr>
                <w:rFonts w:hAnsi="宋体"/>
                <w:kern w:val="0"/>
                <w:sz w:val="24"/>
              </w:rPr>
              <w:t>　</w:t>
            </w:r>
          </w:p>
        </w:tc>
      </w:tr>
      <w:tr>
        <w:tblPrEx>
          <w:tblCellMar>
            <w:top w:w="0" w:type="dxa"/>
            <w:left w:w="108" w:type="dxa"/>
            <w:bottom w:w="0" w:type="dxa"/>
            <w:right w:w="108" w:type="dxa"/>
          </w:tblCellMar>
        </w:tblPrEx>
        <w:trPr>
          <w:trHeight w:val="660" w:hRule="atLeast"/>
        </w:trPr>
        <w:tc>
          <w:tcPr>
            <w:tcW w:w="34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合计</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　</w:t>
            </w:r>
          </w:p>
        </w:tc>
        <w:tc>
          <w:tcPr>
            <w:tcW w:w="5600"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rPr>
              <w:t>100</w:t>
            </w:r>
          </w:p>
        </w:tc>
      </w:tr>
    </w:tbl>
    <w:p/>
    <w:p>
      <w:pPr>
        <w:spacing w:after="0" w:line="560" w:lineRule="exact"/>
        <w:ind w:firstLine="1680" w:firstLineChars="200"/>
        <w:jc w:val="both"/>
        <w:rPr>
          <w:rFonts w:ascii="仿宋_GB2312" w:eastAsia="仿宋_GB2312"/>
          <w:sz w:val="84"/>
          <w:szCs w:val="84"/>
        </w:rPr>
      </w:pPr>
    </w:p>
    <w:sectPr>
      <w:footerReference r:id="rId8" w:type="default"/>
      <w:pgSz w:w="16838" w:h="11906" w:orient="landscape"/>
      <w:pgMar w:top="1800" w:right="1440" w:bottom="1800" w:left="1440" w:header="708" w:footer="708"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Fonts w:ascii="宋体" w:hAnsi="宋体"/>
        <w:sz w:val="24"/>
        <w:szCs w:val="24"/>
      </w:rPr>
    </w:pPr>
    <w:r>
      <w:rPr>
        <w:rFonts w:ascii="宋体" w:hAnsi="宋体"/>
        <w:sz w:val="24"/>
        <w:szCs w:val="24"/>
      </w:rPr>
      <w:fldChar w:fldCharType="begin"/>
    </w:r>
    <w:r>
      <w:rPr>
        <w:rStyle w:val="7"/>
        <w:rFonts w:ascii="宋体" w:hAnsi="宋体"/>
        <w:sz w:val="24"/>
        <w:szCs w:val="24"/>
      </w:rPr>
      <w:instrText xml:space="preserve">PAGE  </w:instrText>
    </w:r>
    <w:r>
      <w:rPr>
        <w:rFonts w:ascii="宋体" w:hAnsi="宋体"/>
        <w:sz w:val="24"/>
        <w:szCs w:val="24"/>
      </w:rPr>
      <w:fldChar w:fldCharType="separate"/>
    </w:r>
    <w:r>
      <w:rPr>
        <w:rStyle w:val="7"/>
        <w:rFonts w:ascii="宋体" w:hAnsi="宋体"/>
        <w:sz w:val="24"/>
        <w:szCs w:val="24"/>
      </w:rPr>
      <w:t>- 4 -</w:t>
    </w:r>
    <w:r>
      <w:rPr>
        <w:rFonts w:ascii="宋体" w:hAnsi="宋体"/>
        <w:sz w:val="24"/>
        <w:szCs w:val="24"/>
      </w:rPr>
      <w:fldChar w:fldCharType="end"/>
    </w:r>
  </w:p>
  <w:p>
    <w:pPr>
      <w:pStyle w:val="3"/>
      <w:tabs>
        <w:tab w:val="left" w:pos="4995"/>
        <w:tab w:val="clear" w:pos="4153"/>
        <w:tab w:val="clear" w:pos="8306"/>
      </w:tabs>
      <w:ind w:right="360"/>
      <w:rPr>
        <w:rStyle w:val="7"/>
        <w:rFonts w:hint="eastAsia" w:ascii="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pPr>
    <w:r>
      <w:fldChar w:fldCharType="begin"/>
    </w:r>
    <w:r>
      <w:rPr>
        <w:rStyle w:val="7"/>
      </w:rPr>
      <w:instrText xml:space="preserve">Page</w:instrText>
    </w:r>
    <w:r>
      <w:fldChar w:fldCharType="separate"/>
    </w:r>
    <w:r>
      <w:rPr>
        <w:rStyle w:val="7"/>
      </w:rPr>
      <w:t>- 1 -</w:t>
    </w:r>
    <w:r>
      <w:fldChar w:fldCharType="end"/>
    </w:r>
  </w:p>
  <w:p>
    <w:pPr>
      <w:pStyle w:val="3"/>
      <w:framePr w:wrap="around" w:vAnchor="text" w:hAnchor="margin" w:xAlign="center" w:y="1"/>
      <w:ind w:right="360"/>
    </w:pPr>
    <w:r>
      <w:fldChar w:fldCharType="begin"/>
    </w:r>
    <w:r>
      <w:rPr>
        <w:rStyle w:val="7"/>
      </w:rPr>
      <w:instrText xml:space="preserve">Page</w:instrText>
    </w:r>
    <w:r>
      <w:fldChar w:fldCharType="separate"/>
    </w:r>
    <w:r>
      <w:rPr>
        <w:rStyle w:val="7"/>
      </w:rPr>
      <w:t>- 1 -</w:t>
    </w:r>
    <w:r>
      <w:fldChar w:fldCharType="end"/>
    </w:r>
  </w:p>
  <w:p>
    <w:pPr>
      <w:pStyle w:val="3"/>
      <w:framePr w:wrap="around" w:vAnchor="text" w:hAnchor="margin" w:xAlign="center" w:y="1"/>
      <w:ind w:right="360"/>
      <w:rPr>
        <w:rStyle w:val="7"/>
      </w:rPr>
    </w:pPr>
    <w:r>
      <w:fldChar w:fldCharType="begin"/>
    </w:r>
    <w:r>
      <w:rPr>
        <w:rStyle w:val="7"/>
      </w:rPr>
      <w:instrText xml:space="preserve">Page</w:instrText>
    </w:r>
    <w:r>
      <w:fldChar w:fldCharType="separate"/>
    </w:r>
    <w:r>
      <w:rPr>
        <w:rStyle w:val="7"/>
      </w:rPr>
      <w:t>- 1 -</w: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95032"/>
      <w:docPartObj>
        <w:docPartGallery w:val="autotext"/>
      </w:docPartObj>
    </w:sdtPr>
    <w:sdtContent>
      <w:sdt>
        <w:sdtPr>
          <w:id w:val="171357217"/>
          <w:docPartObj>
            <w:docPartGallery w:val="autotext"/>
          </w:docPartObj>
        </w:sdtPr>
        <w:sdtContent>
          <w:p>
            <w:pPr>
              <w:pStyle w:val="3"/>
              <w:jc w:val="center"/>
              <w:rPr>
                <w:sz w:val="21"/>
              </w:rPr>
            </w:pPr>
            <w:r>
              <w:rPr>
                <w:rFonts w:hint="eastAsia" w:eastAsia="仿宋_GB2312"/>
                <w:sz w:val="21"/>
              </w:rPr>
              <w:t>第</w:t>
            </w:r>
            <w:r>
              <w:rPr>
                <w:rFonts w:eastAsia="仿宋_GB2312"/>
                <w:sz w:val="21"/>
                <w:lang w:val="zh-CN"/>
              </w:rPr>
              <w:t xml:space="preserve"> </w:t>
            </w:r>
            <w:r>
              <w:rPr>
                <w:rFonts w:eastAsia="仿宋_GB2312"/>
                <w:sz w:val="21"/>
                <w:szCs w:val="24"/>
              </w:rPr>
              <w:fldChar w:fldCharType="begin"/>
            </w:r>
            <w:r>
              <w:rPr>
                <w:rFonts w:eastAsia="仿宋_GB2312"/>
                <w:sz w:val="21"/>
              </w:rPr>
              <w:instrText xml:space="preserve">PAGE</w:instrText>
            </w:r>
            <w:r>
              <w:rPr>
                <w:rFonts w:eastAsia="仿宋_GB2312"/>
                <w:sz w:val="21"/>
                <w:szCs w:val="24"/>
              </w:rPr>
              <w:fldChar w:fldCharType="separate"/>
            </w:r>
            <w:r>
              <w:rPr>
                <w:rFonts w:eastAsia="仿宋_GB2312"/>
                <w:sz w:val="21"/>
              </w:rPr>
              <w:t>4</w:t>
            </w:r>
            <w:r>
              <w:rPr>
                <w:rFonts w:eastAsia="仿宋_GB2312"/>
                <w:sz w:val="21"/>
                <w:szCs w:val="24"/>
              </w:rPr>
              <w:fldChar w:fldCharType="end"/>
            </w:r>
            <w:r>
              <w:rPr>
                <w:rFonts w:hint="eastAsia" w:eastAsia="仿宋_GB2312"/>
                <w:sz w:val="21"/>
                <w:szCs w:val="24"/>
              </w:rPr>
              <w:t>页 共</w:t>
            </w:r>
            <w:r>
              <w:rPr>
                <w:rFonts w:eastAsia="仿宋_GB2312"/>
                <w:sz w:val="21"/>
                <w:lang w:val="zh-CN"/>
              </w:rPr>
              <w:t xml:space="preserve"> </w:t>
            </w:r>
            <w:r>
              <w:rPr>
                <w:rFonts w:eastAsia="仿宋_GB2312"/>
                <w:sz w:val="21"/>
                <w:szCs w:val="24"/>
              </w:rPr>
              <w:fldChar w:fldCharType="begin"/>
            </w:r>
            <w:r>
              <w:rPr>
                <w:rFonts w:eastAsia="仿宋_GB2312"/>
                <w:sz w:val="21"/>
              </w:rPr>
              <w:instrText xml:space="preserve">NUMPAGES</w:instrText>
            </w:r>
            <w:r>
              <w:rPr>
                <w:rFonts w:eastAsia="仿宋_GB2312"/>
                <w:sz w:val="21"/>
                <w:szCs w:val="24"/>
              </w:rPr>
              <w:fldChar w:fldCharType="separate"/>
            </w:r>
            <w:r>
              <w:rPr>
                <w:rFonts w:eastAsia="仿宋_GB2312"/>
                <w:sz w:val="21"/>
              </w:rPr>
              <w:t>4</w:t>
            </w:r>
            <w:r>
              <w:rPr>
                <w:rFonts w:eastAsia="仿宋_GB2312"/>
                <w:sz w:val="21"/>
                <w:szCs w:val="24"/>
              </w:rPr>
              <w:fldChar w:fldCharType="end"/>
            </w:r>
            <w:r>
              <w:rPr>
                <w:rFonts w:hint="eastAsia" w:eastAsia="仿宋_GB2312"/>
                <w:sz w:val="21"/>
                <w:szCs w:val="24"/>
              </w:rPr>
              <w:t>页</w:t>
            </w:r>
          </w:p>
        </w:sdtContent>
      </w:sdt>
    </w:sdtContent>
  </w:sdt>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right" w:pos="8307"/>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00223F"/>
    <w:rsid w:val="00005812"/>
    <w:rsid w:val="00017EFD"/>
    <w:rsid w:val="00035467"/>
    <w:rsid w:val="000453F0"/>
    <w:rsid w:val="00053742"/>
    <w:rsid w:val="000723CA"/>
    <w:rsid w:val="000956C3"/>
    <w:rsid w:val="000A1DE2"/>
    <w:rsid w:val="000B480B"/>
    <w:rsid w:val="000B5AFD"/>
    <w:rsid w:val="000D12C5"/>
    <w:rsid w:val="000F2E30"/>
    <w:rsid w:val="000F678E"/>
    <w:rsid w:val="001035C6"/>
    <w:rsid w:val="00110470"/>
    <w:rsid w:val="001245F5"/>
    <w:rsid w:val="00125556"/>
    <w:rsid w:val="00150C58"/>
    <w:rsid w:val="0015441C"/>
    <w:rsid w:val="00154FBA"/>
    <w:rsid w:val="00193B2E"/>
    <w:rsid w:val="001B32D8"/>
    <w:rsid w:val="001F5926"/>
    <w:rsid w:val="00204DD2"/>
    <w:rsid w:val="00247A09"/>
    <w:rsid w:val="00272F41"/>
    <w:rsid w:val="0028535E"/>
    <w:rsid w:val="0029321C"/>
    <w:rsid w:val="00294751"/>
    <w:rsid w:val="00295DC8"/>
    <w:rsid w:val="002A3C8C"/>
    <w:rsid w:val="002A3F8A"/>
    <w:rsid w:val="002A4CF1"/>
    <w:rsid w:val="002D367A"/>
    <w:rsid w:val="00320204"/>
    <w:rsid w:val="00323B43"/>
    <w:rsid w:val="003254F1"/>
    <w:rsid w:val="003326C0"/>
    <w:rsid w:val="00340F0E"/>
    <w:rsid w:val="00361AF5"/>
    <w:rsid w:val="0036514C"/>
    <w:rsid w:val="00371CE8"/>
    <w:rsid w:val="0039087E"/>
    <w:rsid w:val="003961A6"/>
    <w:rsid w:val="003A635B"/>
    <w:rsid w:val="003D37D8"/>
    <w:rsid w:val="003E1D13"/>
    <w:rsid w:val="003E7D6E"/>
    <w:rsid w:val="003F506C"/>
    <w:rsid w:val="0041161D"/>
    <w:rsid w:val="00426133"/>
    <w:rsid w:val="00431E3F"/>
    <w:rsid w:val="004358AB"/>
    <w:rsid w:val="004417C2"/>
    <w:rsid w:val="004469FC"/>
    <w:rsid w:val="00453F58"/>
    <w:rsid w:val="0045688F"/>
    <w:rsid w:val="00456C82"/>
    <w:rsid w:val="004603B7"/>
    <w:rsid w:val="00482139"/>
    <w:rsid w:val="00490DA6"/>
    <w:rsid w:val="00495553"/>
    <w:rsid w:val="004C039F"/>
    <w:rsid w:val="004E070C"/>
    <w:rsid w:val="004F24E1"/>
    <w:rsid w:val="004F5C95"/>
    <w:rsid w:val="00500514"/>
    <w:rsid w:val="005105A5"/>
    <w:rsid w:val="00531F1C"/>
    <w:rsid w:val="005321FF"/>
    <w:rsid w:val="005430F5"/>
    <w:rsid w:val="005433DF"/>
    <w:rsid w:val="00555F3D"/>
    <w:rsid w:val="00565432"/>
    <w:rsid w:val="00581B60"/>
    <w:rsid w:val="005907A7"/>
    <w:rsid w:val="00593217"/>
    <w:rsid w:val="005A732C"/>
    <w:rsid w:val="005B3453"/>
    <w:rsid w:val="005B3DB3"/>
    <w:rsid w:val="005C4466"/>
    <w:rsid w:val="005C729D"/>
    <w:rsid w:val="005E199A"/>
    <w:rsid w:val="005E4F00"/>
    <w:rsid w:val="005E785D"/>
    <w:rsid w:val="005F5828"/>
    <w:rsid w:val="005F7A48"/>
    <w:rsid w:val="0060321B"/>
    <w:rsid w:val="00616039"/>
    <w:rsid w:val="00631B6E"/>
    <w:rsid w:val="00651F0A"/>
    <w:rsid w:val="0066739F"/>
    <w:rsid w:val="006A5121"/>
    <w:rsid w:val="006D02B2"/>
    <w:rsid w:val="006D4F82"/>
    <w:rsid w:val="007252AC"/>
    <w:rsid w:val="007261A4"/>
    <w:rsid w:val="0073181E"/>
    <w:rsid w:val="00753D0F"/>
    <w:rsid w:val="00761B23"/>
    <w:rsid w:val="00773F1C"/>
    <w:rsid w:val="00774934"/>
    <w:rsid w:val="007800E4"/>
    <w:rsid w:val="00781DBE"/>
    <w:rsid w:val="007864EE"/>
    <w:rsid w:val="00786EAF"/>
    <w:rsid w:val="00792F87"/>
    <w:rsid w:val="007B19F4"/>
    <w:rsid w:val="007E6227"/>
    <w:rsid w:val="00804858"/>
    <w:rsid w:val="00813CF5"/>
    <w:rsid w:val="008151E4"/>
    <w:rsid w:val="00822684"/>
    <w:rsid w:val="00824AD7"/>
    <w:rsid w:val="00824F0D"/>
    <w:rsid w:val="00845EBA"/>
    <w:rsid w:val="00856EAA"/>
    <w:rsid w:val="008629BF"/>
    <w:rsid w:val="00863511"/>
    <w:rsid w:val="00864517"/>
    <w:rsid w:val="008B7726"/>
    <w:rsid w:val="008E5BEE"/>
    <w:rsid w:val="008E690C"/>
    <w:rsid w:val="008F092D"/>
    <w:rsid w:val="00944317"/>
    <w:rsid w:val="00952681"/>
    <w:rsid w:val="00974307"/>
    <w:rsid w:val="00982A8D"/>
    <w:rsid w:val="00991290"/>
    <w:rsid w:val="0099190A"/>
    <w:rsid w:val="009A3117"/>
    <w:rsid w:val="009C5D15"/>
    <w:rsid w:val="009C6A97"/>
    <w:rsid w:val="009E496B"/>
    <w:rsid w:val="009E6CFC"/>
    <w:rsid w:val="00A2096E"/>
    <w:rsid w:val="00A37B21"/>
    <w:rsid w:val="00A40237"/>
    <w:rsid w:val="00A462CA"/>
    <w:rsid w:val="00A55903"/>
    <w:rsid w:val="00AA0877"/>
    <w:rsid w:val="00AA4D45"/>
    <w:rsid w:val="00AC2D4F"/>
    <w:rsid w:val="00AE28D0"/>
    <w:rsid w:val="00B060C7"/>
    <w:rsid w:val="00B249E6"/>
    <w:rsid w:val="00B253E7"/>
    <w:rsid w:val="00B254CB"/>
    <w:rsid w:val="00B259BD"/>
    <w:rsid w:val="00B53ADA"/>
    <w:rsid w:val="00B54D17"/>
    <w:rsid w:val="00B66D40"/>
    <w:rsid w:val="00B73B0B"/>
    <w:rsid w:val="00B85FBA"/>
    <w:rsid w:val="00B86A2C"/>
    <w:rsid w:val="00B93C12"/>
    <w:rsid w:val="00B96B57"/>
    <w:rsid w:val="00BA10BC"/>
    <w:rsid w:val="00BA218A"/>
    <w:rsid w:val="00BC23CF"/>
    <w:rsid w:val="00BD43A9"/>
    <w:rsid w:val="00BE1F33"/>
    <w:rsid w:val="00BE728B"/>
    <w:rsid w:val="00BF3FF0"/>
    <w:rsid w:val="00C235E8"/>
    <w:rsid w:val="00C2678E"/>
    <w:rsid w:val="00C31EE7"/>
    <w:rsid w:val="00C3608A"/>
    <w:rsid w:val="00C4497A"/>
    <w:rsid w:val="00C508B8"/>
    <w:rsid w:val="00C55C63"/>
    <w:rsid w:val="00C75F5F"/>
    <w:rsid w:val="00C87A4B"/>
    <w:rsid w:val="00C956FD"/>
    <w:rsid w:val="00CC4D51"/>
    <w:rsid w:val="00CD0730"/>
    <w:rsid w:val="00CD446F"/>
    <w:rsid w:val="00CF572D"/>
    <w:rsid w:val="00D00A86"/>
    <w:rsid w:val="00D115CE"/>
    <w:rsid w:val="00D17AC5"/>
    <w:rsid w:val="00D301B1"/>
    <w:rsid w:val="00D31D50"/>
    <w:rsid w:val="00D655B8"/>
    <w:rsid w:val="00D6646D"/>
    <w:rsid w:val="00D75F75"/>
    <w:rsid w:val="00D943C1"/>
    <w:rsid w:val="00DA4535"/>
    <w:rsid w:val="00DE4BEC"/>
    <w:rsid w:val="00E03AB2"/>
    <w:rsid w:val="00E03CF5"/>
    <w:rsid w:val="00E9121A"/>
    <w:rsid w:val="00EA31CC"/>
    <w:rsid w:val="00EA44D2"/>
    <w:rsid w:val="00EB34B1"/>
    <w:rsid w:val="00EB7E2B"/>
    <w:rsid w:val="00EC2AF2"/>
    <w:rsid w:val="00EE2EEE"/>
    <w:rsid w:val="00F02E80"/>
    <w:rsid w:val="00F36845"/>
    <w:rsid w:val="00F46455"/>
    <w:rsid w:val="00F5749F"/>
    <w:rsid w:val="00F57D35"/>
    <w:rsid w:val="00F67433"/>
    <w:rsid w:val="00F70AC0"/>
    <w:rsid w:val="00F70DB1"/>
    <w:rsid w:val="00F8197A"/>
    <w:rsid w:val="00F85301"/>
    <w:rsid w:val="00FA4557"/>
    <w:rsid w:val="00FA6E5D"/>
    <w:rsid w:val="1BC765A8"/>
    <w:rsid w:val="38291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footer"/>
    <w:basedOn w:val="1"/>
    <w:link w:val="10"/>
    <w:unhideWhenUsed/>
    <w:qFormat/>
    <w:uiPriority w:val="99"/>
    <w:pPr>
      <w:tabs>
        <w:tab w:val="center" w:pos="4153"/>
        <w:tab w:val="right" w:pos="8306"/>
      </w:tabs>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character" w:styleId="7">
    <w:name w:val="page number"/>
    <w:basedOn w:val="6"/>
    <w:qFormat/>
    <w:uiPriority w:val="0"/>
  </w:style>
  <w:style w:type="character" w:customStyle="1" w:styleId="8">
    <w:name w:val="日期 Char"/>
    <w:basedOn w:val="6"/>
    <w:link w:val="2"/>
    <w:semiHidden/>
    <w:uiPriority w:val="99"/>
    <w:rPr>
      <w:rFonts w:ascii="Tahoma" w:hAnsi="Tahoma"/>
    </w:rPr>
  </w:style>
  <w:style w:type="character" w:customStyle="1" w:styleId="9">
    <w:name w:val="页眉 Char"/>
    <w:basedOn w:val="6"/>
    <w:link w:val="4"/>
    <w:semiHidden/>
    <w:qFormat/>
    <w:uiPriority w:val="99"/>
    <w:rPr>
      <w:rFonts w:ascii="Tahoma" w:hAnsi="Tahoma"/>
      <w:sz w:val="18"/>
      <w:szCs w:val="18"/>
    </w:rPr>
  </w:style>
  <w:style w:type="character" w:customStyle="1" w:styleId="10">
    <w:name w:val="页脚 Char"/>
    <w:basedOn w:val="6"/>
    <w:link w:val="3"/>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5FDC97-099B-4380-BA9B-5FB12D359412}">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298</Words>
  <Characters>1701</Characters>
  <Lines>14</Lines>
  <Paragraphs>3</Paragraphs>
  <TotalTime>0</TotalTime>
  <ScaleCrop>false</ScaleCrop>
  <LinksUpToDate>false</LinksUpToDate>
  <CharactersWithSpaces>1996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2019-07-24T01:56:00Z</dcterms:created>
  <dc:creator>Administrator</dc:creator>
  <cp:lastModifiedBy>低唱潛吟心坎舞</cp:lastModifiedBy>
  <cp:lastPrinted>2019-09-16T01:02:00Z</cp:lastPrinted>
  <dcterms:modified xsi:type="dcterms:W3CDTF">2021-11-03T08:22:52Z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E7AFE26765514355B00BA92AE08564DC</vt:lpwstr>
  </property>
</Properties>
</file>