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炎陵县人力资源和社会保障局2020年度机关事业单位养老</w:t>
      </w:r>
      <w:bookmarkStart w:id="0" w:name="_GoBack"/>
      <w:bookmarkEnd w:id="0"/>
      <w:r>
        <w:rPr>
          <w:rFonts w:hint="eastAsia" w:ascii="方正小标宋简体" w:eastAsia="方正小标宋简体"/>
          <w:sz w:val="44"/>
          <w:szCs w:val="44"/>
        </w:rPr>
        <w:t>保险预算支出绩效报告</w:t>
      </w:r>
    </w:p>
    <w:p>
      <w:pPr>
        <w:spacing w:after="0" w:line="560" w:lineRule="exact"/>
        <w:jc w:val="center"/>
        <w:rPr>
          <w:rFonts w:ascii="楷体_GB2312" w:eastAsia="楷体_GB2312"/>
          <w:sz w:val="32"/>
          <w:szCs w:val="32"/>
        </w:rPr>
      </w:pPr>
    </w:p>
    <w:p>
      <w:pPr>
        <w:spacing w:after="0" w:line="560" w:lineRule="exact"/>
        <w:jc w:val="center"/>
        <w:rPr>
          <w:rFonts w:ascii="楷体_GB2312" w:eastAsia="楷体_GB2312"/>
          <w:sz w:val="32"/>
          <w:szCs w:val="32"/>
        </w:rPr>
      </w:pPr>
      <w:r>
        <w:rPr>
          <w:rFonts w:hint="eastAsia" w:ascii="楷体_GB2312" w:eastAsia="楷体_GB2312"/>
          <w:sz w:val="32"/>
          <w:szCs w:val="32"/>
        </w:rPr>
        <w:t>炎陵县社会保险服务中心</w:t>
      </w:r>
    </w:p>
    <w:p>
      <w:pPr>
        <w:spacing w:after="0" w:line="560" w:lineRule="exact"/>
        <w:jc w:val="center"/>
        <w:rPr>
          <w:rFonts w:ascii="楷体_GB2312" w:eastAsia="楷体_GB2312"/>
          <w:sz w:val="32"/>
          <w:szCs w:val="32"/>
        </w:rPr>
      </w:pPr>
    </w:p>
    <w:p>
      <w:pPr>
        <w:spacing w:after="0" w:line="560" w:lineRule="exact"/>
        <w:jc w:val="center"/>
        <w:rPr>
          <w:rFonts w:ascii="楷体_GB2312" w:eastAsia="楷体_GB2312"/>
          <w:sz w:val="32"/>
          <w:szCs w:val="32"/>
        </w:rPr>
      </w:pPr>
    </w:p>
    <w:p>
      <w:pPr>
        <w:spacing w:after="0" w:line="560" w:lineRule="exact"/>
        <w:ind w:firstLine="640" w:firstLineChars="200"/>
        <w:jc w:val="both"/>
        <w:rPr>
          <w:rFonts w:ascii="黑体" w:hAnsi="宋体" w:eastAsia="黑体"/>
          <w:sz w:val="32"/>
          <w:szCs w:val="32"/>
        </w:rPr>
      </w:pPr>
      <w:r>
        <w:rPr>
          <w:rFonts w:hint="eastAsia" w:ascii="黑体" w:hAnsi="宋体" w:eastAsia="黑体"/>
          <w:sz w:val="32"/>
          <w:szCs w:val="32"/>
        </w:rPr>
        <w:t>一、项目概况</w:t>
      </w:r>
    </w:p>
    <w:p>
      <w:pPr>
        <w:spacing w:after="0" w:line="560" w:lineRule="exact"/>
        <w:ind w:firstLine="643" w:firstLineChars="200"/>
        <w:jc w:val="both"/>
        <w:rPr>
          <w:rFonts w:ascii="仿宋_GB2312" w:hAnsi="宋体" w:eastAsia="仿宋_GB2312"/>
          <w:sz w:val="32"/>
          <w:szCs w:val="32"/>
        </w:rPr>
      </w:pPr>
      <w:r>
        <w:rPr>
          <w:rFonts w:hint="eastAsia" w:ascii="仿宋_GB2312" w:hAnsi="宋体" w:eastAsia="仿宋_GB2312"/>
          <w:b/>
          <w:sz w:val="32"/>
          <w:szCs w:val="32"/>
        </w:rPr>
        <w:t>（一）项目单位基本情况</w:t>
      </w:r>
      <w:r>
        <w:rPr>
          <w:rFonts w:hint="eastAsia" w:ascii="仿宋_GB2312" w:hAnsi="宋体" w:eastAsia="仿宋_GB2312"/>
          <w:sz w:val="32"/>
          <w:szCs w:val="32"/>
        </w:rPr>
        <w:t>：</w:t>
      </w:r>
      <w:r>
        <w:rPr>
          <w:rFonts w:hint="eastAsia" w:ascii="仿宋_GB2312" w:hAnsi="宋体" w:eastAsia="仿宋_GB2312" w:cs="Times New Roman"/>
          <w:sz w:val="32"/>
          <w:szCs w:val="32"/>
        </w:rPr>
        <w:t>2020年4月，设立炎陵县社会保险服务中心，为副科级全额拨款事业单位，归口县人力资源和社会保障局管理</w:t>
      </w:r>
      <w:r>
        <w:rPr>
          <w:rFonts w:hint="eastAsia" w:ascii="仿宋_GB2312" w:hAnsi="宋体" w:eastAsia="仿宋_GB2312"/>
          <w:sz w:val="32"/>
          <w:szCs w:val="32"/>
        </w:rPr>
        <w:t>。管理辖区内机关事业单位养老保险基金，基金的使用计划编制与执行，退休人员退休费的发放等相关工作。县人力资源和社会保障部门要切实履行机关事业单位养老保险工作行政主管部门的职责，会同有关部门做好机关事业单位养老保险的统筹规划、政策解读、统一管理、综合协调和监督检查等工作。</w:t>
      </w:r>
    </w:p>
    <w:p>
      <w:pPr>
        <w:spacing w:after="0" w:line="560" w:lineRule="exact"/>
        <w:ind w:firstLine="643" w:firstLineChars="200"/>
        <w:jc w:val="both"/>
        <w:rPr>
          <w:rFonts w:ascii="仿宋_GB2312" w:hAnsi="宋体" w:eastAsia="仿宋_GB2312"/>
          <w:sz w:val="32"/>
          <w:szCs w:val="32"/>
        </w:rPr>
      </w:pPr>
      <w:r>
        <w:rPr>
          <w:rFonts w:hint="eastAsia" w:ascii="仿宋_GB2312" w:hAnsi="宋体" w:eastAsia="仿宋_GB2312"/>
          <w:b/>
          <w:sz w:val="32"/>
          <w:szCs w:val="32"/>
        </w:rPr>
        <w:t>（二）项目基本情况简介：</w:t>
      </w:r>
      <w:r>
        <w:rPr>
          <w:rFonts w:hint="eastAsia" w:ascii="仿宋_GB2312" w:hAnsi="宋体" w:eastAsia="仿宋_GB2312"/>
          <w:sz w:val="32"/>
          <w:szCs w:val="32"/>
        </w:rPr>
        <w:t>根据国发[2015]2号文件精神，结合我省实际，制定了全省机关事业单位工作人员养老保险制度改革的实施意见（湘政发[2015]38号）。本实施意见适用于按照公务员法管理的单位、参照公务员法管理的机关（单位）、事业单位及其编制内的工作人员；具体对改革的单位范围、人员范围、基金筹集、个人账户、养老金计发等方面进行了明确规定；目标是改革现行机关事业单位工作人员退休保障制度，逐步建立独立于机关事业单位之外、资金来源多渠道、保障方式多层次、管理服务社会化的养老保险体系。</w:t>
      </w:r>
    </w:p>
    <w:p>
      <w:pPr>
        <w:spacing w:after="0" w:line="560" w:lineRule="exact"/>
        <w:ind w:firstLine="640" w:firstLineChars="200"/>
        <w:jc w:val="both"/>
        <w:rPr>
          <w:rFonts w:ascii="黑体" w:hAnsi="宋体" w:eastAsia="黑体" w:cs="Times New Roman"/>
          <w:sz w:val="32"/>
          <w:szCs w:val="32"/>
        </w:rPr>
      </w:pPr>
      <w:r>
        <w:rPr>
          <w:rFonts w:hint="eastAsia" w:ascii="黑体" w:hAnsi="宋体" w:eastAsia="黑体" w:cs="Times New Roman"/>
          <w:sz w:val="32"/>
          <w:szCs w:val="32"/>
        </w:rPr>
        <w:t>二、项目资金使用及管理情况</w:t>
      </w:r>
    </w:p>
    <w:p>
      <w:pPr>
        <w:spacing w:after="0" w:line="560" w:lineRule="exact"/>
        <w:ind w:firstLine="643" w:firstLineChars="200"/>
        <w:jc w:val="both"/>
        <w:rPr>
          <w:rFonts w:ascii="仿宋_GB2312" w:hAnsi="宋体" w:eastAsia="仿宋_GB2312" w:cs="Times New Roman"/>
          <w:sz w:val="32"/>
          <w:szCs w:val="32"/>
        </w:rPr>
      </w:pPr>
      <w:r>
        <w:rPr>
          <w:rFonts w:hint="eastAsia" w:ascii="仿宋_GB2312" w:hAnsi="宋体" w:eastAsia="仿宋_GB2312" w:cs="Times New Roman"/>
          <w:b/>
          <w:sz w:val="32"/>
          <w:szCs w:val="32"/>
        </w:rPr>
        <w:t>（一）项目资金安排落实情况：</w:t>
      </w:r>
      <w:r>
        <w:rPr>
          <w:rFonts w:hint="eastAsia" w:ascii="仿宋_GB2312" w:hAnsi="宋体" w:eastAsia="仿宋_GB2312" w:cs="Times New Roman"/>
          <w:sz w:val="32"/>
          <w:szCs w:val="32"/>
        </w:rPr>
        <w:t>预计2020年退休人数为3040人，预计全年发放退休费1.6亿；按照实施意见要求，结合我县实际，为确保参保退休人员基本养老金按时足额发放，预计安排财政补助资金6823.6万元。</w:t>
      </w:r>
    </w:p>
    <w:p>
      <w:pPr>
        <w:spacing w:after="0" w:line="560" w:lineRule="exact"/>
        <w:ind w:firstLine="643" w:firstLineChars="200"/>
        <w:jc w:val="both"/>
        <w:rPr>
          <w:rFonts w:ascii="仿宋_GB2312" w:hAnsi="宋体" w:eastAsia="仿宋_GB2312" w:cs="Times New Roman"/>
          <w:sz w:val="32"/>
          <w:szCs w:val="32"/>
        </w:rPr>
      </w:pPr>
      <w:r>
        <w:rPr>
          <w:rFonts w:hint="eastAsia" w:ascii="仿宋_GB2312" w:hAnsi="宋体" w:eastAsia="仿宋_GB2312" w:cs="Times New Roman"/>
          <w:b/>
          <w:sz w:val="32"/>
          <w:szCs w:val="32"/>
        </w:rPr>
        <w:t>（二）项目资金实际使用情况：</w:t>
      </w:r>
      <w:r>
        <w:rPr>
          <w:rFonts w:hint="eastAsia" w:ascii="仿宋_GB2312" w:hAnsi="宋体" w:eastAsia="仿宋_GB2312" w:cs="Times New Roman"/>
          <w:sz w:val="32"/>
          <w:szCs w:val="32"/>
        </w:rPr>
        <w:t>2020年年末实际退休人员3060人，全年发放退休费1.61亿。上年结余资金3204万元，当年征缴基金收入7723万元，</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rPr>
        <w:t>收到上级财政转移支付资金1522万元，同级财政补助资金5301万元。做到了基金征缴应收尽收，同时上下级财政社会保障资金的投入，确保了退休费的按时足额发放。</w:t>
      </w:r>
    </w:p>
    <w:p>
      <w:pPr>
        <w:spacing w:after="0" w:line="560" w:lineRule="exact"/>
        <w:ind w:firstLine="442" w:firstLineChars="200"/>
        <w:jc w:val="both"/>
        <w:rPr>
          <w:rFonts w:ascii="仿宋_GB2312" w:hAnsi="宋体" w:eastAsia="仿宋_GB2312"/>
          <w:sz w:val="32"/>
          <w:szCs w:val="32"/>
        </w:rPr>
      </w:pPr>
      <w:r>
        <w:rPr>
          <w:rFonts w:ascii="仿宋_GB2312" w:hAnsi="宋体" w:eastAsia="仿宋_GB2312"/>
          <w:b/>
        </w:rPr>
        <w:pict>
          <v:shape id="_x0000_s1026" o:spid="_x0000_s1026" o:spt="202" type="#_x0000_t202" style="position:absolute;left:0pt;margin-left:-189pt;margin-top:0pt;height:31.2pt;width:90pt;z-index:251659264;mso-width-relative:page;mso-height-relative:page;" filled="f" stroked="f" coordsize="21600,21600">
            <v:path/>
            <v:fill on="f" focussize="0,0"/>
            <v:stroke on="f" joinstyle="miter"/>
            <v:imagedata o:title=""/>
            <o:lock v:ext="edit"/>
            <v:textbox>
              <w:txbxContent>
                <w:p>
                  <w:pPr>
                    <w:rPr>
                      <w:rFonts w:ascii="黑体" w:eastAsia="黑体"/>
                    </w:rPr>
                  </w:pPr>
                </w:p>
              </w:txbxContent>
            </v:textbox>
          </v:shape>
        </w:pict>
      </w:r>
      <w:r>
        <w:rPr>
          <w:rFonts w:hint="eastAsia" w:ascii="仿宋_GB2312" w:hAnsi="宋体" w:eastAsia="仿宋_GB2312" w:cs="宋体"/>
          <w:b/>
          <w:color w:val="000000"/>
          <w:sz w:val="32"/>
          <w:szCs w:val="32"/>
        </w:rPr>
        <w:t>（三）</w:t>
      </w:r>
      <w:r>
        <w:rPr>
          <w:rFonts w:hint="eastAsia" w:ascii="仿宋_GB2312" w:hAnsi="宋体" w:eastAsia="仿宋_GB2312"/>
          <w:b/>
          <w:sz w:val="32"/>
          <w:szCs w:val="32"/>
        </w:rPr>
        <w:t>项目资金管理情况：</w:t>
      </w:r>
      <w:r>
        <w:rPr>
          <w:rFonts w:hint="eastAsia" w:ascii="仿宋_GB2312" w:hAnsi="宋体" w:eastAsia="仿宋_GB2312"/>
          <w:sz w:val="32"/>
          <w:szCs w:val="32"/>
        </w:rPr>
        <w:t>为加强基金管理，切实维护参保人员的合法权益，确保基金安全运行，社保中心加强了制度建设，制定了一系列管理制度，主要有《内控制度实施细则》、《办事公开制度》、《工作纪律制度》、《基金财务管理制度》、《廉政建设制度》、《档案保密制度》、《信息披露制度》、《信息系统及设备日常维护制度》等制度，这些制度的建立健全，为确保基金安全提供了强有力的制度保证。</w:t>
      </w:r>
    </w:p>
    <w:p>
      <w:pPr>
        <w:spacing w:after="0" w:line="560" w:lineRule="exact"/>
        <w:ind w:firstLine="640" w:firstLineChars="200"/>
        <w:jc w:val="both"/>
        <w:rPr>
          <w:rFonts w:ascii="黑体" w:hAnsi="宋体" w:eastAsia="黑体" w:cs="宋体"/>
          <w:color w:val="000000"/>
          <w:sz w:val="32"/>
          <w:szCs w:val="32"/>
        </w:rPr>
      </w:pPr>
      <w:r>
        <w:rPr>
          <w:rFonts w:hint="eastAsia" w:ascii="黑体" w:hAnsi="宋体" w:eastAsia="黑体" w:cs="宋体"/>
          <w:color w:val="000000"/>
          <w:sz w:val="32"/>
          <w:szCs w:val="32"/>
        </w:rPr>
        <w:t>三、项目组织实施情况</w:t>
      </w:r>
    </w:p>
    <w:p>
      <w:pPr>
        <w:spacing w:after="0" w:line="560" w:lineRule="exact"/>
        <w:ind w:firstLine="643" w:firstLineChars="20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（一）加强待遇支付管理</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退休人员的待遇支付严格按照业务核定的数据进行发放，具体流程是业务出单，业务股初审，财务股复审，领导签字同意后，由财务进行拨付。</w:t>
      </w:r>
    </w:p>
    <w:p>
      <w:pPr>
        <w:spacing w:after="0" w:line="560" w:lineRule="exact"/>
        <w:ind w:firstLine="643" w:firstLineChars="20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（二）严守基金管理制度</w:t>
      </w:r>
    </w:p>
    <w:p>
      <w:pPr>
        <w:spacing w:after="0" w:line="560" w:lineRule="exact"/>
        <w:ind w:firstLine="643" w:firstLineChars="200"/>
        <w:jc w:val="both"/>
        <w:rPr>
          <w:rFonts w:ascii="仿宋_GB2312" w:hAnsi="宋体" w:eastAsia="仿宋_GB2312"/>
          <w:sz w:val="32"/>
          <w:szCs w:val="32"/>
        </w:rPr>
      </w:pPr>
      <w:r>
        <w:rPr>
          <w:rFonts w:hint="eastAsia" w:ascii="仿宋_GB2312" w:eastAsia="仿宋_GB2312"/>
          <w:b/>
          <w:sz w:val="32"/>
          <w:szCs w:val="32"/>
        </w:rPr>
        <w:t>一</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严格执行国家统一的基金财务会计制度，严格落实基金预决算管理制度，基金纳入财政专户管理，实行收支两条线。</w:t>
      </w:r>
      <w:r>
        <w:rPr>
          <w:rFonts w:hint="eastAsia" w:ascii="仿宋_GB2312" w:eastAsia="仿宋_GB2312"/>
          <w:b/>
          <w:sz w:val="32"/>
          <w:szCs w:val="32"/>
        </w:rPr>
        <w:t>二</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基金的存储都是在国有商业银行，无违规开立和使用收入户、支出户和财政专户的情况。社会保险基金均享受了优惠利率。</w:t>
      </w:r>
      <w:r>
        <w:rPr>
          <w:rFonts w:hint="eastAsia" w:ascii="仿宋_GB2312" w:eastAsia="仿宋_GB2312"/>
          <w:b/>
          <w:sz w:val="32"/>
          <w:szCs w:val="32"/>
        </w:rPr>
        <w:t>三</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按照人社部和财政部要求，年初编制上年度基金决算，反应上年度基金收入、支出、结余；年末编制下年度基金预算，预计下年度的基金收入、支出、结余；每月编制基金月报表，每季度编制基金执行情况表，反应同期增幅、基金运行情况。</w:t>
      </w:r>
      <w:r>
        <w:rPr>
          <w:rFonts w:hint="eastAsia" w:ascii="仿宋_GB2312" w:eastAsia="仿宋_GB2312"/>
          <w:b/>
          <w:sz w:val="32"/>
          <w:szCs w:val="32"/>
        </w:rPr>
        <w:t>四</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按新会计制度及相关财务管理办法，会计核算是以经办业务为依据，除了利息、收入户上解基金、财政拨付用款外，其他业务必须经过业务系统登帐，再传递到财务系统进行记账，各种原始凭证真实、合法、有效，做到账账相符、账实相符。</w:t>
      </w:r>
      <w:r>
        <w:rPr>
          <w:rFonts w:hint="eastAsia" w:ascii="仿宋_GB2312" w:eastAsia="仿宋_GB2312"/>
          <w:b/>
          <w:sz w:val="32"/>
          <w:szCs w:val="32"/>
        </w:rPr>
        <w:t>五</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会计记账凭证、会计报表和其它会计资料等会计信息合法、真实、准确，并能定期归档。</w:t>
      </w:r>
      <w:r>
        <w:rPr>
          <w:rFonts w:hint="eastAsia" w:ascii="仿宋_GB2312" w:eastAsia="仿宋_GB2312"/>
          <w:b/>
          <w:sz w:val="32"/>
          <w:szCs w:val="32"/>
        </w:rPr>
        <w:t>六</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按月与基金开户银行，财政部门核对基金的收付情况，基金收入能及时入账，记账。</w:t>
      </w:r>
      <w:r>
        <w:rPr>
          <w:rFonts w:hint="eastAsia" w:ascii="仿宋_GB2312" w:eastAsia="仿宋_GB2312"/>
          <w:b/>
          <w:sz w:val="32"/>
          <w:szCs w:val="32"/>
        </w:rPr>
        <w:t>七</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按照省里统一要求同时启用了新的财务系统和业务系统，及时进行了学习，掌握了操作方法与流程。</w:t>
      </w:r>
      <w:r>
        <w:rPr>
          <w:rFonts w:hint="eastAsia" w:ascii="仿宋_GB2312" w:eastAsia="仿宋_GB2312"/>
          <w:b/>
          <w:sz w:val="32"/>
          <w:szCs w:val="32"/>
        </w:rPr>
        <w:t>八</w:t>
      </w:r>
      <w:r>
        <w:rPr>
          <w:rFonts w:hint="eastAsia" w:ascii="仿宋_GB2312" w:eastAsia="仿宋_GB2312"/>
          <w:b/>
          <w:sz w:val="32"/>
          <w:szCs w:val="32"/>
          <w:lang w:eastAsia="zh-CN"/>
        </w:rPr>
        <w:t>、</w:t>
      </w:r>
      <w:r>
        <w:rPr>
          <w:rFonts w:hint="eastAsia" w:ascii="仿宋_GB2312" w:eastAsia="仿宋_GB2312"/>
          <w:b/>
          <w:sz w:val="32"/>
          <w:szCs w:val="32"/>
        </w:rPr>
        <w:t>是</w:t>
      </w:r>
      <w:r>
        <w:rPr>
          <w:rFonts w:hint="eastAsia" w:ascii="仿宋_GB2312" w:eastAsia="仿宋_GB2312"/>
          <w:sz w:val="32"/>
          <w:szCs w:val="32"/>
        </w:rPr>
        <w:t>没有使用现金和现金支票方式支付待遇的情况，没有将基金用于经办人员和工作经费的情况。没有截留、挤占、挪用、贪污社会保险基金的情况。</w:t>
      </w:r>
    </w:p>
    <w:p>
      <w:pPr>
        <w:spacing w:after="0" w:line="560" w:lineRule="exact"/>
        <w:ind w:firstLine="643" w:firstLineChars="200"/>
        <w:jc w:val="both"/>
        <w:rPr>
          <w:rFonts w:ascii="仿宋_GB2312" w:hAnsi="宋体" w:eastAsia="仿宋_GB2312"/>
          <w:b/>
          <w:sz w:val="32"/>
          <w:szCs w:val="32"/>
        </w:rPr>
      </w:pPr>
      <w:r>
        <w:rPr>
          <w:rFonts w:hint="eastAsia" w:ascii="仿宋_GB2312" w:hAnsi="宋体" w:eastAsia="仿宋_GB2312"/>
          <w:b/>
          <w:sz w:val="32"/>
          <w:szCs w:val="32"/>
        </w:rPr>
        <w:t>（三）提升经办服务管理能力</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严格落实“一事双岗双审”制度，按照业务与财务不兼容的原则设置了业务初审和复审岗位、财务经办和复核岗位。依托单位对享受待遇人员定期进行资格认证和审查，防止虚报冒领现象的发生。业务与财务部门实行定期对账，确保业务财务数据一致。没有伪造、篡改、擅自销毁参保人员社会保险缴费记录、待遇享受记录、个人权益记录等社会保险数据资料的现象。没有违规更改社会保险信息及违规调整待遇参数设置的现象。</w:t>
      </w:r>
    </w:p>
    <w:p>
      <w:pPr>
        <w:spacing w:after="0" w:line="560" w:lineRule="exact"/>
        <w:ind w:firstLine="640" w:firstLineChars="200"/>
        <w:jc w:val="both"/>
        <w:rPr>
          <w:rFonts w:ascii="黑体" w:hAnsi="宋体" w:eastAsia="黑体"/>
          <w:sz w:val="32"/>
          <w:szCs w:val="32"/>
        </w:rPr>
      </w:pPr>
      <w:r>
        <w:rPr>
          <w:rFonts w:hint="eastAsia" w:ascii="黑体" w:hAnsi="宋体" w:eastAsia="黑体"/>
          <w:sz w:val="32"/>
          <w:szCs w:val="32"/>
        </w:rPr>
        <w:t>三、存在的问题和建议</w:t>
      </w:r>
    </w:p>
    <w:p>
      <w:pPr>
        <w:spacing w:after="0" w:line="560" w:lineRule="exact"/>
        <w:ind w:firstLine="643" w:firstLineChars="200"/>
        <w:jc w:val="both"/>
        <w:rPr>
          <w:rFonts w:ascii="仿宋_GB2312" w:hAnsi="仿宋_GB2312" w:eastAsia="仿宋_GB2312" w:cs="仿宋_GB2312"/>
          <w:kern w:val="1"/>
          <w:sz w:val="32"/>
          <w:szCs w:val="32"/>
        </w:rPr>
      </w:pPr>
      <w:r>
        <w:rPr>
          <w:rFonts w:hint="eastAsia" w:ascii="仿宋_GB2312" w:hAnsi="仿宋_GB2312" w:eastAsia="仿宋_GB2312" w:cs="仿宋_GB2312"/>
          <w:b/>
          <w:kern w:val="1"/>
          <w:sz w:val="32"/>
          <w:szCs w:val="32"/>
        </w:rPr>
        <w:t>业务经办工作人员紧张</w:t>
      </w:r>
      <w:r>
        <w:rPr>
          <w:rFonts w:hint="eastAsia" w:ascii="楷体_GB2312" w:hAnsi="仿宋_GB2312" w:eastAsia="楷体_GB2312" w:cs="仿宋_GB2312"/>
          <w:kern w:val="1"/>
          <w:sz w:val="32"/>
          <w:szCs w:val="32"/>
        </w:rPr>
        <w:t>。</w:t>
      </w:r>
      <w:r>
        <w:rPr>
          <w:rFonts w:hint="eastAsia" w:ascii="仿宋_GB2312" w:hAnsi="仿宋_GB2312" w:eastAsia="仿宋_GB2312" w:cs="仿宋_GB2312"/>
          <w:kern w:val="1"/>
          <w:sz w:val="32"/>
          <w:szCs w:val="32"/>
        </w:rPr>
        <w:t>改革期内大量的基础性工作、历史遗留问题要解决，同时建立了职业年金制度，加之群众对窗口服务水平要求提高，社保中心日常工作量逐年增大，但目前机关养老和职业年金分别仅有一名业务工作人员，导致社保中心人少事多困难愈加突出，严重影响了机关养老工作开展，不利于改革的平稳过渡和基金安全。</w:t>
      </w:r>
    </w:p>
    <w:p>
      <w:pPr>
        <w:spacing w:after="0" w:line="560" w:lineRule="exact"/>
        <w:ind w:firstLine="600" w:firstLineChars="200"/>
        <w:jc w:val="both"/>
        <w:rPr>
          <w:rFonts w:ascii="仿宋_GB2312" w:eastAsia="仿宋_GB2312"/>
          <w:sz w:val="30"/>
          <w:szCs w:val="30"/>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tbl>
      <w:tblPr>
        <w:tblStyle w:val="5"/>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noWrap w:val="0"/>
            <w:tcMar>
              <w:top w:w="15" w:type="dxa"/>
              <w:left w:w="15" w:type="dxa"/>
              <w:right w:w="15" w:type="dxa"/>
            </w:tcMar>
            <w:vAlign w:val="center"/>
          </w:tcPr>
          <w:p>
            <w:pPr>
              <w:widowControl/>
              <w:spacing w:line="240" w:lineRule="exact"/>
              <w:textAlignment w:val="center"/>
              <w:rPr>
                <w:rFonts w:hAnsi="黑体" w:eastAsia="黑体"/>
                <w:kern w:val="0"/>
                <w:sz w:val="28"/>
                <w:szCs w:val="28"/>
              </w:rPr>
            </w:pPr>
            <w:r>
              <w:rPr>
                <w:rFonts w:hint="eastAsia" w:hAnsi="黑体" w:eastAsia="黑体"/>
                <w:kern w:val="0"/>
                <w:sz w:val="28"/>
                <w:szCs w:val="28"/>
              </w:rPr>
              <w:t>附</w:t>
            </w:r>
            <w:r>
              <w:rPr>
                <w:rFonts w:hAnsi="黑体" w:eastAsia="黑体"/>
                <w:kern w:val="0"/>
                <w:sz w:val="28"/>
                <w:szCs w:val="28"/>
              </w:rPr>
              <w:t>件</w:t>
            </w:r>
            <w:r>
              <w:rPr>
                <w:rFonts w:eastAsia="黑体"/>
                <w:kern w:val="0"/>
                <w:sz w:val="28"/>
                <w:szCs w:val="28"/>
              </w:rPr>
              <w:t>2</w:t>
            </w:r>
          </w:p>
          <w:tbl>
            <w:tblPr>
              <w:tblStyle w:val="5"/>
              <w:tblW w:w="9283" w:type="dxa"/>
              <w:jc w:val="center"/>
              <w:tblLayout w:type="fixed"/>
              <w:tblCellMar>
                <w:top w:w="0" w:type="dxa"/>
                <w:left w:w="108" w:type="dxa"/>
                <w:bottom w:w="0" w:type="dxa"/>
                <w:right w:w="108" w:type="dxa"/>
              </w:tblCellMar>
            </w:tblPr>
            <w:tblGrid>
              <w:gridCol w:w="1178"/>
              <w:gridCol w:w="985"/>
              <w:gridCol w:w="1073"/>
              <w:gridCol w:w="110"/>
              <w:gridCol w:w="1166"/>
              <w:gridCol w:w="992"/>
              <w:gridCol w:w="1134"/>
              <w:gridCol w:w="573"/>
              <w:gridCol w:w="795"/>
              <w:gridCol w:w="1277"/>
            </w:tblGrid>
            <w:tr>
              <w:trPr>
                <w:trHeight w:val="696"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2020</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机关事业单位养老保险</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326" w:type="dxa"/>
                  <w:gridSpan w:val="5"/>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炎陵县人力资源和社会保障局</w:t>
                  </w:r>
                </w:p>
              </w:tc>
              <w:tc>
                <w:tcPr>
                  <w:tcW w:w="1134" w:type="dxa"/>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炎陵县社会保险服务中心</w:t>
                  </w:r>
                </w:p>
              </w:tc>
            </w:tr>
            <w:tr>
              <w:trPr>
                <w:trHeight w:val="49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992"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134"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6823.6</w:t>
                  </w:r>
                </w:p>
              </w:tc>
              <w:tc>
                <w:tcPr>
                  <w:tcW w:w="992"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6823.6</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6823</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6823</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ind w:firstLine="550" w:firstLineChars="250"/>
                    <w:jc w:val="left"/>
                    <w:rPr>
                      <w:rFonts w:eastAsia="仿宋_GB2312"/>
                      <w:color w:val="000000"/>
                      <w:kern w:val="0"/>
                      <w:szCs w:val="21"/>
                    </w:rPr>
                  </w:pPr>
                  <w:r>
                    <w:rPr>
                      <w:rFonts w:eastAsia="仿宋_GB2312"/>
                      <w:color w:val="000000"/>
                      <w:kern w:val="0"/>
                      <w:szCs w:val="21"/>
                    </w:rPr>
                    <w:t>上年结转资金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79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ind w:firstLine="660" w:firstLineChars="300"/>
                    <w:jc w:val="left"/>
                    <w:rPr>
                      <w:rFonts w:eastAsia="仿宋_GB2312"/>
                      <w:color w:val="000000"/>
                      <w:kern w:val="0"/>
                      <w:szCs w:val="21"/>
                    </w:rPr>
                  </w:pPr>
                  <w:r>
                    <w:rPr>
                      <w:rFonts w:eastAsia="仿宋_GB2312"/>
                      <w:color w:val="000000"/>
                      <w:kern w:val="0"/>
                      <w:szCs w:val="21"/>
                    </w:rPr>
                    <w:t>其他资金</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326"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779"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4326"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专款专用，保障退休费发放</w:t>
                  </w:r>
                </w:p>
              </w:tc>
              <w:tc>
                <w:tcPr>
                  <w:tcW w:w="3779"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 xml:space="preserve">   专款专用，保障退休费发放</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产出</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p>
                <w:p>
                  <w:pPr>
                    <w:widowControl/>
                    <w:spacing w:line="200" w:lineRule="exact"/>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60</w:t>
                  </w:r>
                  <w:r>
                    <w:rPr>
                      <w:rFonts w:eastAsia="仿宋_GB2312"/>
                      <w:color w:val="000000"/>
                      <w:kern w:val="0"/>
                      <w:szCs w:val="21"/>
                    </w:rPr>
                    <w:t>分)</w:t>
                  </w: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退休人数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≥3040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ind w:firstLine="100" w:firstLineChars="50"/>
                    <w:jc w:val="left"/>
                    <w:rPr>
                      <w:rFonts w:eastAsia="仿宋_GB2312"/>
                      <w:color w:val="000000"/>
                      <w:kern w:val="0"/>
                      <w:szCs w:val="21"/>
                    </w:rPr>
                  </w:pPr>
                  <w:r>
                    <w:rPr>
                      <w:rFonts w:hint="eastAsia" w:ascii="宋体" w:hAnsi="宋体" w:cs="宋体"/>
                      <w:color w:val="000000"/>
                      <w:sz w:val="20"/>
                      <w:szCs w:val="20"/>
                    </w:rPr>
                    <w:t>≥3060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资金到位率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资金使用率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到位及时性</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使用及时性</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36"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月平均退休费</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≥4357</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≥4338</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57"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全年发放退休费</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≥1.6亿</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≥1.61亿</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效益</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left"/>
                    <w:rPr>
                      <w:rFonts w:eastAsia="仿宋_GB2312"/>
                      <w:color w:val="000000"/>
                      <w:kern w:val="0"/>
                      <w:szCs w:val="21"/>
                    </w:rPr>
                  </w:pPr>
                </w:p>
                <w:p>
                  <w:pPr>
                    <w:widowControl/>
                    <w:spacing w:line="200" w:lineRule="exact"/>
                    <w:jc w:val="left"/>
                    <w:rPr>
                      <w:rFonts w:eastAsia="仿宋_GB2312"/>
                      <w:color w:val="000000"/>
                      <w:kern w:val="0"/>
                      <w:szCs w:val="21"/>
                    </w:rPr>
                  </w:pPr>
                  <w:r>
                    <w:rPr>
                      <w:rFonts w:eastAsia="仿宋_GB2312"/>
                      <w:color w:val="000000"/>
                      <w:kern w:val="0"/>
                      <w:szCs w:val="21"/>
                    </w:rPr>
                    <w:t>（30分）</w:t>
                  </w:r>
                </w:p>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经济效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参保人权益</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保障合法</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保障合法</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受益对象</w:t>
                  </w:r>
                  <w:r>
                    <w:rPr>
                      <w:rFonts w:eastAsia="仿宋_GB2312"/>
                      <w:color w:val="000000"/>
                      <w:kern w:val="0"/>
                      <w:szCs w:val="21"/>
                    </w:rPr>
                    <w:t>…</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符合政策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符合政策</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社会效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退休人数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≥3040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≥3060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政策知晓率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26"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生态效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对环境影响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无影响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无影响</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48" w:hRule="atLeast"/>
                <w:jc w:val="center"/>
              </w:trPr>
              <w:tc>
                <w:tcPr>
                  <w:tcW w:w="1178" w:type="dxa"/>
                  <w:vMerge w:val="continue"/>
                  <w:tcBorders>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政策实施期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长期执行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长期执行</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left"/>
                    <w:rPr>
                      <w:rFonts w:eastAsia="仿宋_GB2312"/>
                      <w:color w:val="000000"/>
                      <w:kern w:val="0"/>
                      <w:szCs w:val="21"/>
                    </w:rPr>
                  </w:pPr>
                </w:p>
              </w:tc>
              <w:tc>
                <w:tcPr>
                  <w:tcW w:w="98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满意度</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r>
                    <w:rPr>
                      <w:rFonts w:eastAsia="仿宋_GB2312"/>
                      <w:color w:val="000000"/>
                      <w:kern w:val="0"/>
                      <w:szCs w:val="21"/>
                    </w:rPr>
                    <w:t>（10分）</w:t>
                  </w:r>
                </w:p>
              </w:tc>
              <w:tc>
                <w:tcPr>
                  <w:tcW w:w="1073" w:type="dxa"/>
                  <w:tcBorders>
                    <w:top w:val="single" w:color="auto" w:sz="4" w:space="0"/>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参保人员满意度</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≥99</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99</w:t>
                  </w:r>
                </w:p>
              </w:tc>
              <w:tc>
                <w:tcPr>
                  <w:tcW w:w="1277"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815"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r>
          </w:tbl>
          <w:p>
            <w:pPr>
              <w:spacing w:before="156" w:beforeLines="50" w:line="200" w:lineRule="exact"/>
              <w:ind w:firstLine="110" w:firstLineChars="50"/>
              <w:rPr>
                <w:rFonts w:hint="eastAsia" w:eastAsia="仿宋_GB2312"/>
                <w:szCs w:val="21"/>
              </w:rPr>
            </w:pPr>
            <w:r>
              <w:rPr>
                <w:rFonts w:eastAsia="仿宋_GB2312"/>
                <w:szCs w:val="21"/>
              </w:rPr>
              <w:t>填表人：</w:t>
            </w:r>
            <w:r>
              <w:rPr>
                <w:rFonts w:hint="eastAsia" w:eastAsia="仿宋_GB2312"/>
                <w:szCs w:val="21"/>
                <w:lang w:eastAsia="zh-CN"/>
              </w:rPr>
              <w:t>周龙慧</w:t>
            </w:r>
            <w:r>
              <w:rPr>
                <w:rFonts w:hint="eastAsia" w:eastAsia="仿宋_GB2312"/>
                <w:szCs w:val="21"/>
              </w:rPr>
              <w:t xml:space="preserve">                                           </w:t>
            </w:r>
            <w:r>
              <w:rPr>
                <w:rFonts w:eastAsia="仿宋_GB2312"/>
                <w:szCs w:val="21"/>
              </w:rPr>
              <w:t>填报日期：</w:t>
            </w:r>
            <w:r>
              <w:rPr>
                <w:rFonts w:hint="eastAsia" w:eastAsia="仿宋_GB2312"/>
                <w:szCs w:val="21"/>
              </w:rPr>
              <w:t>2021年9月28日</w:t>
            </w:r>
            <w:r>
              <w:rPr>
                <w:rFonts w:eastAsia="仿宋_GB2312"/>
                <w:szCs w:val="21"/>
              </w:rPr>
              <w:t xml:space="preserve"> </w:t>
            </w:r>
          </w:p>
          <w:p>
            <w:pPr>
              <w:spacing w:before="156" w:beforeLines="50" w:line="200" w:lineRule="exact"/>
              <w:ind w:firstLine="110" w:firstLineChars="50"/>
              <w:rPr>
                <w:rFonts w:hint="eastAsia" w:ascii="方正小标宋简体" w:hAnsi="方正小标宋简体" w:eastAsia="仿宋_GB2312" w:cs="方正小标宋简体"/>
                <w:color w:val="000000"/>
                <w:sz w:val="44"/>
                <w:szCs w:val="44"/>
                <w:lang w:eastAsia="zh-CN"/>
              </w:rPr>
            </w:pPr>
            <w:r>
              <w:rPr>
                <w:rFonts w:eastAsia="仿宋_GB2312"/>
                <w:szCs w:val="21"/>
              </w:rPr>
              <w:t>联系电话：</w:t>
            </w:r>
            <w:r>
              <w:rPr>
                <w:rFonts w:hint="eastAsia" w:eastAsia="仿宋_GB2312"/>
                <w:szCs w:val="21"/>
                <w:lang w:val="en-US" w:eastAsia="zh-CN"/>
              </w:rPr>
              <w:t>22542816</w:t>
            </w:r>
            <w:r>
              <w:rPr>
                <w:rFonts w:hint="eastAsia" w:eastAsia="仿宋_GB2312"/>
                <w:szCs w:val="21"/>
              </w:rPr>
              <w:t xml:space="preserve">                                  </w:t>
            </w:r>
            <w:r>
              <w:rPr>
                <w:rFonts w:hint="eastAsia" w:eastAsia="仿宋_GB2312"/>
                <w:szCs w:val="21"/>
                <w:lang w:val="en-US" w:eastAsia="zh-CN"/>
              </w:rPr>
              <w:t xml:space="preserve">    </w:t>
            </w:r>
            <w:r>
              <w:rPr>
                <w:rFonts w:hint="eastAsia" w:eastAsia="仿宋_GB2312"/>
                <w:szCs w:val="21"/>
              </w:rPr>
              <w:t xml:space="preserve"> </w:t>
            </w:r>
            <w:r>
              <w:rPr>
                <w:rFonts w:eastAsia="仿宋_GB2312"/>
                <w:szCs w:val="21"/>
              </w:rPr>
              <w:t>单位负责人签字：</w:t>
            </w:r>
            <w:r>
              <w:rPr>
                <w:rFonts w:hint="eastAsia" w:eastAsia="仿宋_GB2312"/>
                <w:szCs w:val="21"/>
                <w:lang w:eastAsia="zh-CN"/>
              </w:rPr>
              <w:t>张孝红</w:t>
            </w:r>
          </w:p>
        </w:tc>
      </w:tr>
    </w:tbl>
    <w:p>
      <w:pPr>
        <w:spacing w:line="200" w:lineRule="exact"/>
        <w:sectPr>
          <w:headerReference r:id="rId5" w:type="default"/>
          <w:footerReference r:id="rId6" w:type="default"/>
          <w:footerReference r:id="rId7" w:type="even"/>
          <w:pgSz w:w="11906" w:h="16838"/>
          <w:pgMar w:top="1440" w:right="1800" w:bottom="1440" w:left="1800" w:header="851" w:footer="992" w:gutter="0"/>
          <w:pgNumType w:fmt="numberInDash"/>
          <w:cols w:space="720" w:num="1"/>
          <w:titlePg/>
          <w:docGrid w:type="lines" w:linePitch="312" w:charSpace="0"/>
        </w:sectPr>
      </w:pPr>
    </w:p>
    <w:tbl>
      <w:tblPr>
        <w:tblStyle w:val="5"/>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15</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100</w:t>
            </w:r>
          </w:p>
        </w:tc>
      </w:tr>
    </w:tbl>
    <w:p/>
    <w:p>
      <w:pPr>
        <w:spacing w:after="0" w:line="560" w:lineRule="exact"/>
        <w:ind w:firstLine="1680" w:firstLineChars="200"/>
        <w:jc w:val="both"/>
        <w:rPr>
          <w:rFonts w:ascii="仿宋_GB2312" w:eastAsia="仿宋_GB2312"/>
          <w:sz w:val="84"/>
          <w:szCs w:val="84"/>
        </w:rPr>
      </w:pPr>
    </w:p>
    <w:sectPr>
      <w:footerReference r:id="rId8" w:type="default"/>
      <w:pgSz w:w="16838" w:h="11906" w:orient="landscape"/>
      <w:pgMar w:top="1800" w:right="1440" w:bottom="1800" w:left="144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sz w:val="24"/>
        <w:szCs w:val="24"/>
      </w:rPr>
    </w:pP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- 4 -</w:t>
    </w:r>
    <w:r>
      <w:rPr>
        <w:rFonts w:ascii="宋体" w:hAnsi="宋体"/>
        <w:sz w:val="24"/>
        <w:szCs w:val="24"/>
      </w:rPr>
      <w:fldChar w:fldCharType="end"/>
    </w:r>
  </w:p>
  <w:p>
    <w:pPr>
      <w:pStyle w:val="3"/>
      <w:tabs>
        <w:tab w:val="left" w:pos="4995"/>
        <w:tab w:val="clear" w:pos="4153"/>
        <w:tab w:val="clear" w:pos="8306"/>
      </w:tabs>
      <w:ind w:right="360"/>
      <w:rPr>
        <w:rStyle w:val="7"/>
        <w:rFonts w:hint="eastAsia"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Pr>
    <w:r>
      <w:fldChar w:fldCharType="begin"/>
    </w:r>
    <w:r>
      <w:rPr>
        <w:rStyle w:val="7"/>
      </w:rPr>
      <w:instrText xml:space="preserve">Page</w:instrText>
    </w:r>
    <w:r>
      <w:fldChar w:fldCharType="separate"/>
    </w:r>
    <w:r>
      <w:rPr>
        <w:rStyle w:val="7"/>
      </w:rPr>
      <w:t>- 1 -</w:t>
    </w:r>
    <w:r>
      <w:fldChar w:fldCharType="end"/>
    </w:r>
  </w:p>
  <w:p>
    <w:pPr>
      <w:pStyle w:val="3"/>
      <w:framePr w:wrap="around" w:vAnchor="text" w:hAnchor="margin" w:xAlign="center" w:y="1"/>
      <w:ind w:right="360"/>
    </w:pPr>
    <w:r>
      <w:fldChar w:fldCharType="begin"/>
    </w:r>
    <w:r>
      <w:rPr>
        <w:rStyle w:val="7"/>
      </w:rPr>
      <w:instrText xml:space="preserve">Page</w:instrText>
    </w:r>
    <w:r>
      <w:fldChar w:fldCharType="separate"/>
    </w:r>
    <w:r>
      <w:rPr>
        <w:rStyle w:val="7"/>
      </w:rPr>
      <w:t>- 1 -</w:t>
    </w:r>
    <w:r>
      <w:fldChar w:fldCharType="end"/>
    </w:r>
  </w:p>
  <w:p>
    <w:pPr>
      <w:pStyle w:val="3"/>
      <w:framePr w:wrap="around" w:vAnchor="text" w:hAnchor="margin" w:xAlign="center" w:y="1"/>
      <w:ind w:right="360"/>
      <w:rPr>
        <w:rStyle w:val="7"/>
      </w:rPr>
    </w:pPr>
    <w:r>
      <w:fldChar w:fldCharType="begin"/>
    </w:r>
    <w:r>
      <w:rPr>
        <w:rStyle w:val="7"/>
      </w:rPr>
      <w:instrText xml:space="preserve">Page</w:instrText>
    </w:r>
    <w:r>
      <w:fldChar w:fldCharType="separate"/>
    </w:r>
    <w:r>
      <w:rPr>
        <w:rStyle w:val="7"/>
      </w:rPr>
      <w:t>- 1 -</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5032"/>
      <w:docPartObj>
        <w:docPartGallery w:val="autotext"/>
      </w:docPartObj>
    </w:sdtPr>
    <w:sdtContent>
      <w:sdt>
        <w:sdtPr>
          <w:id w:val="171357217"/>
          <w:docPartObj>
            <w:docPartGallery w:val="autotext"/>
          </w:docPartObj>
        </w:sdtPr>
        <w:sdtContent>
          <w:p>
            <w:pPr>
              <w:pStyle w:val="3"/>
              <w:jc w:val="center"/>
              <w:rPr>
                <w:sz w:val="21"/>
              </w:rPr>
            </w:pPr>
            <w:r>
              <w:rPr>
                <w:rFonts w:hint="eastAsia" w:eastAsia="仿宋_GB2312"/>
                <w:sz w:val="21"/>
              </w:rPr>
              <w:t>第</w:t>
            </w:r>
            <w:r>
              <w:rPr>
                <w:rFonts w:eastAsia="仿宋_GB2312"/>
                <w:sz w:val="21"/>
                <w:lang w:val="zh-CN"/>
              </w:rPr>
              <w:t xml:space="preserve"> </w:t>
            </w:r>
            <w:r>
              <w:rPr>
                <w:rFonts w:eastAsia="仿宋_GB2312"/>
                <w:sz w:val="21"/>
                <w:szCs w:val="24"/>
              </w:rPr>
              <w:fldChar w:fldCharType="begin"/>
            </w:r>
            <w:r>
              <w:rPr>
                <w:rFonts w:eastAsia="仿宋_GB2312"/>
                <w:sz w:val="21"/>
              </w:rPr>
              <w:instrText xml:space="preserve">PAGE</w:instrText>
            </w:r>
            <w:r>
              <w:rPr>
                <w:rFonts w:eastAsia="仿宋_GB2312"/>
                <w:sz w:val="21"/>
                <w:szCs w:val="24"/>
              </w:rPr>
              <w:fldChar w:fldCharType="separate"/>
            </w:r>
            <w:r>
              <w:rPr>
                <w:rFonts w:eastAsia="仿宋_GB2312"/>
                <w:sz w:val="21"/>
              </w:rPr>
              <w:t>1</w:t>
            </w:r>
            <w:r>
              <w:rPr>
                <w:rFonts w:eastAsia="仿宋_GB2312"/>
                <w:sz w:val="21"/>
                <w:szCs w:val="24"/>
              </w:rPr>
              <w:fldChar w:fldCharType="end"/>
            </w:r>
            <w:r>
              <w:rPr>
                <w:rFonts w:hint="eastAsia" w:eastAsia="仿宋_GB2312"/>
                <w:sz w:val="21"/>
                <w:szCs w:val="24"/>
              </w:rPr>
              <w:t>页 共</w:t>
            </w:r>
            <w:r>
              <w:rPr>
                <w:rFonts w:eastAsia="仿宋_GB2312"/>
                <w:sz w:val="21"/>
                <w:lang w:val="zh-CN"/>
              </w:rPr>
              <w:t xml:space="preserve"> </w:t>
            </w:r>
            <w:r>
              <w:rPr>
                <w:rFonts w:eastAsia="仿宋_GB2312"/>
                <w:sz w:val="21"/>
                <w:szCs w:val="24"/>
              </w:rPr>
              <w:fldChar w:fldCharType="begin"/>
            </w:r>
            <w:r>
              <w:rPr>
                <w:rFonts w:eastAsia="仿宋_GB2312"/>
                <w:sz w:val="21"/>
              </w:rPr>
              <w:instrText xml:space="preserve">NUMPAGES</w:instrText>
            </w:r>
            <w:r>
              <w:rPr>
                <w:rFonts w:eastAsia="仿宋_GB2312"/>
                <w:sz w:val="21"/>
                <w:szCs w:val="24"/>
              </w:rPr>
              <w:fldChar w:fldCharType="separate"/>
            </w:r>
            <w:r>
              <w:rPr>
                <w:rFonts w:eastAsia="仿宋_GB2312"/>
                <w:sz w:val="21"/>
              </w:rPr>
              <w:t>4</w:t>
            </w:r>
            <w:r>
              <w:rPr>
                <w:rFonts w:eastAsia="仿宋_GB2312"/>
                <w:sz w:val="21"/>
                <w:szCs w:val="24"/>
              </w:rPr>
              <w:fldChar w:fldCharType="end"/>
            </w:r>
            <w:r>
              <w:rPr>
                <w:rFonts w:hint="eastAsia" w:eastAsia="仿宋_GB2312"/>
                <w:sz w:val="21"/>
                <w:szCs w:val="24"/>
              </w:rPr>
              <w:t>页</w:t>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right" w:pos="8307"/>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23F"/>
    <w:rsid w:val="00005812"/>
    <w:rsid w:val="00017EFD"/>
    <w:rsid w:val="000453F0"/>
    <w:rsid w:val="00053742"/>
    <w:rsid w:val="000956C3"/>
    <w:rsid w:val="000A1DE2"/>
    <w:rsid w:val="000B480B"/>
    <w:rsid w:val="000B5AFD"/>
    <w:rsid w:val="000D12C5"/>
    <w:rsid w:val="000F2E30"/>
    <w:rsid w:val="000F678E"/>
    <w:rsid w:val="001035C6"/>
    <w:rsid w:val="00110470"/>
    <w:rsid w:val="00125556"/>
    <w:rsid w:val="00150C58"/>
    <w:rsid w:val="0015441C"/>
    <w:rsid w:val="00154FBA"/>
    <w:rsid w:val="00193B2E"/>
    <w:rsid w:val="001B32D8"/>
    <w:rsid w:val="001F5926"/>
    <w:rsid w:val="00204DD2"/>
    <w:rsid w:val="00247A09"/>
    <w:rsid w:val="00272F41"/>
    <w:rsid w:val="0028535E"/>
    <w:rsid w:val="0029321C"/>
    <w:rsid w:val="00294751"/>
    <w:rsid w:val="00295DC8"/>
    <w:rsid w:val="002A3C8C"/>
    <w:rsid w:val="002A3F8A"/>
    <w:rsid w:val="002A4CF1"/>
    <w:rsid w:val="00320204"/>
    <w:rsid w:val="00323B43"/>
    <w:rsid w:val="003326C0"/>
    <w:rsid w:val="00340F0E"/>
    <w:rsid w:val="00361AF5"/>
    <w:rsid w:val="0036514C"/>
    <w:rsid w:val="00371CE8"/>
    <w:rsid w:val="0039087E"/>
    <w:rsid w:val="003961A6"/>
    <w:rsid w:val="003A635B"/>
    <w:rsid w:val="003D37D8"/>
    <w:rsid w:val="003E1D13"/>
    <w:rsid w:val="003E7D6E"/>
    <w:rsid w:val="003F506C"/>
    <w:rsid w:val="0041161D"/>
    <w:rsid w:val="00426133"/>
    <w:rsid w:val="00431E3F"/>
    <w:rsid w:val="004358AB"/>
    <w:rsid w:val="004417C2"/>
    <w:rsid w:val="004469FC"/>
    <w:rsid w:val="00453F58"/>
    <w:rsid w:val="0045688F"/>
    <w:rsid w:val="00456C82"/>
    <w:rsid w:val="004603B7"/>
    <w:rsid w:val="00482139"/>
    <w:rsid w:val="00490DA6"/>
    <w:rsid w:val="00495553"/>
    <w:rsid w:val="004C039F"/>
    <w:rsid w:val="004E070C"/>
    <w:rsid w:val="004F24E1"/>
    <w:rsid w:val="004F5C95"/>
    <w:rsid w:val="00500514"/>
    <w:rsid w:val="005105A5"/>
    <w:rsid w:val="00531F1C"/>
    <w:rsid w:val="005321FF"/>
    <w:rsid w:val="005430F5"/>
    <w:rsid w:val="005433DF"/>
    <w:rsid w:val="00555F3D"/>
    <w:rsid w:val="00565432"/>
    <w:rsid w:val="00581B60"/>
    <w:rsid w:val="005907A7"/>
    <w:rsid w:val="00593217"/>
    <w:rsid w:val="005A732C"/>
    <w:rsid w:val="005B3453"/>
    <w:rsid w:val="005B3DB3"/>
    <w:rsid w:val="005C4466"/>
    <w:rsid w:val="005C729D"/>
    <w:rsid w:val="005E199A"/>
    <w:rsid w:val="005E4F00"/>
    <w:rsid w:val="005E785D"/>
    <w:rsid w:val="005F5828"/>
    <w:rsid w:val="005F7A48"/>
    <w:rsid w:val="0060321B"/>
    <w:rsid w:val="00616039"/>
    <w:rsid w:val="00631B6E"/>
    <w:rsid w:val="00651F0A"/>
    <w:rsid w:val="0066739F"/>
    <w:rsid w:val="006A5121"/>
    <w:rsid w:val="006D02B2"/>
    <w:rsid w:val="006D4F82"/>
    <w:rsid w:val="007252AC"/>
    <w:rsid w:val="007261A4"/>
    <w:rsid w:val="0073181E"/>
    <w:rsid w:val="00753D0F"/>
    <w:rsid w:val="00761B23"/>
    <w:rsid w:val="00773F1C"/>
    <w:rsid w:val="00774934"/>
    <w:rsid w:val="007800E4"/>
    <w:rsid w:val="00781DBE"/>
    <w:rsid w:val="007864EE"/>
    <w:rsid w:val="00786EAF"/>
    <w:rsid w:val="00792F87"/>
    <w:rsid w:val="007B19F4"/>
    <w:rsid w:val="007E6227"/>
    <w:rsid w:val="00804858"/>
    <w:rsid w:val="00813CF5"/>
    <w:rsid w:val="008151E4"/>
    <w:rsid w:val="00822684"/>
    <w:rsid w:val="00824F0D"/>
    <w:rsid w:val="00845EBA"/>
    <w:rsid w:val="00856EAA"/>
    <w:rsid w:val="008629BF"/>
    <w:rsid w:val="00863511"/>
    <w:rsid w:val="00864517"/>
    <w:rsid w:val="008B7726"/>
    <w:rsid w:val="008E5BEE"/>
    <w:rsid w:val="008E690C"/>
    <w:rsid w:val="008F092D"/>
    <w:rsid w:val="00952681"/>
    <w:rsid w:val="00974307"/>
    <w:rsid w:val="00982A8D"/>
    <w:rsid w:val="00991290"/>
    <w:rsid w:val="0099190A"/>
    <w:rsid w:val="009A3117"/>
    <w:rsid w:val="009C5D15"/>
    <w:rsid w:val="009E496B"/>
    <w:rsid w:val="009E6CFC"/>
    <w:rsid w:val="00A2096E"/>
    <w:rsid w:val="00A37B21"/>
    <w:rsid w:val="00A40237"/>
    <w:rsid w:val="00A462CA"/>
    <w:rsid w:val="00A55903"/>
    <w:rsid w:val="00AA0877"/>
    <w:rsid w:val="00AA4D45"/>
    <w:rsid w:val="00AC2D4F"/>
    <w:rsid w:val="00AE28D0"/>
    <w:rsid w:val="00B060C7"/>
    <w:rsid w:val="00B254CB"/>
    <w:rsid w:val="00B259BD"/>
    <w:rsid w:val="00B53ADA"/>
    <w:rsid w:val="00B66D40"/>
    <w:rsid w:val="00B73B0B"/>
    <w:rsid w:val="00B85FBA"/>
    <w:rsid w:val="00B86A2C"/>
    <w:rsid w:val="00B93C12"/>
    <w:rsid w:val="00B96B57"/>
    <w:rsid w:val="00BA10BC"/>
    <w:rsid w:val="00BA218A"/>
    <w:rsid w:val="00BC23CF"/>
    <w:rsid w:val="00BD43A9"/>
    <w:rsid w:val="00BE1F33"/>
    <w:rsid w:val="00BE728B"/>
    <w:rsid w:val="00BF3FF0"/>
    <w:rsid w:val="00C235E8"/>
    <w:rsid w:val="00C2678E"/>
    <w:rsid w:val="00C31EE7"/>
    <w:rsid w:val="00C3608A"/>
    <w:rsid w:val="00C4497A"/>
    <w:rsid w:val="00C508B8"/>
    <w:rsid w:val="00C55C63"/>
    <w:rsid w:val="00C956FD"/>
    <w:rsid w:val="00CC4D51"/>
    <w:rsid w:val="00CD0730"/>
    <w:rsid w:val="00CD446F"/>
    <w:rsid w:val="00D00A86"/>
    <w:rsid w:val="00D115CE"/>
    <w:rsid w:val="00D17AC5"/>
    <w:rsid w:val="00D301B1"/>
    <w:rsid w:val="00D31D50"/>
    <w:rsid w:val="00D655B8"/>
    <w:rsid w:val="00D6646D"/>
    <w:rsid w:val="00D75F75"/>
    <w:rsid w:val="00D943C1"/>
    <w:rsid w:val="00DA4535"/>
    <w:rsid w:val="00DE4BEC"/>
    <w:rsid w:val="00E03AB2"/>
    <w:rsid w:val="00E03CF5"/>
    <w:rsid w:val="00E9121A"/>
    <w:rsid w:val="00EA31CC"/>
    <w:rsid w:val="00EA44D2"/>
    <w:rsid w:val="00EB34B1"/>
    <w:rsid w:val="00EB7E2B"/>
    <w:rsid w:val="00EC2AF2"/>
    <w:rsid w:val="00EE2EEE"/>
    <w:rsid w:val="00F02E80"/>
    <w:rsid w:val="00F36845"/>
    <w:rsid w:val="00F46455"/>
    <w:rsid w:val="00F5749F"/>
    <w:rsid w:val="00F57D35"/>
    <w:rsid w:val="00F67433"/>
    <w:rsid w:val="00F70AC0"/>
    <w:rsid w:val="00F70DB1"/>
    <w:rsid w:val="00F85301"/>
    <w:rsid w:val="00FA4557"/>
    <w:rsid w:val="00FA6E5D"/>
    <w:rsid w:val="140B15EB"/>
    <w:rsid w:val="68523967"/>
    <w:rsid w:val="769311E2"/>
    <w:rsid w:val="7CE3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qFormat/>
    <w:uiPriority w:val="0"/>
  </w:style>
  <w:style w:type="character" w:customStyle="1" w:styleId="8">
    <w:name w:val="日期 Char"/>
    <w:basedOn w:val="6"/>
    <w:link w:val="2"/>
    <w:semiHidden/>
    <w:qFormat/>
    <w:uiPriority w:val="99"/>
    <w:rPr>
      <w:rFonts w:ascii="Tahoma" w:hAnsi="Tahoma"/>
    </w:rPr>
  </w:style>
  <w:style w:type="character" w:customStyle="1" w:styleId="9">
    <w:name w:val="页眉 Char"/>
    <w:basedOn w:val="6"/>
    <w:link w:val="4"/>
    <w:semiHidden/>
    <w:qFormat/>
    <w:uiPriority w:val="99"/>
    <w:rPr>
      <w:rFonts w:ascii="Tahoma" w:hAnsi="Tahoma"/>
      <w:sz w:val="18"/>
      <w:szCs w:val="18"/>
    </w:rPr>
  </w:style>
  <w:style w:type="character" w:customStyle="1" w:styleId="10">
    <w:name w:val="页脚 Char"/>
    <w:basedOn w:val="6"/>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FDC97-099B-4380-BA9B-5FB12D35941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Words>
  <Characters>1641</Characters>
  <Lines>13</Lines>
  <Paragraphs>3</Paragraphs>
  <TotalTime>0</TotalTime>
  <ScaleCrop>false</ScaleCrop>
  <LinksUpToDate>false</LinksUpToDate>
  <CharactersWithSpaces>1925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2019-07-24T01:56:00Z</dcterms:created>
  <dc:creator>Administrator</dc:creator>
  <cp:lastModifiedBy>低唱潛吟心坎舞</cp:lastModifiedBy>
  <cp:lastPrinted>2019-09-16T01:02:00Z</cp:lastPrinted>
  <dcterms:modified xsi:type="dcterms:W3CDTF">2021-11-03T08:26:55Z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3F715EE206834FA0AB98252D935F937E</vt:lpwstr>
  </property>
</Properties>
</file>