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炎陵县人力资源和社会保障局2020</w:t>
      </w:r>
      <w:bookmarkStart w:id="0" w:name="_GoBack"/>
      <w:bookmarkEnd w:id="0"/>
      <w:r>
        <w:rPr>
          <w:rFonts w:hint="eastAsia" w:ascii="方正小标宋简体" w:eastAsia="方正小标宋简体"/>
          <w:sz w:val="44"/>
          <w:szCs w:val="44"/>
        </w:rPr>
        <w:t>年度城乡居民基本养老保险预算支出绩效报告</w:t>
      </w:r>
    </w:p>
    <w:p>
      <w:pPr>
        <w:spacing w:after="0" w:line="560" w:lineRule="exact"/>
        <w:jc w:val="center"/>
        <w:rPr>
          <w:rFonts w:ascii="楷体_GB2312" w:eastAsia="楷体_GB2312"/>
          <w:sz w:val="32"/>
          <w:szCs w:val="32"/>
        </w:rPr>
      </w:pPr>
    </w:p>
    <w:p>
      <w:pPr>
        <w:spacing w:after="0" w:line="560" w:lineRule="exact"/>
        <w:jc w:val="center"/>
        <w:rPr>
          <w:rFonts w:ascii="楷体_GB2312" w:eastAsia="楷体_GB2312"/>
          <w:sz w:val="32"/>
          <w:szCs w:val="32"/>
        </w:rPr>
      </w:pPr>
      <w:r>
        <w:rPr>
          <w:rFonts w:hint="eastAsia" w:ascii="楷体_GB2312" w:eastAsia="楷体_GB2312"/>
          <w:sz w:val="32"/>
          <w:szCs w:val="32"/>
        </w:rPr>
        <w:t>炎陵县社会保险服务中心</w:t>
      </w:r>
    </w:p>
    <w:p>
      <w:pPr>
        <w:spacing w:after="0" w:line="560" w:lineRule="exact"/>
        <w:jc w:val="center"/>
        <w:rPr>
          <w:rFonts w:ascii="楷体_GB2312" w:eastAsia="楷体_GB2312"/>
          <w:sz w:val="32"/>
          <w:szCs w:val="32"/>
        </w:rPr>
      </w:pPr>
    </w:p>
    <w:p>
      <w:pPr>
        <w:spacing w:after="0" w:line="560" w:lineRule="exact"/>
        <w:jc w:val="center"/>
        <w:rPr>
          <w:rFonts w:ascii="楷体_GB2312" w:eastAsia="楷体_GB2312"/>
          <w:sz w:val="32"/>
          <w:szCs w:val="32"/>
        </w:rPr>
      </w:pPr>
    </w:p>
    <w:p>
      <w:pPr>
        <w:spacing w:after="0" w:line="560" w:lineRule="exact"/>
        <w:ind w:firstLine="640" w:firstLineChars="200"/>
        <w:jc w:val="both"/>
        <w:rPr>
          <w:rFonts w:ascii="黑体" w:hAnsi="宋体" w:eastAsia="黑体"/>
          <w:sz w:val="32"/>
          <w:szCs w:val="32"/>
        </w:rPr>
      </w:pPr>
      <w:r>
        <w:rPr>
          <w:rFonts w:hint="eastAsia" w:ascii="黑体" w:hAnsi="宋体" w:eastAsia="黑体"/>
          <w:sz w:val="32"/>
          <w:szCs w:val="32"/>
        </w:rPr>
        <w:t>一、项目概况</w:t>
      </w:r>
    </w:p>
    <w:p>
      <w:pPr>
        <w:spacing w:after="0" w:line="560" w:lineRule="exact"/>
        <w:ind w:firstLine="643" w:firstLineChars="200"/>
        <w:jc w:val="both"/>
        <w:rPr>
          <w:rFonts w:ascii="仿宋_GB2312" w:hAnsi="宋体" w:eastAsia="仿宋_GB2312"/>
          <w:sz w:val="32"/>
          <w:szCs w:val="32"/>
        </w:rPr>
      </w:pPr>
      <w:r>
        <w:rPr>
          <w:rFonts w:hint="eastAsia" w:ascii="仿宋_GB2312" w:hAnsi="宋体" w:eastAsia="仿宋_GB2312"/>
          <w:b/>
          <w:sz w:val="32"/>
          <w:szCs w:val="32"/>
        </w:rPr>
        <w:t>（一）项目单位基本情况</w:t>
      </w:r>
      <w:r>
        <w:rPr>
          <w:rFonts w:hint="eastAsia" w:ascii="仿宋_GB2312" w:hAnsi="宋体" w:eastAsia="仿宋_GB2312"/>
          <w:sz w:val="32"/>
          <w:szCs w:val="32"/>
        </w:rPr>
        <w:t>：</w:t>
      </w:r>
      <w:r>
        <w:rPr>
          <w:rFonts w:hint="eastAsia" w:ascii="仿宋_GB2312" w:hAnsi="宋体" w:eastAsia="仿宋_GB2312" w:cs="Times New Roman"/>
          <w:sz w:val="32"/>
          <w:szCs w:val="32"/>
        </w:rPr>
        <w:t>2020年4月，设立炎陵县社会保险服务中心，为副科级全额拨款事业单位，归口县人力资源和社会保障局管理</w:t>
      </w:r>
      <w:r>
        <w:rPr>
          <w:rFonts w:hint="eastAsia" w:ascii="仿宋_GB2312" w:hAnsi="宋体" w:eastAsia="仿宋_GB2312"/>
          <w:sz w:val="32"/>
          <w:szCs w:val="32"/>
        </w:rPr>
        <w:t>。管理辖区内城乡居民基本养老保险基金，基金的使用计划编制与执行，到龄人员养老金的发放等相关工作。县人力资源和社会保障部门要切实履行城乡居民基本养老保险工作行政主管部门的职责，会同有关部门做好城乡居民基本养老保险的统筹规划、政策制定、统一管理、综合协调和监督检查等工作。</w:t>
      </w:r>
    </w:p>
    <w:p>
      <w:pPr>
        <w:spacing w:after="0" w:line="560" w:lineRule="exact"/>
        <w:ind w:firstLine="643" w:firstLineChars="200"/>
        <w:jc w:val="both"/>
        <w:rPr>
          <w:rFonts w:ascii="仿宋_GB2312" w:hAnsi="宋体" w:eastAsia="仿宋_GB2312"/>
          <w:sz w:val="32"/>
          <w:szCs w:val="32"/>
        </w:rPr>
      </w:pPr>
      <w:r>
        <w:rPr>
          <w:rFonts w:hint="eastAsia" w:ascii="仿宋_GB2312" w:hAnsi="宋体" w:eastAsia="仿宋_GB2312"/>
          <w:b/>
          <w:sz w:val="32"/>
          <w:szCs w:val="32"/>
        </w:rPr>
        <w:t>（二）项目基本情况简介：</w:t>
      </w:r>
      <w:r>
        <w:rPr>
          <w:rFonts w:hint="eastAsia" w:ascii="仿宋_GB2312" w:hAnsi="宋体" w:eastAsia="仿宋_GB2312"/>
          <w:sz w:val="32"/>
          <w:szCs w:val="32"/>
        </w:rPr>
        <w:t>根据湘政发[2014]24号、株政发[2015]6号、炎政发[2015]13号文件精神，建立统一的城乡居民基本养老保险（以下简称城乡居民养老保险）制度。城乡居民养老保险由县人民政府组织实施，年满16周岁（不含在校学生），具有本县户籍，非国家机关和事业单位工作人员及不属于职工基本养老保险制度覆盖范围的城乡居民，在户籍地参加城乡居民养老保险。参加城乡居民养老保险的个人，年满60周岁、 累计缴费满15年，且未领取国家规定的基本养老保障待遇的，可以从符合领取条件的次月起按月领取城乡居民养老保险待遇。</w:t>
      </w:r>
    </w:p>
    <w:p>
      <w:pPr>
        <w:spacing w:after="0" w:line="560" w:lineRule="exact"/>
        <w:ind w:firstLine="640" w:firstLineChars="200"/>
        <w:jc w:val="both"/>
        <w:rPr>
          <w:rFonts w:ascii="黑体" w:hAnsi="宋体" w:eastAsia="黑体" w:cs="Times New Roman"/>
          <w:sz w:val="32"/>
          <w:szCs w:val="32"/>
        </w:rPr>
      </w:pPr>
      <w:r>
        <w:rPr>
          <w:rFonts w:hint="eastAsia" w:ascii="黑体" w:hAnsi="宋体" w:eastAsia="黑体" w:cs="Times New Roman"/>
          <w:sz w:val="32"/>
          <w:szCs w:val="32"/>
        </w:rPr>
        <w:t>二、项目资金使用及管理情况</w:t>
      </w:r>
    </w:p>
    <w:p>
      <w:pPr>
        <w:spacing w:after="0" w:line="560" w:lineRule="exact"/>
        <w:ind w:firstLine="643" w:firstLineChars="200"/>
        <w:jc w:val="both"/>
        <w:rPr>
          <w:rFonts w:ascii="仿宋_GB2312" w:hAnsi="宋体" w:eastAsia="仿宋_GB2312" w:cs="Times New Roman"/>
          <w:sz w:val="32"/>
          <w:szCs w:val="32"/>
        </w:rPr>
      </w:pPr>
      <w:r>
        <w:rPr>
          <w:rFonts w:hint="eastAsia" w:ascii="仿宋_GB2312" w:hAnsi="宋体" w:eastAsia="仿宋_GB2312" w:cs="Times New Roman"/>
          <w:b/>
          <w:sz w:val="32"/>
          <w:szCs w:val="32"/>
        </w:rPr>
        <w:t>（一）项目资金安排落实情况：</w:t>
      </w:r>
      <w:r>
        <w:rPr>
          <w:rFonts w:hint="eastAsia" w:ascii="仿宋_GB2312" w:hAnsi="宋体" w:eastAsia="仿宋_GB2312" w:cs="Times New Roman"/>
          <w:sz w:val="32"/>
          <w:szCs w:val="32"/>
        </w:rPr>
        <w:t>2020年缴费人数预算数为54000人，缴费补贴由省、县两级财政按照8:2比例负担，对应个人缴费档次县级财政的补贴标准为每人每年6-12元不等，县级财政需安排缴费补助33.5万元；预计全年享受待遇的月平均人数为27823人，县级财政基础养老金补贴标准为每人每月3元，县级财政需安排基础养老金补助100.2万元；两项补助合计133.7万元。</w:t>
      </w:r>
    </w:p>
    <w:p>
      <w:pPr>
        <w:spacing w:after="0" w:line="560" w:lineRule="exact"/>
        <w:ind w:firstLine="643" w:firstLineChars="200"/>
        <w:jc w:val="both"/>
        <w:rPr>
          <w:rFonts w:ascii="仿宋_GB2312" w:hAnsi="宋体" w:eastAsia="仿宋_GB2312" w:cs="Times New Roman"/>
          <w:sz w:val="32"/>
          <w:szCs w:val="32"/>
        </w:rPr>
      </w:pPr>
      <w:r>
        <w:rPr>
          <w:rFonts w:hint="eastAsia" w:ascii="仿宋_GB2312" w:hAnsi="宋体" w:eastAsia="仿宋_GB2312" w:cs="Times New Roman"/>
          <w:b/>
          <w:sz w:val="32"/>
          <w:szCs w:val="32"/>
        </w:rPr>
        <w:t>（二）项目资金实际使用情况：</w:t>
      </w:r>
      <w:r>
        <w:rPr>
          <w:rFonts w:hint="eastAsia" w:ascii="仿宋_GB2312" w:hAnsi="宋体" w:eastAsia="仿宋_GB2312" w:cs="Times New Roman"/>
          <w:sz w:val="32"/>
          <w:szCs w:val="32"/>
        </w:rPr>
        <w:t>2020年年末实际缴费人数50479人，县级财政需配套缴费补助资金32万元，实际收到当年缴费补助20万元。2020年底待遇领取人员27863人，县级财政需配套基础养老金补助资金113万元，实际收到当年基础养老金补助115万元（2020年7月起省里统一提高基础养老金最低标准5元/月，县级财政需负担1元/月，需增加预算16万元）。截止2019年底，县级财政配套缴费补助资金结余14.6万元，基础养老金补助资金结余7.91万元，2020年度予以抵扣。</w:t>
      </w:r>
    </w:p>
    <w:p>
      <w:pPr>
        <w:spacing w:after="0" w:line="560" w:lineRule="exact"/>
        <w:ind w:firstLine="442" w:firstLineChars="200"/>
        <w:jc w:val="both"/>
        <w:rPr>
          <w:rFonts w:ascii="仿宋_GB2312" w:hAnsi="宋体" w:eastAsia="仿宋_GB2312"/>
          <w:sz w:val="32"/>
          <w:szCs w:val="32"/>
        </w:rPr>
      </w:pPr>
      <w:r>
        <w:rPr>
          <w:rFonts w:ascii="仿宋_GB2312" w:hAnsi="宋体" w:eastAsia="仿宋_GB2312"/>
          <w:b/>
        </w:rPr>
        <w:pict>
          <v:shape id="_x0000_s1026" o:spid="_x0000_s1026" o:spt="202" type="#_x0000_t202" style="position:absolute;left:0pt;margin-left:-189pt;margin-top:0pt;height:31.2pt;width:90pt;z-index:251659264;mso-width-relative:page;mso-height-relative:page;" filled="f" stroked="f" coordsize="21600,21600">
            <v:path/>
            <v:fill on="f" focussize="0,0"/>
            <v:stroke on="f" joinstyle="miter"/>
            <v:imagedata o:title=""/>
            <o:lock v:ext="edit"/>
            <v:textbox>
              <w:txbxContent>
                <w:p>
                  <w:pPr>
                    <w:rPr>
                      <w:rFonts w:ascii="黑体" w:eastAsia="黑体"/>
                    </w:rPr>
                  </w:pPr>
                </w:p>
              </w:txbxContent>
            </v:textbox>
          </v:shape>
        </w:pict>
      </w:r>
      <w:r>
        <w:rPr>
          <w:rFonts w:hint="eastAsia" w:ascii="仿宋_GB2312" w:hAnsi="宋体" w:eastAsia="仿宋_GB2312" w:cs="宋体"/>
          <w:b/>
          <w:color w:val="000000"/>
          <w:sz w:val="32"/>
          <w:szCs w:val="32"/>
        </w:rPr>
        <w:t>（三）</w:t>
      </w:r>
      <w:r>
        <w:rPr>
          <w:rFonts w:hint="eastAsia" w:ascii="仿宋_GB2312" w:hAnsi="宋体" w:eastAsia="仿宋_GB2312"/>
          <w:b/>
          <w:sz w:val="32"/>
          <w:szCs w:val="32"/>
        </w:rPr>
        <w:t>项目资金管理情况：</w:t>
      </w:r>
      <w:r>
        <w:rPr>
          <w:rFonts w:hint="eastAsia" w:ascii="仿宋_GB2312" w:hAnsi="宋体" w:eastAsia="仿宋_GB2312"/>
          <w:b/>
          <w:bCs w:val="0"/>
          <w:sz w:val="32"/>
          <w:szCs w:val="32"/>
        </w:rPr>
        <w:t>一</w:t>
      </w:r>
      <w:r>
        <w:rPr>
          <w:rFonts w:hint="eastAsia" w:ascii="仿宋_GB2312" w:hAnsi="宋体" w:eastAsia="仿宋_GB2312"/>
          <w:sz w:val="32"/>
          <w:szCs w:val="32"/>
        </w:rPr>
        <w:t>是我县于2011年启动新农保和城居保，2014年两项制度合并实施，建立统一的城乡居民基本养老保险（以下简称城乡居民养老保险），出台了《炎陵县城乡居民基本养老保险制度实施办法》（炎政发〈2015〉13号）文件，对城乡居民养老保险的参保范围和基金筹集、个人账户及管理、养老保险待遇及调整、养老保险待遇领取条件、转移接续与制度衔接、基金管理和监督、经办管理服务等10个方面作出了明确的规定。</w:t>
      </w:r>
      <w:r>
        <w:rPr>
          <w:rFonts w:hint="eastAsia" w:ascii="仿宋_GB2312" w:hAnsi="宋体" w:eastAsia="仿宋_GB2312"/>
          <w:b/>
          <w:sz w:val="32"/>
          <w:szCs w:val="32"/>
        </w:rPr>
        <w:t>二</w:t>
      </w:r>
      <w:r>
        <w:rPr>
          <w:rFonts w:hint="eastAsia" w:ascii="仿宋_GB2312" w:hAnsi="宋体" w:eastAsia="仿宋_GB2312"/>
          <w:sz w:val="32"/>
          <w:szCs w:val="32"/>
        </w:rPr>
        <w:t>是针对养老金发放管理和退休人员的资格认证分别制定了《炎陵县城乡居民养老保险养老金发放管理暂行办法》（炎人社发〈2012〉19号）和《炎陵县领取社会养老保险金人员资格认证认证管理办法》（炎人社发〈2012〉27号）管理办法，对领取养老金人员的管理、基金的流失、防止冒领骗取养老金等行为起到了有效的防控。同时，为进一步明确乡镇、村社保专干在领取养老金人员公示和死亡申报工作的职责和流程，从源头防范死亡冒领、重复领待等问题，出台了《关于进一步加强城乡居民养老保险领取养老金人员公示和死亡申报工作的通知》（炎人社函发〈2017〉8号）管理办法。</w:t>
      </w:r>
      <w:r>
        <w:rPr>
          <w:rFonts w:hint="eastAsia" w:ascii="仿宋_GB2312" w:hAnsi="宋体" w:eastAsia="仿宋_GB2312"/>
          <w:b/>
          <w:sz w:val="32"/>
          <w:szCs w:val="32"/>
        </w:rPr>
        <w:t>三</w:t>
      </w:r>
      <w:r>
        <w:rPr>
          <w:rFonts w:hint="eastAsia" w:ascii="仿宋_GB2312" w:hAnsi="宋体" w:eastAsia="仿宋_GB2312"/>
          <w:sz w:val="32"/>
          <w:szCs w:val="32"/>
        </w:rPr>
        <w:t>是按照内部控制要求，落实工作流程，规范内部行为制定了《内部控制检查评估实施办法》和《炎陵县城乡居民养老保险工作稽核办法》。通过制度的建立和完善，规范了城乡居民养老保险基金管理，维护了社会保险基金安全完整，维护了广大参保人的合法权益。</w:t>
      </w:r>
    </w:p>
    <w:p>
      <w:pPr>
        <w:spacing w:after="0" w:line="560" w:lineRule="exact"/>
        <w:ind w:firstLine="640" w:firstLineChars="200"/>
        <w:jc w:val="both"/>
        <w:rPr>
          <w:rFonts w:ascii="黑体" w:hAnsi="宋体" w:eastAsia="黑体" w:cs="宋体"/>
          <w:color w:val="000000"/>
          <w:sz w:val="32"/>
          <w:szCs w:val="32"/>
        </w:rPr>
      </w:pPr>
      <w:r>
        <w:rPr>
          <w:rFonts w:hint="eastAsia" w:ascii="黑体" w:hAnsi="宋体" w:eastAsia="黑体" w:cs="宋体"/>
          <w:color w:val="000000"/>
          <w:sz w:val="32"/>
          <w:szCs w:val="32"/>
        </w:rPr>
        <w:t>三、项目组织实施情况</w:t>
      </w:r>
    </w:p>
    <w:p>
      <w:pPr>
        <w:spacing w:after="0" w:line="560" w:lineRule="exact"/>
        <w:ind w:firstLine="643" w:firstLineChars="20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（一）加强待遇支付管理</w:t>
      </w:r>
    </w:p>
    <w:p>
      <w:pPr>
        <w:spacing w:after="0" w:line="560" w:lineRule="exact"/>
        <w:ind w:firstLine="643" w:firstLineChars="200"/>
        <w:jc w:val="both"/>
        <w:rPr>
          <w:rFonts w:ascii="仿宋_GB2312" w:hAnsi="Verdana" w:eastAsia="仿宋_GB2312"/>
          <w:color w:val="000000"/>
          <w:sz w:val="32"/>
          <w:szCs w:val="32"/>
        </w:rPr>
      </w:pPr>
      <w:r>
        <w:rPr>
          <w:rFonts w:hint="eastAsia" w:ascii="仿宋_GB2312" w:hAnsi="宋体" w:eastAsia="仿宋_GB2312"/>
          <w:b/>
          <w:sz w:val="32"/>
          <w:szCs w:val="32"/>
        </w:rPr>
        <w:t>一</w:t>
      </w:r>
      <w:r>
        <w:rPr>
          <w:rFonts w:hint="eastAsia" w:ascii="仿宋_GB2312" w:hAnsi="宋体" w:eastAsia="仿宋_GB2312"/>
          <w:sz w:val="32"/>
          <w:szCs w:val="32"/>
        </w:rPr>
        <w:t>是明确了“一事双岗双审”制度，每月发放时先由业务岗位进行资格审查、待遇核定、拨付，再由财务岗位复核，</w:t>
      </w:r>
      <w:r>
        <w:rPr>
          <w:rFonts w:hint="eastAsia" w:ascii="仿宋_GB2312" w:hAnsi="Verdana" w:eastAsia="仿宋_GB2312" w:cs="仿宋_GB2312"/>
          <w:color w:val="000000"/>
          <w:sz w:val="32"/>
          <w:szCs w:val="32"/>
        </w:rPr>
        <w:t>做到手续完备、资料齐全、待遇发放准确无误</w:t>
      </w:r>
      <w:r>
        <w:rPr>
          <w:rFonts w:hint="eastAsia" w:ascii="仿宋_GB2312" w:hAnsi="宋体" w:eastAsia="仿宋_GB2312"/>
          <w:sz w:val="32"/>
          <w:szCs w:val="32"/>
        </w:rPr>
        <w:t>；</w:t>
      </w:r>
      <w:r>
        <w:rPr>
          <w:rFonts w:hint="eastAsia" w:ascii="仿宋_GB2312" w:hAnsi="宋体" w:eastAsia="仿宋_GB2312"/>
          <w:b/>
          <w:sz w:val="32"/>
          <w:szCs w:val="32"/>
        </w:rPr>
        <w:t>二</w:t>
      </w:r>
      <w:r>
        <w:rPr>
          <w:rFonts w:hint="eastAsia" w:ascii="仿宋_GB2312" w:hAnsi="Verdana" w:eastAsia="仿宋_GB2312" w:cs="仿宋_GB2312"/>
          <w:color w:val="000000"/>
          <w:sz w:val="32"/>
          <w:szCs w:val="32"/>
        </w:rPr>
        <w:t>是严格执行基金支付政策，按月编制基金支付计划，向财</w:t>
      </w:r>
      <w:r>
        <w:rPr>
          <w:rFonts w:hint="eastAsia" w:ascii="仿宋_GB2312" w:hAnsi="宋体" w:eastAsia="仿宋_GB2312"/>
          <w:sz w:val="32"/>
          <w:szCs w:val="32"/>
        </w:rPr>
        <w:t>政部门申请用款，按规定及时、足额发放养老金待遇；参保人死亡，个人账户有余额的，由继承人提供死亡证明和关系证明，向经办机构申请退保；三是</w:t>
      </w:r>
      <w:r>
        <w:rPr>
          <w:rFonts w:hint="eastAsia" w:ascii="仿宋_GB2312" w:hAnsi="Verdana" w:eastAsia="仿宋_GB2312" w:cs="仿宋_GB2312"/>
          <w:color w:val="000000"/>
          <w:sz w:val="32"/>
          <w:szCs w:val="32"/>
        </w:rPr>
        <w:t>建立健全养老金领取资格认证，退休人员必须采取技术认证，超过12个月未认证人员。系统将自动触发暂停。四是待遇支付审批程序健全完善，单位负责人和相关经办人员签章确认。五是每月按规定处理职保、卫计部门以及人社部、省下发的比对数据。</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城乡居民养老保险启动至今，基金运行平稳，未发现违规挤占、挪用、侵占和贪污基金的现象，也未发生过套取，骗取养老金的重大案件。</w:t>
      </w:r>
    </w:p>
    <w:p>
      <w:pPr>
        <w:spacing w:after="0" w:line="560" w:lineRule="exact"/>
        <w:ind w:firstLine="643" w:firstLineChars="20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（二）严守基金管理制度</w:t>
      </w:r>
    </w:p>
    <w:p>
      <w:pPr>
        <w:spacing w:after="0" w:line="560" w:lineRule="exact"/>
        <w:ind w:firstLine="640" w:firstLineChars="200"/>
        <w:jc w:val="both"/>
        <w:rPr>
          <w:rFonts w:ascii="仿宋_GB2312" w:hAnsi="宋体" w:eastAsia="仿宋_GB2312"/>
          <w:sz w:val="32"/>
          <w:szCs w:val="32"/>
        </w:rPr>
      </w:pPr>
      <w:r>
        <w:rPr>
          <w:rFonts w:hint="eastAsia" w:ascii="仿宋_GB2312" w:eastAsia="仿宋_GB2312"/>
          <w:sz w:val="32"/>
          <w:szCs w:val="32"/>
        </w:rPr>
        <w:t>一是按照人社部和财政部要求，年初编制上年度基金决算，反应上年度基金收入、支出、结余；年末编制下年度基金预算，预计下年度的基金收入、支出、结余；每月编制基金月报表，每季度编制基金执行情况表，反应同期增幅、基金运行情况。</w:t>
      </w:r>
      <w:r>
        <w:rPr>
          <w:rFonts w:hint="eastAsia" w:ascii="仿宋_GB2312" w:eastAsia="仿宋_GB2312"/>
          <w:b/>
          <w:sz w:val="32"/>
          <w:szCs w:val="32"/>
        </w:rPr>
        <w:t>二</w:t>
      </w:r>
      <w:r>
        <w:rPr>
          <w:rFonts w:hint="eastAsia" w:ascii="仿宋_GB2312" w:eastAsia="仿宋_GB2312"/>
          <w:sz w:val="32"/>
          <w:szCs w:val="32"/>
        </w:rPr>
        <w:t>是分别开设了收入户、支出户、财政专户，基金专款专用，收入、支出严格实行“收支两条线”，不存在账外核算、违规开立账户现象。三是按新会计制度及相关财务管理办法，会计核算是以经办业务为依据，除了利息、收入户上解基金、财政拨付用款外，其他业务必须经过业务系统登帐，再传递到财务系统进行记账，各种原始凭证真实、合法、有效，做到账账相符、账实相符。四是会计记账凭证、会计报表和其它会计资料等会计信息合法、真实、准确，并能定期归档。五是按月与基金开户银行，财政部门核对基金的收付情况，基金收入能及时入账，记账。六是会计核算完整，无利息收入以外的其他收入，基金代理金融机构能严格按优惠利率计息，并能及时结算和支付。七是按照省里统一要求同时启用了财务系统和业务系统，及时进行了学习，掌握了操作方法与流程。八是</w:t>
      </w:r>
      <w:r>
        <w:rPr>
          <w:rFonts w:hint="eastAsia" w:ascii="仿宋_GB2312" w:hAnsi="宋体" w:eastAsia="仿宋_GB2312"/>
          <w:sz w:val="32"/>
          <w:szCs w:val="32"/>
        </w:rPr>
        <w:t>建立健全养老金领取资格认证和稽核制度，及时追缴多领冒领的养老金。</w:t>
      </w:r>
    </w:p>
    <w:p>
      <w:pPr>
        <w:spacing w:after="0" w:line="560" w:lineRule="exact"/>
        <w:ind w:firstLine="643" w:firstLineChars="200"/>
        <w:jc w:val="both"/>
        <w:rPr>
          <w:rFonts w:ascii="仿宋_GB2312" w:hAnsi="宋体" w:eastAsia="仿宋_GB2312"/>
          <w:b/>
          <w:sz w:val="32"/>
          <w:szCs w:val="32"/>
        </w:rPr>
      </w:pPr>
      <w:r>
        <w:rPr>
          <w:rFonts w:hint="eastAsia" w:ascii="仿宋_GB2312" w:hAnsi="宋体" w:eastAsia="仿宋_GB2312"/>
          <w:b/>
          <w:sz w:val="32"/>
          <w:szCs w:val="32"/>
        </w:rPr>
        <w:t>（三）提升经办服务管理能力</w:t>
      </w:r>
    </w:p>
    <w:p>
      <w:pPr>
        <w:spacing w:after="0" w:line="560" w:lineRule="exact"/>
        <w:ind w:firstLine="643" w:firstLineChars="200"/>
        <w:jc w:val="both"/>
        <w:rPr>
          <w:rFonts w:ascii="仿宋_GB2312" w:hAnsi="Verdana" w:eastAsia="仿宋_GB2312"/>
          <w:color w:val="000000"/>
          <w:sz w:val="32"/>
          <w:szCs w:val="32"/>
        </w:rPr>
      </w:pPr>
      <w:r>
        <w:rPr>
          <w:rFonts w:hint="eastAsia" w:ascii="仿宋_GB2312" w:hAnsi="Verdana" w:eastAsia="仿宋_GB2312" w:cs="仿宋_GB2312"/>
          <w:b/>
          <w:color w:val="000000"/>
          <w:sz w:val="32"/>
          <w:szCs w:val="32"/>
        </w:rPr>
        <w:t>1、</w:t>
      </w:r>
      <w:r>
        <w:rPr>
          <w:rFonts w:hint="eastAsia" w:ascii="仿宋_GB2312" w:hAnsi="Verdana" w:eastAsia="仿宋_GB2312" w:cs="仿宋_GB2312"/>
          <w:color w:val="000000"/>
          <w:sz w:val="32"/>
          <w:szCs w:val="32"/>
        </w:rPr>
        <w:t>完善业务规程。依据现行社会保险有关法规和政策，结合我县实际，制定了参保登记、缴费申报、参保终止、转移接续等业务经办规程和工作制度，确保具体业务操作之间都形成了内在的制约关系。</w:t>
      </w:r>
    </w:p>
    <w:p>
      <w:pPr>
        <w:spacing w:after="0" w:line="560" w:lineRule="exact"/>
        <w:ind w:firstLine="643" w:firstLineChars="200"/>
        <w:jc w:val="both"/>
        <w:rPr>
          <w:rFonts w:ascii="仿宋_GB2312" w:hAnsi="Verdana" w:eastAsia="仿宋_GB2312"/>
          <w:color w:val="000000"/>
          <w:sz w:val="32"/>
          <w:szCs w:val="32"/>
        </w:rPr>
      </w:pPr>
      <w:r>
        <w:rPr>
          <w:rFonts w:hint="eastAsia" w:ascii="仿宋_GB2312" w:hAnsi="Verdana" w:eastAsia="仿宋_GB2312" w:cs="仿宋_GB2312"/>
          <w:b/>
          <w:color w:val="000000"/>
          <w:sz w:val="32"/>
          <w:szCs w:val="32"/>
        </w:rPr>
        <w:t>2、</w:t>
      </w:r>
      <w:r>
        <w:rPr>
          <w:rFonts w:hint="eastAsia" w:ascii="仿宋_GB2312" w:hAnsi="Verdana" w:eastAsia="仿宋_GB2312" w:cs="仿宋_GB2312"/>
          <w:color w:val="000000"/>
          <w:sz w:val="32"/>
          <w:szCs w:val="32"/>
        </w:rPr>
        <w:t>加强业务经办管理。严格按照炎陵县城乡居民基本养老保险经办规程办理参保登记、关系变更、转移接续、终止参保等业务，审批手续完备、材料齐全。参保人员注销登记后，及时对参保人员的个人账户和待遇支付及时处理。</w:t>
      </w:r>
    </w:p>
    <w:p>
      <w:pPr>
        <w:spacing w:after="0" w:line="560" w:lineRule="exact"/>
        <w:ind w:firstLine="643" w:firstLineChars="200"/>
        <w:jc w:val="both"/>
        <w:rPr>
          <w:rFonts w:ascii="仿宋_GB2312" w:hAnsi="Verdana" w:eastAsia="仿宋_GB2312" w:cs="仿宋_GB2312"/>
          <w:color w:val="000000"/>
          <w:sz w:val="32"/>
          <w:szCs w:val="32"/>
        </w:rPr>
      </w:pPr>
      <w:r>
        <w:rPr>
          <w:rFonts w:hint="eastAsia" w:ascii="仿宋_GB2312" w:hAnsi="Verdana" w:eastAsia="仿宋_GB2312" w:cs="仿宋_GB2312"/>
          <w:b/>
          <w:color w:val="000000"/>
          <w:sz w:val="32"/>
          <w:szCs w:val="32"/>
        </w:rPr>
        <w:t>3、</w:t>
      </w:r>
      <w:r>
        <w:rPr>
          <w:rFonts w:hint="eastAsia" w:ascii="仿宋_GB2312" w:hAnsi="Verdana" w:eastAsia="仿宋_GB2312" w:cs="仿宋_GB2312"/>
          <w:color w:val="000000"/>
          <w:sz w:val="32"/>
          <w:szCs w:val="32"/>
        </w:rPr>
        <w:t>严格经办程序，加强基金征缴。采取自主缴费方式，目前实现了全县所有银行都可以自主缴费；同时也取消了以往的乡镇、村协办员代收缴费。为进一步方便老百姓缴费，税务部门及时开发上线了湘税保App,足不出户就可以实现自主缴费。这些措施切实有效的保障了基金安全。</w:t>
      </w:r>
    </w:p>
    <w:p>
      <w:pPr>
        <w:spacing w:after="0" w:line="560" w:lineRule="exact"/>
        <w:ind w:firstLine="643" w:firstLineChars="200"/>
        <w:jc w:val="both"/>
        <w:rPr>
          <w:rFonts w:ascii="仿宋_GB2312" w:hAnsi="Verdana" w:eastAsia="仿宋_GB2312"/>
          <w:sz w:val="32"/>
          <w:szCs w:val="32"/>
        </w:rPr>
      </w:pPr>
      <w:r>
        <w:rPr>
          <w:rFonts w:hint="eastAsia" w:ascii="仿宋_GB2312" w:hAnsi="Verdana" w:eastAsia="仿宋_GB2312" w:cs="仿宋_GB2312"/>
          <w:b/>
          <w:sz w:val="32"/>
          <w:szCs w:val="32"/>
        </w:rPr>
        <w:t>4、</w:t>
      </w:r>
      <w:r>
        <w:rPr>
          <w:rFonts w:hint="eastAsia" w:ascii="仿宋_GB2312" w:hAnsi="Verdana" w:eastAsia="仿宋_GB2312" w:cs="仿宋_GB2312"/>
          <w:sz w:val="32"/>
          <w:szCs w:val="32"/>
        </w:rPr>
        <w:t>强化个人账户管理。按规定为参保缴费人员建立个人账户，个人账户记录项目齐全。个人缴费额与政府对个人缴费补贴记入个人账户。个人账户储存额仅限于个人账户养老金支付。每年集中征缴时期各乡镇每月或每周在行政村（社区）人口密集处张贴当年缴费情况，以进行公示与催缴。</w:t>
      </w:r>
    </w:p>
    <w:p>
      <w:pPr>
        <w:spacing w:after="0" w:line="560" w:lineRule="exact"/>
        <w:ind w:firstLine="643" w:firstLineChars="200"/>
        <w:jc w:val="both"/>
        <w:rPr>
          <w:rFonts w:ascii="仿宋_GB2312" w:hAnsi="Verdana" w:eastAsia="仿宋_GB2312"/>
          <w:color w:val="000000"/>
          <w:sz w:val="32"/>
          <w:szCs w:val="32"/>
        </w:rPr>
      </w:pPr>
      <w:r>
        <w:rPr>
          <w:rFonts w:hint="eastAsia" w:ascii="仿宋_GB2312" w:hAnsi="Verdana" w:eastAsia="仿宋_GB2312" w:cs="仿宋_GB2312"/>
          <w:b/>
          <w:color w:val="000000"/>
          <w:sz w:val="32"/>
          <w:szCs w:val="32"/>
        </w:rPr>
        <w:t>5、</w:t>
      </w:r>
      <w:r>
        <w:rPr>
          <w:rFonts w:hint="eastAsia" w:ascii="仿宋_GB2312" w:hAnsi="Verdana" w:eastAsia="仿宋_GB2312" w:cs="仿宋_GB2312"/>
          <w:color w:val="000000"/>
          <w:sz w:val="32"/>
          <w:szCs w:val="32"/>
        </w:rPr>
        <w:t>加强待遇支付管理。</w:t>
      </w:r>
      <w:r>
        <w:rPr>
          <w:rFonts w:hint="eastAsia" w:ascii="仿宋_GB2312" w:hAnsi="Verdana" w:eastAsia="仿宋_GB2312" w:cs="仿宋_GB2312"/>
          <w:b/>
          <w:color w:val="000000"/>
          <w:sz w:val="32"/>
          <w:szCs w:val="32"/>
        </w:rPr>
        <w:t>一</w:t>
      </w:r>
      <w:r>
        <w:rPr>
          <w:rFonts w:hint="eastAsia" w:ascii="仿宋_GB2312" w:hAnsi="Verdana" w:eastAsia="仿宋_GB2312" w:cs="仿宋_GB2312"/>
          <w:color w:val="000000"/>
          <w:sz w:val="32"/>
          <w:szCs w:val="32"/>
        </w:rPr>
        <w:t>是建立健全养老金领取资格认证和公示制度。</w:t>
      </w:r>
      <w:r>
        <w:rPr>
          <w:rFonts w:hint="eastAsia" w:ascii="仿宋_GB2312" w:hAnsi="Verdana" w:eastAsia="仿宋_GB2312" w:cs="仿宋_GB2312"/>
          <w:b/>
          <w:color w:val="000000"/>
          <w:sz w:val="32"/>
          <w:szCs w:val="32"/>
        </w:rPr>
        <w:t>二</w:t>
      </w:r>
      <w:r>
        <w:rPr>
          <w:rFonts w:hint="eastAsia" w:ascii="仿宋_GB2312" w:hAnsi="Verdana" w:eastAsia="仿宋_GB2312" w:cs="仿宋_GB2312"/>
          <w:color w:val="000000"/>
          <w:sz w:val="32"/>
          <w:szCs w:val="32"/>
        </w:rPr>
        <w:t>是严格进行待遇审核、复核等工作，做到手续完备、资料齐全、待遇发放准确无误。三是待遇支付审批程序健全完善，单位负责人和相关经办人员签章确认。四是每月按规定处理职保、卫计部门以及部省下发的比对数据。</w:t>
      </w:r>
    </w:p>
    <w:p>
      <w:pPr>
        <w:spacing w:after="0" w:line="560" w:lineRule="exact"/>
        <w:ind w:firstLine="640" w:firstLineChars="200"/>
        <w:jc w:val="both"/>
        <w:rPr>
          <w:rFonts w:ascii="黑体" w:hAnsi="宋体" w:eastAsia="黑体"/>
          <w:sz w:val="32"/>
          <w:szCs w:val="32"/>
        </w:rPr>
      </w:pPr>
      <w:r>
        <w:rPr>
          <w:rFonts w:hint="eastAsia" w:ascii="黑体" w:hAnsi="宋体" w:eastAsia="黑体"/>
          <w:sz w:val="32"/>
          <w:szCs w:val="32"/>
        </w:rPr>
        <w:t>三、存在的问题和建议</w:t>
      </w:r>
    </w:p>
    <w:p>
      <w:pPr>
        <w:spacing w:after="0" w:line="560" w:lineRule="exact"/>
        <w:ind w:firstLine="640" w:firstLineChars="200"/>
        <w:jc w:val="both"/>
        <w:rPr>
          <w:rFonts w:ascii="仿宋_GB2312" w:hAnsi="仿宋_GB2312" w:eastAsia="仿宋_GB2312" w:cs="仿宋_GB2312"/>
          <w:kern w:val="1"/>
          <w:sz w:val="32"/>
          <w:szCs w:val="32"/>
        </w:rPr>
      </w:pPr>
      <w:r>
        <w:rPr>
          <w:rFonts w:hint="eastAsia" w:ascii="仿宋_GB2312" w:hAnsi="宋体" w:eastAsia="仿宋_GB2312" w:cs="宋体"/>
          <w:color w:val="000000"/>
          <w:sz w:val="32"/>
          <w:szCs w:val="32"/>
        </w:rPr>
        <w:t>（一）</w:t>
      </w:r>
      <w:r>
        <w:rPr>
          <w:rFonts w:hint="eastAsia" w:ascii="仿宋_GB2312" w:hAnsi="仿宋_GB2312" w:eastAsia="仿宋_GB2312" w:cs="仿宋_GB2312"/>
          <w:b/>
          <w:kern w:val="1"/>
          <w:sz w:val="32"/>
          <w:szCs w:val="32"/>
        </w:rPr>
        <w:t>业务经办工作人员紧张</w:t>
      </w:r>
      <w:r>
        <w:rPr>
          <w:rFonts w:hint="eastAsia" w:ascii="楷体_GB2312" w:hAnsi="仿宋_GB2312" w:eastAsia="楷体_GB2312" w:cs="仿宋_GB2312"/>
          <w:kern w:val="1"/>
          <w:sz w:val="32"/>
          <w:szCs w:val="32"/>
        </w:rPr>
        <w:t>。</w:t>
      </w:r>
      <w:r>
        <w:rPr>
          <w:rFonts w:hint="eastAsia" w:ascii="仿宋_GB2312" w:hAnsi="仿宋_GB2312" w:eastAsia="仿宋_GB2312" w:cs="仿宋_GB2312"/>
          <w:kern w:val="1"/>
          <w:sz w:val="32"/>
          <w:szCs w:val="32"/>
        </w:rPr>
        <w:t>随着四类人员补助代发、参保规模扩大、基金监管要求不断提高、参保人员生存资格认证、社会保险扶贫等业务工作的增加，加之群众对窗口服务水平要求提高，社保中心日常工作量逐年增大，但是工作人员、编制却未予增加，导致社保中心人少事多困难愈加突出，严重影响了城乡居保工作开展，不利于基金安全运行。</w:t>
      </w:r>
    </w:p>
    <w:p>
      <w:pPr>
        <w:spacing w:after="0" w:line="560" w:lineRule="exact"/>
        <w:ind w:firstLine="643" w:firstLineChars="200"/>
        <w:jc w:val="both"/>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（二）基层经办、管理难度大</w:t>
      </w:r>
      <w:r>
        <w:rPr>
          <w:rFonts w:hint="eastAsia" w:ascii="楷体_GB2312" w:hAnsi="宋体" w:eastAsia="楷体_GB2312" w:cs="宋体"/>
          <w:color w:val="000000"/>
          <w:sz w:val="32"/>
          <w:szCs w:val="32"/>
        </w:rPr>
        <w:t>。</w:t>
      </w:r>
      <w:r>
        <w:rPr>
          <w:rFonts w:hint="eastAsia" w:ascii="仿宋_GB2312" w:hAnsi="宋体" w:eastAsia="仿宋_GB2312" w:cs="宋体"/>
          <w:color w:val="000000"/>
          <w:sz w:val="32"/>
          <w:szCs w:val="32"/>
        </w:rPr>
        <w:t>城乡居保大量的日常工作需要乡镇、村一级来经办，对基层没有相关的经费和制度保障，更多依靠个人职业道德办事，不利于城乡居保的长远发展。同时受外出务工、随子女外出定居等因素的影响，参保人员不居住在户籍所在地，加大了经办、管理难度。</w:t>
      </w:r>
    </w:p>
    <w:p>
      <w:pPr>
        <w:spacing w:after="0" w:line="560" w:lineRule="exact"/>
        <w:ind w:firstLine="640" w:firstLineChars="200"/>
        <w:jc w:val="both"/>
        <w:rPr>
          <w:rFonts w:ascii="仿宋_GB2312" w:hAnsi="宋体" w:eastAsia="仿宋_GB2312" w:cs="Times New Roman"/>
          <w:sz w:val="32"/>
          <w:szCs w:val="32"/>
        </w:rPr>
      </w:pPr>
    </w:p>
    <w:p>
      <w:pPr>
        <w:spacing w:after="0" w:line="560" w:lineRule="exact"/>
        <w:ind w:firstLine="600" w:firstLineChars="200"/>
        <w:jc w:val="both"/>
        <w:rPr>
          <w:rFonts w:ascii="仿宋_GB2312" w:eastAsia="仿宋_GB2312"/>
          <w:sz w:val="30"/>
          <w:szCs w:val="30"/>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tbl>
      <w:tblPr>
        <w:tblStyle w:val="5"/>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noWrap w:val="0"/>
            <w:tcMar>
              <w:top w:w="15" w:type="dxa"/>
              <w:left w:w="15" w:type="dxa"/>
              <w:right w:w="15" w:type="dxa"/>
            </w:tcMar>
            <w:vAlign w:val="center"/>
          </w:tcPr>
          <w:p>
            <w:pPr>
              <w:widowControl/>
              <w:spacing w:line="240" w:lineRule="exact"/>
              <w:textAlignment w:val="center"/>
              <w:rPr>
                <w:rFonts w:hAnsi="黑体" w:eastAsia="黑体"/>
                <w:kern w:val="0"/>
                <w:sz w:val="28"/>
                <w:szCs w:val="28"/>
              </w:rPr>
            </w:pPr>
            <w:r>
              <w:rPr>
                <w:rFonts w:hint="eastAsia" w:hAnsi="黑体" w:eastAsia="黑体"/>
                <w:kern w:val="0"/>
                <w:sz w:val="28"/>
                <w:szCs w:val="28"/>
              </w:rPr>
              <w:t>附</w:t>
            </w:r>
            <w:r>
              <w:rPr>
                <w:rFonts w:hAnsi="黑体" w:eastAsia="黑体"/>
                <w:kern w:val="0"/>
                <w:sz w:val="28"/>
                <w:szCs w:val="28"/>
              </w:rPr>
              <w:t>件</w:t>
            </w:r>
            <w:r>
              <w:rPr>
                <w:rFonts w:eastAsia="黑体"/>
                <w:kern w:val="0"/>
                <w:sz w:val="28"/>
                <w:szCs w:val="28"/>
              </w:rPr>
              <w:t>2</w:t>
            </w:r>
          </w:p>
          <w:tbl>
            <w:tblPr>
              <w:tblStyle w:val="5"/>
              <w:tblW w:w="9283" w:type="dxa"/>
              <w:jc w:val="center"/>
              <w:tblLayout w:type="fixed"/>
              <w:tblCellMar>
                <w:top w:w="0" w:type="dxa"/>
                <w:left w:w="108" w:type="dxa"/>
                <w:bottom w:w="0" w:type="dxa"/>
                <w:right w:w="108" w:type="dxa"/>
              </w:tblCellMar>
            </w:tblPr>
            <w:tblGrid>
              <w:gridCol w:w="1178"/>
              <w:gridCol w:w="985"/>
              <w:gridCol w:w="1073"/>
              <w:gridCol w:w="110"/>
              <w:gridCol w:w="1166"/>
              <w:gridCol w:w="992"/>
              <w:gridCol w:w="1134"/>
              <w:gridCol w:w="573"/>
              <w:gridCol w:w="795"/>
              <w:gridCol w:w="1277"/>
            </w:tblGrid>
            <w:tr>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2020</w:t>
                  </w:r>
                  <w:r>
                    <w:rPr>
                      <w:color w:val="000000"/>
                      <w:kern w:val="0"/>
                      <w:sz w:val="22"/>
                    </w:rPr>
                    <w:t>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城乡居民基本养老保险</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326"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炎陵县人力资源和社会保障局</w:t>
                  </w:r>
                </w:p>
              </w:tc>
              <w:tc>
                <w:tcPr>
                  <w:tcW w:w="1134" w:type="dxa"/>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炎陵县社会保险服务中心</w:t>
                  </w:r>
                </w:p>
              </w:tc>
            </w:tr>
            <w:tr>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992"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134"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133.7</w:t>
                  </w:r>
                </w:p>
              </w:tc>
              <w:tc>
                <w:tcPr>
                  <w:tcW w:w="992"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149.7</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157.51</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105.%</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hint="eastAsia" w:eastAsia="仿宋_GB2312"/>
                      <w:color w:val="000000"/>
                      <w:kern w:val="0"/>
                      <w:szCs w:val="21"/>
                    </w:rPr>
                  </w:pPr>
                  <w:r>
                    <w:rPr>
                      <w:rFonts w:eastAsia="仿宋_GB2312"/>
                      <w:color w:val="000000"/>
                      <w:kern w:val="0"/>
                      <w:szCs w:val="21"/>
                    </w:rPr>
                    <w:t>　</w:t>
                  </w:r>
                  <w:r>
                    <w:rPr>
                      <w:rFonts w:hint="eastAsia" w:eastAsia="仿宋_GB2312"/>
                      <w:color w:val="000000"/>
                      <w:kern w:val="0"/>
                      <w:szCs w:val="21"/>
                    </w:rPr>
                    <w:t>135</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90%</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9</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ind w:firstLine="550" w:firstLineChars="250"/>
                    <w:jc w:val="left"/>
                    <w:rPr>
                      <w:rFonts w:eastAsia="仿宋_GB2312"/>
                      <w:color w:val="000000"/>
                      <w:kern w:val="0"/>
                      <w:szCs w:val="21"/>
                    </w:rPr>
                  </w:pPr>
                  <w:r>
                    <w:rPr>
                      <w:rFonts w:eastAsia="仿宋_GB2312"/>
                      <w:color w:val="000000"/>
                      <w:kern w:val="0"/>
                      <w:szCs w:val="21"/>
                    </w:rPr>
                    <w:t>上年结转资金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22.51</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ind w:firstLine="660" w:firstLineChars="300"/>
                    <w:jc w:val="left"/>
                    <w:rPr>
                      <w:rFonts w:eastAsia="仿宋_GB2312"/>
                      <w:color w:val="000000"/>
                      <w:kern w:val="0"/>
                      <w:szCs w:val="21"/>
                    </w:rPr>
                  </w:pPr>
                  <w:r>
                    <w:rPr>
                      <w:rFonts w:eastAsia="仿宋_GB2312"/>
                      <w:color w:val="000000"/>
                      <w:kern w:val="0"/>
                      <w:szCs w:val="21"/>
                    </w:rPr>
                    <w:t>其他资金</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326"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779"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4326"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专款专用，及时划拨</w:t>
                  </w:r>
                  <w:r>
                    <w:rPr>
                      <w:rFonts w:eastAsia="仿宋_GB2312"/>
                      <w:color w:val="000000"/>
                      <w:kern w:val="0"/>
                      <w:szCs w:val="21"/>
                    </w:rPr>
                    <w:t>　</w:t>
                  </w:r>
                </w:p>
              </w:tc>
              <w:tc>
                <w:tcPr>
                  <w:tcW w:w="3779"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 xml:space="preserve">       专款专用，足额到位</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产出</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p>
                <w:p>
                  <w:pPr>
                    <w:widowControl/>
                    <w:spacing w:line="200" w:lineRule="exact"/>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60</w:t>
                  </w:r>
                  <w:r>
                    <w:rPr>
                      <w:rFonts w:eastAsia="仿宋_GB2312"/>
                      <w:color w:val="000000"/>
                      <w:kern w:val="0"/>
                      <w:szCs w:val="21"/>
                    </w:rPr>
                    <w:t>分)</w:t>
                  </w: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缴费人数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≥54000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≥50479</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eastAsia="仿宋_GB2312"/>
                      <w:color w:val="000000"/>
                      <w:kern w:val="0"/>
                      <w:sz w:val="15"/>
                      <w:szCs w:val="15"/>
                    </w:rPr>
                  </w:pPr>
                  <w:r>
                    <w:rPr>
                      <w:rFonts w:hint="eastAsia" w:eastAsia="仿宋_GB2312"/>
                      <w:color w:val="000000"/>
                      <w:kern w:val="0"/>
                      <w:sz w:val="15"/>
                      <w:szCs w:val="15"/>
                    </w:rPr>
                    <w:t>缴费人员断缴</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待遇人数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≥27823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≥27863</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资金到位率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资金使用率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到位及时性</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使用及时性</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36"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缴费补贴标准</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6-12元/人</w:t>
                  </w:r>
                  <w:r>
                    <w:rPr>
                      <w:rFonts w:hint="eastAsia" w:ascii="宋体" w:hAnsi="宋体" w:cs="宋体"/>
                      <w:color w:val="000000"/>
                      <w:sz w:val="20"/>
                      <w:szCs w:val="20"/>
                    </w:rPr>
                    <w:t>·年</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6-12元/人</w:t>
                  </w:r>
                  <w:r>
                    <w:rPr>
                      <w:rFonts w:hint="eastAsia" w:ascii="宋体" w:hAnsi="宋体" w:cs="宋体"/>
                      <w:color w:val="000000"/>
                      <w:sz w:val="20"/>
                      <w:szCs w:val="20"/>
                    </w:rPr>
                    <w:t>·年</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57"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基础养老金补贴标准</w:t>
                  </w:r>
                  <w:r>
                    <w:rPr>
                      <w:rFonts w:eastAsia="仿宋_GB2312"/>
                      <w:color w:val="000000"/>
                      <w:kern w:val="0"/>
                      <w:szCs w:val="21"/>
                    </w:rPr>
                    <w:t>…</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3元/人</w:t>
                  </w:r>
                  <w:r>
                    <w:rPr>
                      <w:rFonts w:hint="eastAsia" w:ascii="宋体" w:hAnsi="宋体" w:cs="宋体"/>
                      <w:color w:val="000000"/>
                      <w:szCs w:val="21"/>
                    </w:rPr>
                    <w:t>·月</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3元/人</w:t>
                  </w:r>
                  <w:r>
                    <w:rPr>
                      <w:rFonts w:hint="eastAsia" w:ascii="宋体" w:hAnsi="宋体" w:cs="宋体"/>
                      <w:color w:val="000000"/>
                      <w:sz w:val="20"/>
                      <w:szCs w:val="20"/>
                    </w:rPr>
                    <w:t>·月</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效益</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left"/>
                    <w:rPr>
                      <w:rFonts w:eastAsia="仿宋_GB2312"/>
                      <w:color w:val="000000"/>
                      <w:kern w:val="0"/>
                      <w:szCs w:val="21"/>
                    </w:rPr>
                  </w:pPr>
                </w:p>
                <w:p>
                  <w:pPr>
                    <w:widowControl/>
                    <w:spacing w:line="200" w:lineRule="exact"/>
                    <w:jc w:val="left"/>
                    <w:rPr>
                      <w:rFonts w:eastAsia="仿宋_GB2312"/>
                      <w:color w:val="000000"/>
                      <w:kern w:val="0"/>
                      <w:szCs w:val="21"/>
                    </w:rPr>
                  </w:pPr>
                  <w:r>
                    <w:rPr>
                      <w:rFonts w:eastAsia="仿宋_GB2312"/>
                      <w:color w:val="000000"/>
                      <w:kern w:val="0"/>
                      <w:szCs w:val="21"/>
                    </w:rPr>
                    <w:t>（30分）</w:t>
                  </w:r>
                </w:p>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经济效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参保人权益</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保障合法</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保障合法</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受益对象</w:t>
                  </w:r>
                  <w:r>
                    <w:rPr>
                      <w:rFonts w:eastAsia="仿宋_GB2312"/>
                      <w:color w:val="000000"/>
                      <w:kern w:val="0"/>
                      <w:szCs w:val="21"/>
                    </w:rPr>
                    <w:t>…</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符合政策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符合政策</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社会效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≥95000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≥95000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政策知晓率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26"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生态效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对环境影响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无影响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无影响</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48" w:hRule="atLeast"/>
                <w:jc w:val="center"/>
              </w:trPr>
              <w:tc>
                <w:tcPr>
                  <w:tcW w:w="1178" w:type="dxa"/>
                  <w:vMerge w:val="continue"/>
                  <w:tcBorders>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政策实施期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长期执行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长期执行</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98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满意度</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073" w:type="dxa"/>
                  <w:tcBorders>
                    <w:top w:val="single" w:color="auto" w:sz="4" w:space="0"/>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参保人员满意度</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≥99</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≥99</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98</w:t>
                  </w:r>
                </w:p>
              </w:tc>
              <w:tc>
                <w:tcPr>
                  <w:tcW w:w="1277"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815"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r>
          </w:tbl>
          <w:p>
            <w:pPr>
              <w:spacing w:before="156" w:beforeLines="50" w:line="200" w:lineRule="exact"/>
              <w:ind w:firstLine="110" w:firstLineChars="50"/>
              <w:rPr>
                <w:rFonts w:hint="eastAsia" w:eastAsia="仿宋_GB2312"/>
                <w:szCs w:val="21"/>
              </w:rPr>
            </w:pPr>
            <w:r>
              <w:rPr>
                <w:rFonts w:eastAsia="仿宋_GB2312"/>
                <w:szCs w:val="21"/>
              </w:rPr>
              <w:t>填表人：</w:t>
            </w:r>
            <w:r>
              <w:rPr>
                <w:rFonts w:hint="eastAsia" w:eastAsia="仿宋_GB2312"/>
                <w:szCs w:val="21"/>
                <w:lang w:eastAsia="zh-CN"/>
              </w:rPr>
              <w:t>周龙慧</w:t>
            </w:r>
            <w:r>
              <w:rPr>
                <w:rFonts w:hint="eastAsia" w:eastAsia="仿宋_GB2312"/>
                <w:szCs w:val="21"/>
              </w:rPr>
              <w:t xml:space="preserve">                                             </w:t>
            </w:r>
            <w:r>
              <w:rPr>
                <w:rFonts w:eastAsia="仿宋_GB2312"/>
                <w:szCs w:val="21"/>
              </w:rPr>
              <w:t>填报日期：</w:t>
            </w:r>
            <w:r>
              <w:rPr>
                <w:rFonts w:hint="eastAsia" w:eastAsia="仿宋_GB2312"/>
                <w:szCs w:val="21"/>
              </w:rPr>
              <w:t>2021年9月28日</w:t>
            </w:r>
            <w:r>
              <w:rPr>
                <w:rFonts w:eastAsia="仿宋_GB2312"/>
                <w:szCs w:val="21"/>
              </w:rPr>
              <w:t xml:space="preserve"> </w:t>
            </w:r>
          </w:p>
          <w:p>
            <w:pPr>
              <w:spacing w:before="156" w:beforeLines="50" w:line="200" w:lineRule="exact"/>
              <w:ind w:firstLine="110" w:firstLineChars="50"/>
              <w:rPr>
                <w:rFonts w:hint="eastAsia" w:ascii="方正小标宋简体" w:hAnsi="方正小标宋简体" w:eastAsia="仿宋_GB2312" w:cs="方正小标宋简体"/>
                <w:color w:val="000000"/>
                <w:sz w:val="44"/>
                <w:szCs w:val="44"/>
                <w:lang w:eastAsia="zh-CN"/>
              </w:rPr>
            </w:pPr>
            <w:r>
              <w:rPr>
                <w:rFonts w:eastAsia="仿宋_GB2312"/>
                <w:szCs w:val="21"/>
              </w:rPr>
              <w:t>联系电话：</w:t>
            </w:r>
            <w:r>
              <w:rPr>
                <w:rFonts w:hint="eastAsia" w:eastAsia="仿宋_GB2312"/>
                <w:szCs w:val="21"/>
                <w:lang w:val="en-US" w:eastAsia="zh-CN"/>
              </w:rPr>
              <w:t>22542816</w:t>
            </w:r>
            <w:r>
              <w:rPr>
                <w:rFonts w:hint="eastAsia" w:eastAsia="仿宋_GB2312"/>
                <w:szCs w:val="21"/>
              </w:rPr>
              <w:t xml:space="preserve">                                       </w:t>
            </w:r>
            <w:r>
              <w:rPr>
                <w:rFonts w:hint="eastAsia" w:eastAsia="仿宋_GB2312"/>
                <w:szCs w:val="21"/>
                <w:lang w:val="en-US" w:eastAsia="zh-CN"/>
              </w:rPr>
              <w:t xml:space="preserve">  </w:t>
            </w:r>
            <w:r>
              <w:rPr>
                <w:rFonts w:eastAsia="仿宋_GB2312"/>
                <w:szCs w:val="21"/>
              </w:rPr>
              <w:t>单位负责人签字：</w:t>
            </w:r>
            <w:r>
              <w:rPr>
                <w:rFonts w:hint="eastAsia" w:eastAsia="仿宋_GB2312"/>
                <w:szCs w:val="21"/>
                <w:lang w:eastAsia="zh-CN"/>
              </w:rPr>
              <w:t>张孝红</w:t>
            </w:r>
          </w:p>
        </w:tc>
      </w:tr>
    </w:tbl>
    <w:p>
      <w:pPr>
        <w:spacing w:line="200" w:lineRule="exact"/>
        <w:sectPr>
          <w:headerReference r:id="rId5" w:type="default"/>
          <w:footerReference r:id="rId6" w:type="default"/>
          <w:footerReference r:id="rId7" w:type="even"/>
          <w:pgSz w:w="11906" w:h="16838"/>
          <w:pgMar w:top="1440" w:right="1800" w:bottom="1440" w:left="1800" w:header="851" w:footer="992" w:gutter="0"/>
          <w:pgNumType w:fmt="numberInDash"/>
          <w:cols w:space="720" w:num="1"/>
          <w:titlePg/>
          <w:docGrid w:type="lines" w:linePitch="312" w:charSpace="0"/>
        </w:sectPr>
      </w:pPr>
    </w:p>
    <w:tbl>
      <w:tblPr>
        <w:tblStyle w:val="5"/>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100</w:t>
            </w:r>
          </w:p>
        </w:tc>
      </w:tr>
    </w:tbl>
    <w:p/>
    <w:p>
      <w:pPr>
        <w:spacing w:after="0" w:line="560" w:lineRule="exact"/>
        <w:ind w:firstLine="1680" w:firstLineChars="200"/>
        <w:jc w:val="both"/>
        <w:rPr>
          <w:rFonts w:ascii="仿宋_GB2312" w:eastAsia="仿宋_GB2312"/>
          <w:sz w:val="84"/>
          <w:szCs w:val="84"/>
        </w:rPr>
      </w:pPr>
    </w:p>
    <w:sectPr>
      <w:footerReference r:id="rId8" w:type="default"/>
      <w:pgSz w:w="16838" w:h="11906"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sz w:val="24"/>
        <w:szCs w:val="24"/>
      </w:rPr>
    </w:pP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- 4 -</w:t>
    </w:r>
    <w:r>
      <w:rPr>
        <w:rFonts w:ascii="宋体" w:hAnsi="宋体"/>
        <w:sz w:val="24"/>
        <w:szCs w:val="24"/>
      </w:rPr>
      <w:fldChar w:fldCharType="end"/>
    </w:r>
  </w:p>
  <w:p>
    <w:pPr>
      <w:pStyle w:val="3"/>
      <w:tabs>
        <w:tab w:val="left" w:pos="4995"/>
        <w:tab w:val="clear" w:pos="4153"/>
        <w:tab w:val="clear" w:pos="8306"/>
      </w:tabs>
      <w:ind w:right="360"/>
      <w:rPr>
        <w:rStyle w:val="7"/>
        <w:rFonts w:hint="eastAsia"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P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center" w:y="1"/>
      <w:ind w:right="360"/>
    </w:pP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center" w:y="1"/>
      <w:ind w:right="360"/>
      <w:rPr>
        <w:rStyle w:val="7"/>
      </w:rPr>
    </w:pPr>
    <w:r>
      <w:fldChar w:fldCharType="begin"/>
    </w:r>
    <w:r>
      <w:rPr>
        <w:rStyle w:val="7"/>
      </w:rPr>
      <w:instrText xml:space="preserve">Page</w:instrText>
    </w:r>
    <w:r>
      <w:fldChar w:fldCharType="separate"/>
    </w:r>
    <w:r>
      <w:rPr>
        <w:rStyle w:val="7"/>
      </w:rPr>
      <w:t>- 1 -</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5032"/>
      <w:docPartObj>
        <w:docPartGallery w:val="autotext"/>
      </w:docPartObj>
    </w:sdtPr>
    <w:sdtContent>
      <w:sdt>
        <w:sdtPr>
          <w:id w:val="171357217"/>
          <w:docPartObj>
            <w:docPartGallery w:val="autotext"/>
          </w:docPartObj>
        </w:sdtPr>
        <w:sdtContent>
          <w:p>
            <w:pPr>
              <w:pStyle w:val="3"/>
              <w:jc w:val="center"/>
              <w:rPr>
                <w:sz w:val="21"/>
              </w:rPr>
            </w:pPr>
            <w:r>
              <w:rPr>
                <w:rFonts w:hint="eastAsia" w:eastAsia="仿宋_GB2312"/>
                <w:sz w:val="21"/>
              </w:rPr>
              <w:t>第</w:t>
            </w:r>
            <w:r>
              <w:rPr>
                <w:rFonts w:eastAsia="仿宋_GB2312"/>
                <w:sz w:val="21"/>
                <w:lang w:val="zh-CN"/>
              </w:rPr>
              <w:t xml:space="preserve"> </w:t>
            </w:r>
            <w:r>
              <w:rPr>
                <w:rFonts w:eastAsia="仿宋_GB2312"/>
                <w:sz w:val="21"/>
                <w:szCs w:val="24"/>
              </w:rPr>
              <w:fldChar w:fldCharType="begin"/>
            </w:r>
            <w:r>
              <w:rPr>
                <w:rFonts w:eastAsia="仿宋_GB2312"/>
                <w:sz w:val="21"/>
              </w:rPr>
              <w:instrText xml:space="preserve">PAGE</w:instrText>
            </w:r>
            <w:r>
              <w:rPr>
                <w:rFonts w:eastAsia="仿宋_GB2312"/>
                <w:sz w:val="21"/>
                <w:szCs w:val="24"/>
              </w:rPr>
              <w:fldChar w:fldCharType="separate"/>
            </w:r>
            <w:r>
              <w:rPr>
                <w:rFonts w:eastAsia="仿宋_GB2312"/>
                <w:sz w:val="21"/>
              </w:rPr>
              <w:t>7</w:t>
            </w:r>
            <w:r>
              <w:rPr>
                <w:rFonts w:eastAsia="仿宋_GB2312"/>
                <w:sz w:val="21"/>
                <w:szCs w:val="24"/>
              </w:rPr>
              <w:fldChar w:fldCharType="end"/>
            </w:r>
            <w:r>
              <w:rPr>
                <w:rFonts w:hint="eastAsia" w:eastAsia="仿宋_GB2312"/>
                <w:sz w:val="21"/>
                <w:szCs w:val="24"/>
              </w:rPr>
              <w:t>页 共</w:t>
            </w:r>
            <w:r>
              <w:rPr>
                <w:rFonts w:eastAsia="仿宋_GB2312"/>
                <w:sz w:val="21"/>
                <w:lang w:val="zh-CN"/>
              </w:rPr>
              <w:t xml:space="preserve"> </w:t>
            </w:r>
            <w:r>
              <w:rPr>
                <w:rFonts w:eastAsia="仿宋_GB2312"/>
                <w:sz w:val="21"/>
                <w:szCs w:val="24"/>
              </w:rPr>
              <w:fldChar w:fldCharType="begin"/>
            </w:r>
            <w:r>
              <w:rPr>
                <w:rFonts w:eastAsia="仿宋_GB2312"/>
                <w:sz w:val="21"/>
              </w:rPr>
              <w:instrText xml:space="preserve">NUMPAGES</w:instrText>
            </w:r>
            <w:r>
              <w:rPr>
                <w:rFonts w:eastAsia="仿宋_GB2312"/>
                <w:sz w:val="21"/>
                <w:szCs w:val="24"/>
              </w:rPr>
              <w:fldChar w:fldCharType="separate"/>
            </w:r>
            <w:r>
              <w:rPr>
                <w:rFonts w:eastAsia="仿宋_GB2312"/>
                <w:sz w:val="21"/>
              </w:rPr>
              <w:t>7</w:t>
            </w:r>
            <w:r>
              <w:rPr>
                <w:rFonts w:eastAsia="仿宋_GB2312"/>
                <w:sz w:val="21"/>
                <w:szCs w:val="24"/>
              </w:rPr>
              <w:fldChar w:fldCharType="end"/>
            </w:r>
            <w:r>
              <w:rPr>
                <w:rFonts w:hint="eastAsia" w:eastAsia="仿宋_GB2312"/>
                <w:sz w:val="21"/>
                <w:szCs w:val="24"/>
              </w:rPr>
              <w:t>页</w:t>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8307"/>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23F"/>
    <w:rsid w:val="00005812"/>
    <w:rsid w:val="00017EFD"/>
    <w:rsid w:val="00043CCF"/>
    <w:rsid w:val="000453F0"/>
    <w:rsid w:val="00053742"/>
    <w:rsid w:val="000601C6"/>
    <w:rsid w:val="000956C3"/>
    <w:rsid w:val="000A1DE2"/>
    <w:rsid w:val="000B480B"/>
    <w:rsid w:val="000B5AFD"/>
    <w:rsid w:val="000D12C5"/>
    <w:rsid w:val="00110470"/>
    <w:rsid w:val="00125556"/>
    <w:rsid w:val="0015441C"/>
    <w:rsid w:val="00154FBA"/>
    <w:rsid w:val="00193B2E"/>
    <w:rsid w:val="001F5926"/>
    <w:rsid w:val="00204DD2"/>
    <w:rsid w:val="00217AE5"/>
    <w:rsid w:val="00247A09"/>
    <w:rsid w:val="00272F41"/>
    <w:rsid w:val="00283E1B"/>
    <w:rsid w:val="0028535E"/>
    <w:rsid w:val="0029321C"/>
    <w:rsid w:val="00294751"/>
    <w:rsid w:val="00295DC8"/>
    <w:rsid w:val="002A3C8C"/>
    <w:rsid w:val="002A3F8A"/>
    <w:rsid w:val="002A4CF1"/>
    <w:rsid w:val="002C3C92"/>
    <w:rsid w:val="002C3EB8"/>
    <w:rsid w:val="00320204"/>
    <w:rsid w:val="00323B43"/>
    <w:rsid w:val="003326C0"/>
    <w:rsid w:val="003328D8"/>
    <w:rsid w:val="00340F0E"/>
    <w:rsid w:val="00361AF5"/>
    <w:rsid w:val="0036514C"/>
    <w:rsid w:val="00371CE8"/>
    <w:rsid w:val="003961A6"/>
    <w:rsid w:val="003C03AC"/>
    <w:rsid w:val="003D37D8"/>
    <w:rsid w:val="003E1D13"/>
    <w:rsid w:val="003E7D6E"/>
    <w:rsid w:val="00426133"/>
    <w:rsid w:val="00431E3F"/>
    <w:rsid w:val="004358AB"/>
    <w:rsid w:val="004417C2"/>
    <w:rsid w:val="004469FC"/>
    <w:rsid w:val="00453F58"/>
    <w:rsid w:val="0045688F"/>
    <w:rsid w:val="00456C82"/>
    <w:rsid w:val="00470B95"/>
    <w:rsid w:val="00495553"/>
    <w:rsid w:val="004C039F"/>
    <w:rsid w:val="004F24E1"/>
    <w:rsid w:val="00500514"/>
    <w:rsid w:val="005105A5"/>
    <w:rsid w:val="00531F1C"/>
    <w:rsid w:val="005321FF"/>
    <w:rsid w:val="005433DF"/>
    <w:rsid w:val="00555F3D"/>
    <w:rsid w:val="00561D20"/>
    <w:rsid w:val="00565432"/>
    <w:rsid w:val="005664EB"/>
    <w:rsid w:val="00581B60"/>
    <w:rsid w:val="00582691"/>
    <w:rsid w:val="005907A7"/>
    <w:rsid w:val="005A732C"/>
    <w:rsid w:val="005B3453"/>
    <w:rsid w:val="005B3DB3"/>
    <w:rsid w:val="005C4466"/>
    <w:rsid w:val="005C729D"/>
    <w:rsid w:val="005E785D"/>
    <w:rsid w:val="005F5828"/>
    <w:rsid w:val="005F7A48"/>
    <w:rsid w:val="0060321B"/>
    <w:rsid w:val="00616039"/>
    <w:rsid w:val="00631B6E"/>
    <w:rsid w:val="0066739F"/>
    <w:rsid w:val="006A5121"/>
    <w:rsid w:val="006D02B2"/>
    <w:rsid w:val="006D4F82"/>
    <w:rsid w:val="006F641C"/>
    <w:rsid w:val="007252AC"/>
    <w:rsid w:val="007261A4"/>
    <w:rsid w:val="0073181E"/>
    <w:rsid w:val="00745734"/>
    <w:rsid w:val="00753D0F"/>
    <w:rsid w:val="00754BF1"/>
    <w:rsid w:val="00773F1C"/>
    <w:rsid w:val="00774934"/>
    <w:rsid w:val="007800E4"/>
    <w:rsid w:val="00786EAF"/>
    <w:rsid w:val="00792F87"/>
    <w:rsid w:val="007C4D4E"/>
    <w:rsid w:val="007D2285"/>
    <w:rsid w:val="007E6227"/>
    <w:rsid w:val="00804858"/>
    <w:rsid w:val="00813CF5"/>
    <w:rsid w:val="008151E4"/>
    <w:rsid w:val="00822684"/>
    <w:rsid w:val="00824F0D"/>
    <w:rsid w:val="00845EBA"/>
    <w:rsid w:val="00856EAA"/>
    <w:rsid w:val="008629BF"/>
    <w:rsid w:val="00863511"/>
    <w:rsid w:val="00864517"/>
    <w:rsid w:val="008B7726"/>
    <w:rsid w:val="008E5BEE"/>
    <w:rsid w:val="008E690C"/>
    <w:rsid w:val="00952681"/>
    <w:rsid w:val="00974307"/>
    <w:rsid w:val="00982A8D"/>
    <w:rsid w:val="00991290"/>
    <w:rsid w:val="0099190A"/>
    <w:rsid w:val="009C5D15"/>
    <w:rsid w:val="009E496B"/>
    <w:rsid w:val="009E6CFC"/>
    <w:rsid w:val="00A37B21"/>
    <w:rsid w:val="00A40237"/>
    <w:rsid w:val="00A462CA"/>
    <w:rsid w:val="00A55903"/>
    <w:rsid w:val="00A72A11"/>
    <w:rsid w:val="00AA0877"/>
    <w:rsid w:val="00AA4D45"/>
    <w:rsid w:val="00AC2D4F"/>
    <w:rsid w:val="00AE04A0"/>
    <w:rsid w:val="00B060C7"/>
    <w:rsid w:val="00B254CB"/>
    <w:rsid w:val="00B259BD"/>
    <w:rsid w:val="00B43BA3"/>
    <w:rsid w:val="00B53ADA"/>
    <w:rsid w:val="00B73B0B"/>
    <w:rsid w:val="00B85FBA"/>
    <w:rsid w:val="00B86A2C"/>
    <w:rsid w:val="00B93C12"/>
    <w:rsid w:val="00B96B57"/>
    <w:rsid w:val="00BA10BC"/>
    <w:rsid w:val="00BA218A"/>
    <w:rsid w:val="00BC23CF"/>
    <w:rsid w:val="00BD43A9"/>
    <w:rsid w:val="00BE1F33"/>
    <w:rsid w:val="00BE728B"/>
    <w:rsid w:val="00C13623"/>
    <w:rsid w:val="00C235E8"/>
    <w:rsid w:val="00C2678E"/>
    <w:rsid w:val="00C31EE7"/>
    <w:rsid w:val="00C3608A"/>
    <w:rsid w:val="00C4497A"/>
    <w:rsid w:val="00C508B8"/>
    <w:rsid w:val="00C55C63"/>
    <w:rsid w:val="00C67151"/>
    <w:rsid w:val="00C956FD"/>
    <w:rsid w:val="00CC13DF"/>
    <w:rsid w:val="00CD0730"/>
    <w:rsid w:val="00D115CE"/>
    <w:rsid w:val="00D31D50"/>
    <w:rsid w:val="00D655B8"/>
    <w:rsid w:val="00D75F75"/>
    <w:rsid w:val="00D90DC6"/>
    <w:rsid w:val="00D943C1"/>
    <w:rsid w:val="00DA4535"/>
    <w:rsid w:val="00DD0517"/>
    <w:rsid w:val="00E03AB2"/>
    <w:rsid w:val="00E03CF5"/>
    <w:rsid w:val="00E9121A"/>
    <w:rsid w:val="00EA31CC"/>
    <w:rsid w:val="00EB34B1"/>
    <w:rsid w:val="00EC2AF2"/>
    <w:rsid w:val="00EC5F21"/>
    <w:rsid w:val="00EE2EEE"/>
    <w:rsid w:val="00F02E80"/>
    <w:rsid w:val="00F2585B"/>
    <w:rsid w:val="00F36845"/>
    <w:rsid w:val="00F46455"/>
    <w:rsid w:val="00F57D35"/>
    <w:rsid w:val="00F67433"/>
    <w:rsid w:val="00F70AC0"/>
    <w:rsid w:val="00F85301"/>
    <w:rsid w:val="00FA4557"/>
    <w:rsid w:val="00FA6E5D"/>
    <w:rsid w:val="2CE547A3"/>
    <w:rsid w:val="38E01D81"/>
    <w:rsid w:val="51CA3053"/>
    <w:rsid w:val="55960E51"/>
    <w:rsid w:val="5E7143D9"/>
    <w:rsid w:val="5FC0583A"/>
    <w:rsid w:val="621E1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qFormat/>
    <w:uiPriority w:val="0"/>
  </w:style>
  <w:style w:type="character" w:customStyle="1" w:styleId="8">
    <w:name w:val="日期 Char"/>
    <w:basedOn w:val="6"/>
    <w:link w:val="2"/>
    <w:semiHidden/>
    <w:qFormat/>
    <w:uiPriority w:val="99"/>
    <w:rPr>
      <w:rFonts w:ascii="Tahoma" w:hAnsi="Tahoma"/>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FDC97-099B-4380-BA9B-5FB12D359412}">
  <ds:schemaRefs/>
</ds:datastoreItem>
</file>

<file path=docProps/app.xml><?xml version="1.0" encoding="utf-8"?>
<Properties xmlns="http://schemas.openxmlformats.org/officeDocument/2006/extended-properties" xmlns:vt="http://schemas.openxmlformats.org/officeDocument/2006/docPropsVTypes">
  <Template>Normal.dotm</Template>
  <Pages>7</Pages>
  <Words>490</Words>
  <Characters>2797</Characters>
  <Lines>23</Lines>
  <Paragraphs>6</Paragraphs>
  <TotalTime>0</TotalTime>
  <ScaleCrop>false</ScaleCrop>
  <LinksUpToDate>false</LinksUpToDate>
  <CharactersWithSpaces>3281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2019-07-24T01:56:00Z</dcterms:created>
  <dc:creator>Administrator</dc:creator>
  <cp:lastModifiedBy>低唱潛吟心坎舞</cp:lastModifiedBy>
  <cp:lastPrinted>2019-09-16T01:02:00Z</cp:lastPrinted>
  <dcterms:modified xsi:type="dcterms:W3CDTF">2021-11-03T08:24:57Z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FD13E4FB92654B0AB193AC424CE18C60</vt:lpwstr>
  </property>
</Properties>
</file>