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ind w:firstLine="643"/>
        <w:jc w:val="center"/>
        <w:rPr>
          <w:rFonts w:ascii="宋体" w:cs="宋体"/>
          <w:color w:val="000000"/>
          <w:kern w:val="0"/>
          <w:sz w:val="32"/>
          <w:szCs w:val="32"/>
        </w:rPr>
      </w:pPr>
      <w:r>
        <w:rPr>
          <w:rFonts w:ascii="宋体" w:cs="宋体"/>
          <w:b/>
          <w:bCs/>
          <w:color w:val="000000"/>
          <w:kern w:val="0"/>
          <w:sz w:val="44"/>
          <w:szCs w:val="44"/>
        </w:rPr>
        <w:t>2020</w:t>
      </w:r>
      <w:r>
        <w:rPr>
          <w:rFonts w:hint="eastAsia" w:ascii="宋体" w:cs="宋体"/>
          <w:b/>
          <w:bCs/>
          <w:color w:val="000000"/>
          <w:kern w:val="0"/>
          <w:sz w:val="44"/>
          <w:szCs w:val="44"/>
        </w:rPr>
        <w:t>年度炎陵县水利局部门整体支出 绩效评价报告</w:t>
      </w:r>
    </w:p>
    <w:p>
      <w:pPr>
        <w:pStyle w:val="3"/>
        <w:keepNext w:val="0"/>
        <w:keepLines w:val="0"/>
        <w:pageBreakBefore w:val="0"/>
        <w:widowControl/>
        <w:shd w:val="clear" w:color="auto" w:fill="FFFFFF"/>
        <w:kinsoku/>
        <w:wordWrap/>
        <w:overflowPunct/>
        <w:topLinePunct w:val="0"/>
        <w:bidi w:val="0"/>
        <w:snapToGrid/>
        <w:spacing w:before="240" w:beforeAutospacing="0" w:after="0" w:afterAutospacing="0" w:line="520" w:lineRule="exact"/>
        <w:ind w:firstLine="645"/>
        <w:textAlignment w:val="auto"/>
        <w:rPr>
          <w:rFonts w:ascii="黑体" w:hAnsi="黑体" w:eastAsia="黑体" w:cs="微软雅黑"/>
          <w:color w:val="333333"/>
          <w:sz w:val="32"/>
          <w:szCs w:val="32"/>
        </w:rPr>
      </w:pPr>
      <w:r>
        <w:rPr>
          <w:rFonts w:hint="eastAsia" w:ascii="黑体" w:hAnsi="黑体" w:eastAsia="黑体" w:cs="仿宋_GB2312"/>
          <w:color w:val="333333"/>
          <w:sz w:val="32"/>
          <w:szCs w:val="32"/>
          <w:shd w:val="clear" w:color="auto" w:fill="FFFFFF"/>
        </w:rPr>
        <w:t>一、部门、单位基本情况</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6"/>
        <w:textAlignment w:val="auto"/>
        <w:rPr>
          <w:rFonts w:hint="eastAsia" w:ascii="仿宋" w:hAnsi="仿宋" w:eastAsia="仿宋" w:cs="仿宋_GB2312"/>
          <w:color w:val="333333"/>
          <w:sz w:val="32"/>
          <w:szCs w:val="32"/>
          <w:shd w:val="clear" w:color="auto" w:fill="FFFFFF"/>
        </w:rPr>
      </w:pPr>
      <w:r>
        <w:rPr>
          <w:rFonts w:hint="eastAsia" w:ascii="仿宋" w:hAnsi="仿宋" w:eastAsia="仿宋" w:cs="仿宋_GB2312"/>
          <w:color w:val="333333"/>
          <w:sz w:val="32"/>
          <w:szCs w:val="32"/>
          <w:shd w:val="clear" w:color="auto" w:fill="FFFFFF"/>
        </w:rPr>
        <w:t>1.主要职能：炎陵县水利局是县人民政府组成单位之一，主要负责全县的农村水利水电、农村饮水安全和乡镇供水工作、水土保持、大中型水库移开发管理工作、承担防汛抗旱指挥部的日常工作、负责全县的电力行政执法、河长制工作、水政监察和水行政执法、统一管理水资源。</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6"/>
        <w:textAlignment w:val="auto"/>
        <w:rPr>
          <w:rFonts w:ascii="仿宋" w:hAnsi="仿宋" w:eastAsia="仿宋" w:cs="微软雅黑"/>
          <w:color w:val="333333"/>
          <w:sz w:val="32"/>
          <w:szCs w:val="32"/>
        </w:rPr>
      </w:pPr>
      <w:r>
        <w:rPr>
          <w:rFonts w:hint="eastAsia" w:ascii="仿宋" w:hAnsi="仿宋" w:eastAsia="仿宋" w:cs="仿宋_GB2312"/>
          <w:color w:val="333333"/>
          <w:sz w:val="32"/>
          <w:szCs w:val="32"/>
          <w:shd w:val="clear" w:color="auto" w:fill="FFFFFF"/>
        </w:rPr>
        <w:t>2.机构情况：炎陵县水利局内设办公室等5个股室和水利水电事务中心等7个股级事业单位以及库区移民事务中心、水土保持站、河东灌区管理局3个副科级全额事业单位。本单位总编制人数57个，其中：行政编制8人，事业编制48人，自收自支编制1人。</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6"/>
        <w:textAlignment w:val="auto"/>
        <w:rPr>
          <w:rFonts w:ascii="仿宋" w:hAnsi="仿宋" w:eastAsia="仿宋" w:cs="华文中宋"/>
          <w:sz w:val="32"/>
          <w:szCs w:val="32"/>
        </w:rPr>
      </w:pPr>
      <w:r>
        <w:rPr>
          <w:rFonts w:hint="eastAsia" w:ascii="仿宋" w:hAnsi="仿宋" w:eastAsia="仿宋" w:cs="仿宋_GB2312"/>
          <w:color w:val="333333"/>
          <w:sz w:val="32"/>
          <w:szCs w:val="32"/>
          <w:shd w:val="clear" w:color="auto" w:fill="FFFFFF"/>
        </w:rPr>
        <w:t>3.人员情况：</w:t>
      </w:r>
      <w:r>
        <w:rPr>
          <w:rFonts w:eastAsia="仿宋" w:cs="Calibri"/>
          <w:color w:val="333333"/>
          <w:sz w:val="32"/>
          <w:szCs w:val="32"/>
          <w:shd w:val="clear" w:color="auto" w:fill="FFFFFF"/>
        </w:rPr>
        <w:t> </w:t>
      </w:r>
      <w:r>
        <w:rPr>
          <w:rFonts w:hint="eastAsia" w:ascii="仿宋" w:hAnsi="仿宋" w:eastAsia="仿宋" w:cs="仿宋_GB2312"/>
          <w:color w:val="333333"/>
          <w:sz w:val="32"/>
          <w:szCs w:val="32"/>
          <w:shd w:val="clear" w:color="auto" w:fill="FFFFFF"/>
        </w:rPr>
        <w:t>2020年12月底实有在职人员51人（其中河东灌区管理局11人），退休46人。2020年退休3人。</w:t>
      </w:r>
    </w:p>
    <w:p>
      <w:pPr>
        <w:pStyle w:val="3"/>
        <w:keepNext w:val="0"/>
        <w:keepLines w:val="0"/>
        <w:pageBreakBefore w:val="0"/>
        <w:widowControl/>
        <w:shd w:val="clear" w:color="auto" w:fill="FFFFFF"/>
        <w:kinsoku/>
        <w:wordWrap/>
        <w:overflowPunct/>
        <w:topLinePunct w:val="0"/>
        <w:bidi w:val="0"/>
        <w:snapToGrid/>
        <w:spacing w:before="240" w:beforeAutospacing="0" w:after="0" w:afterAutospacing="0" w:line="520" w:lineRule="exact"/>
        <w:ind w:firstLine="645"/>
        <w:textAlignment w:val="auto"/>
        <w:rPr>
          <w:rFonts w:ascii="黑体" w:hAnsi="黑体" w:eastAsia="黑体" w:cs="微软雅黑"/>
          <w:color w:val="333333"/>
          <w:sz w:val="32"/>
          <w:szCs w:val="32"/>
        </w:rPr>
      </w:pPr>
      <w:r>
        <w:rPr>
          <w:rFonts w:hint="eastAsia" w:ascii="黑体" w:hAnsi="黑体" w:eastAsia="黑体" w:cs="仿宋_GB2312"/>
          <w:color w:val="333333"/>
          <w:sz w:val="32"/>
          <w:szCs w:val="32"/>
          <w:shd w:val="clear" w:color="auto" w:fill="FFFFFF"/>
        </w:rPr>
        <w:t>二、一般公共预算支出情况</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5"/>
        <w:textAlignment w:val="auto"/>
        <w:rPr>
          <w:rFonts w:ascii="仿宋" w:hAnsi="仿宋" w:eastAsia="仿宋" w:cs="微软雅黑"/>
          <w:color w:val="333333"/>
          <w:sz w:val="32"/>
          <w:szCs w:val="32"/>
        </w:rPr>
      </w:pPr>
      <w:r>
        <w:rPr>
          <w:rFonts w:hint="eastAsia" w:ascii="仿宋" w:hAnsi="仿宋" w:eastAsia="仿宋" w:cs="仿宋_GB2312"/>
          <w:color w:val="333333"/>
          <w:sz w:val="32"/>
          <w:szCs w:val="32"/>
          <w:shd w:val="clear" w:color="auto" w:fill="FFFFFF"/>
        </w:rPr>
        <w:t>（一）基本支出情况</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6"/>
        <w:textAlignment w:val="auto"/>
        <w:rPr>
          <w:rFonts w:ascii="仿宋" w:hAnsi="仿宋" w:eastAsia="仿宋" w:cs="微软雅黑"/>
          <w:color w:val="333333"/>
          <w:sz w:val="32"/>
          <w:szCs w:val="32"/>
        </w:rPr>
      </w:pPr>
      <w:r>
        <w:rPr>
          <w:rFonts w:hint="eastAsia" w:ascii="仿宋" w:hAnsi="仿宋" w:eastAsia="仿宋" w:cs="仿宋_GB2312"/>
          <w:color w:val="333333"/>
          <w:sz w:val="32"/>
          <w:szCs w:val="32"/>
          <w:shd w:val="clear" w:color="auto" w:fill="FFFFFF"/>
        </w:rPr>
        <w:t>2020年基本支出813.07万元。其中工资福利支出708.22万元、商品和服务支出104.85万元。</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5"/>
        <w:textAlignment w:val="auto"/>
        <w:rPr>
          <w:rFonts w:ascii="仿宋" w:hAnsi="仿宋" w:eastAsia="仿宋" w:cs="微软雅黑"/>
          <w:color w:val="333333"/>
          <w:sz w:val="32"/>
          <w:szCs w:val="32"/>
        </w:rPr>
      </w:pPr>
      <w:r>
        <w:rPr>
          <w:rFonts w:hint="eastAsia" w:ascii="仿宋" w:hAnsi="仿宋" w:eastAsia="仿宋" w:cs="仿宋_GB2312"/>
          <w:color w:val="333333"/>
          <w:sz w:val="32"/>
          <w:szCs w:val="32"/>
          <w:shd w:val="clear" w:color="auto" w:fill="FFFFFF"/>
        </w:rPr>
        <w:t>（二）项目支出情况</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6"/>
        <w:textAlignment w:val="auto"/>
        <w:rPr>
          <w:rFonts w:ascii="仿宋" w:hAnsi="仿宋" w:eastAsia="仿宋" w:cs="微软雅黑"/>
          <w:color w:val="333333"/>
          <w:sz w:val="32"/>
          <w:szCs w:val="32"/>
        </w:rPr>
      </w:pPr>
      <w:r>
        <w:rPr>
          <w:rFonts w:hint="eastAsia" w:ascii="仿宋" w:hAnsi="仿宋" w:eastAsia="仿宋" w:cs="仿宋_GB2312"/>
          <w:color w:val="333333"/>
          <w:sz w:val="32"/>
          <w:szCs w:val="32"/>
          <w:shd w:val="clear" w:color="auto" w:fill="FFFFFF"/>
        </w:rPr>
        <w:t>2020年度项目支出1100.62万元，其中移民项目：240.01万元、节能环保支出50.00万元、水利工程建设105.45万元、水利工程运行与维护22.40万元、防汛</w:t>
      </w:r>
      <w:r>
        <w:rPr>
          <w:rFonts w:ascii="仿宋" w:hAnsi="仿宋" w:eastAsia="仿宋" w:cs="仿宋_GB2312"/>
          <w:color w:val="333333"/>
          <w:sz w:val="32"/>
          <w:szCs w:val="32"/>
          <w:shd w:val="clear" w:color="auto" w:fill="FFFFFF"/>
        </w:rPr>
        <w:t>59.13</w:t>
      </w:r>
      <w:r>
        <w:rPr>
          <w:rFonts w:hint="eastAsia" w:ascii="仿宋" w:hAnsi="仿宋" w:eastAsia="仿宋" w:cs="仿宋_GB2312"/>
          <w:color w:val="333333"/>
          <w:sz w:val="32"/>
          <w:szCs w:val="32"/>
          <w:shd w:val="clear" w:color="auto" w:fill="FFFFFF"/>
        </w:rPr>
        <w:t>万元、农村水利50.00万元、其他水利支出</w:t>
      </w:r>
      <w:r>
        <w:rPr>
          <w:rFonts w:ascii="仿宋" w:hAnsi="仿宋" w:eastAsia="仿宋" w:cs="仿宋_GB2312"/>
          <w:color w:val="333333"/>
          <w:sz w:val="32"/>
          <w:szCs w:val="32"/>
          <w:shd w:val="clear" w:color="auto" w:fill="FFFFFF"/>
        </w:rPr>
        <w:t>573.63</w:t>
      </w:r>
      <w:r>
        <w:rPr>
          <w:rFonts w:hint="eastAsia" w:ascii="仿宋" w:hAnsi="仿宋" w:eastAsia="仿宋" w:cs="仿宋_GB2312"/>
          <w:color w:val="333333"/>
          <w:sz w:val="32"/>
          <w:szCs w:val="32"/>
          <w:shd w:val="clear" w:color="auto" w:fill="FFFFFF"/>
        </w:rPr>
        <w:t>万元。</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315"/>
        <w:textAlignment w:val="auto"/>
        <w:rPr>
          <w:rFonts w:ascii="黑体" w:hAnsi="黑体" w:eastAsia="黑体" w:cs="微软雅黑"/>
          <w:color w:val="333333"/>
          <w:sz w:val="32"/>
          <w:szCs w:val="32"/>
        </w:rPr>
      </w:pPr>
      <w:r>
        <w:rPr>
          <w:rFonts w:eastAsia="仿宋" w:cs="Calibri"/>
          <w:color w:val="333333"/>
          <w:sz w:val="32"/>
          <w:szCs w:val="32"/>
          <w:shd w:val="clear" w:color="auto" w:fill="FFFFFF"/>
        </w:rPr>
        <w:t> </w:t>
      </w:r>
      <w:r>
        <w:rPr>
          <w:rFonts w:hint="eastAsia" w:ascii="仿宋" w:hAnsi="仿宋" w:eastAsia="仿宋" w:cs="仿宋_GB2312"/>
          <w:color w:val="333333"/>
          <w:sz w:val="32"/>
          <w:szCs w:val="32"/>
          <w:shd w:val="clear" w:color="auto" w:fill="FFFFFF"/>
        </w:rPr>
        <w:t xml:space="preserve"> </w:t>
      </w:r>
      <w:r>
        <w:rPr>
          <w:rFonts w:hint="eastAsia" w:ascii="黑体" w:hAnsi="黑体" w:eastAsia="黑体" w:cs="仿宋_GB2312"/>
          <w:color w:val="333333"/>
          <w:sz w:val="32"/>
          <w:szCs w:val="32"/>
          <w:shd w:val="clear" w:color="auto" w:fill="FFFFFF"/>
        </w:rPr>
        <w:t>三、政府性基金预算支出情况</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6"/>
        <w:textAlignment w:val="auto"/>
        <w:rPr>
          <w:rFonts w:ascii="仿宋" w:hAnsi="仿宋" w:eastAsia="仿宋" w:cs="微软雅黑"/>
          <w:color w:val="333333"/>
          <w:sz w:val="32"/>
          <w:szCs w:val="32"/>
        </w:rPr>
      </w:pPr>
      <w:r>
        <w:rPr>
          <w:rFonts w:hint="eastAsia" w:ascii="仿宋" w:hAnsi="仿宋" w:eastAsia="仿宋" w:cs="仿宋_GB2312"/>
          <w:color w:val="333333"/>
          <w:sz w:val="32"/>
          <w:szCs w:val="32"/>
          <w:shd w:val="clear" w:color="auto" w:fill="FFFFFF"/>
        </w:rPr>
        <w:t>2020年度政府性基金收入240.01万元、支出240.01万元。</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5"/>
        <w:textAlignment w:val="auto"/>
        <w:rPr>
          <w:rFonts w:ascii="黑体" w:hAnsi="黑体" w:eastAsia="黑体" w:cs="微软雅黑"/>
          <w:color w:val="333333"/>
          <w:sz w:val="32"/>
          <w:szCs w:val="32"/>
        </w:rPr>
      </w:pPr>
      <w:r>
        <w:rPr>
          <w:rFonts w:hint="eastAsia" w:ascii="黑体" w:hAnsi="黑体" w:eastAsia="黑体" w:cs="仿宋_GB2312"/>
          <w:color w:val="333333"/>
          <w:sz w:val="32"/>
          <w:szCs w:val="32"/>
          <w:shd w:val="clear" w:color="auto" w:fill="FFFFFF"/>
        </w:rPr>
        <w:t>四、社会保险基金预算支出情况</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5"/>
        <w:textAlignment w:val="auto"/>
        <w:rPr>
          <w:rFonts w:ascii="仿宋" w:hAnsi="仿宋" w:eastAsia="仿宋" w:cs="微软雅黑"/>
          <w:color w:val="333333"/>
          <w:sz w:val="32"/>
          <w:szCs w:val="32"/>
        </w:rPr>
      </w:pPr>
      <w:r>
        <w:rPr>
          <w:rFonts w:hint="eastAsia" w:ascii="仿宋" w:hAnsi="仿宋" w:eastAsia="仿宋" w:cs="仿宋_GB2312"/>
          <w:color w:val="333333"/>
          <w:sz w:val="32"/>
          <w:szCs w:val="32"/>
          <w:shd w:val="clear" w:color="auto" w:fill="FFFFFF"/>
        </w:rPr>
        <w:t>本单位无社保基金预算支出。</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5"/>
        <w:textAlignment w:val="auto"/>
        <w:rPr>
          <w:rFonts w:ascii="黑体" w:hAnsi="黑体" w:eastAsia="黑体" w:cs="微软雅黑"/>
          <w:color w:val="333333"/>
          <w:sz w:val="32"/>
          <w:szCs w:val="32"/>
        </w:rPr>
      </w:pPr>
      <w:r>
        <w:rPr>
          <w:rFonts w:hint="eastAsia" w:ascii="黑体" w:hAnsi="黑体" w:eastAsia="黑体" w:cs="仿宋_GB2312"/>
          <w:color w:val="333333"/>
          <w:sz w:val="32"/>
          <w:szCs w:val="32"/>
          <w:shd w:val="clear" w:color="auto" w:fill="FFFFFF"/>
        </w:rPr>
        <w:t>五、部门整体支出绩效情况</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6"/>
        <w:textAlignment w:val="auto"/>
        <w:rPr>
          <w:rFonts w:ascii="仿宋" w:hAnsi="仿宋" w:eastAsia="仿宋" w:cs="微软雅黑"/>
          <w:color w:val="333333"/>
          <w:sz w:val="32"/>
          <w:szCs w:val="32"/>
        </w:rPr>
      </w:pPr>
      <w:r>
        <w:rPr>
          <w:rFonts w:hint="eastAsia" w:ascii="仿宋" w:hAnsi="仿宋" w:eastAsia="仿宋" w:cs="仿宋_GB2312"/>
          <w:color w:val="333333"/>
          <w:sz w:val="32"/>
          <w:szCs w:val="32"/>
          <w:shd w:val="clear" w:color="auto" w:fill="FFFFFF"/>
        </w:rPr>
        <w:t>1、支出情况分析：全年总支出</w:t>
      </w:r>
      <w:r>
        <w:rPr>
          <w:rFonts w:ascii="仿宋" w:hAnsi="仿宋" w:eastAsia="仿宋" w:cs="仿宋_GB2312"/>
          <w:color w:val="333333"/>
          <w:sz w:val="32"/>
          <w:szCs w:val="32"/>
          <w:shd w:val="clear" w:color="auto" w:fill="FFFFFF"/>
        </w:rPr>
        <w:t>1913.69</w:t>
      </w:r>
      <w:r>
        <w:rPr>
          <w:rFonts w:hint="eastAsia" w:ascii="仿宋" w:hAnsi="仿宋" w:eastAsia="仿宋" w:cs="仿宋_GB2312"/>
          <w:color w:val="333333"/>
          <w:sz w:val="32"/>
          <w:szCs w:val="32"/>
          <w:shd w:val="clear" w:color="auto" w:fill="FFFFFF"/>
        </w:rPr>
        <w:t>万元（基本支出</w:t>
      </w:r>
      <w:r>
        <w:rPr>
          <w:rFonts w:ascii="仿宋" w:hAnsi="仿宋" w:eastAsia="仿宋" w:cs="仿宋_GB2312"/>
          <w:color w:val="333333"/>
          <w:sz w:val="32"/>
          <w:szCs w:val="32"/>
          <w:shd w:val="clear" w:color="auto" w:fill="FFFFFF"/>
        </w:rPr>
        <w:t>813.07</w:t>
      </w:r>
      <w:r>
        <w:rPr>
          <w:rFonts w:hint="eastAsia" w:ascii="仿宋" w:hAnsi="仿宋" w:eastAsia="仿宋" w:cs="仿宋_GB2312"/>
          <w:color w:val="333333"/>
          <w:sz w:val="32"/>
          <w:szCs w:val="32"/>
          <w:shd w:val="clear" w:color="auto" w:fill="FFFFFF"/>
        </w:rPr>
        <w:t>万元，项目支出</w:t>
      </w:r>
      <w:r>
        <w:rPr>
          <w:rFonts w:ascii="仿宋" w:hAnsi="仿宋" w:eastAsia="仿宋" w:cs="仿宋_GB2312"/>
          <w:color w:val="333333"/>
          <w:sz w:val="32"/>
          <w:szCs w:val="32"/>
          <w:shd w:val="clear" w:color="auto" w:fill="FFFFFF"/>
        </w:rPr>
        <w:t>1100.62</w:t>
      </w:r>
      <w:r>
        <w:rPr>
          <w:rFonts w:hint="eastAsia" w:ascii="仿宋" w:hAnsi="仿宋" w:eastAsia="仿宋" w:cs="仿宋_GB2312"/>
          <w:color w:val="333333"/>
          <w:sz w:val="32"/>
          <w:szCs w:val="32"/>
          <w:shd w:val="clear" w:color="auto" w:fill="FFFFFF"/>
        </w:rPr>
        <w:t>万元）。其中工资福利支出</w:t>
      </w:r>
      <w:r>
        <w:rPr>
          <w:rFonts w:ascii="仿宋" w:hAnsi="仿宋" w:eastAsia="仿宋" w:cs="仿宋_GB2312"/>
          <w:color w:val="333333"/>
          <w:sz w:val="32"/>
          <w:szCs w:val="32"/>
          <w:shd w:val="clear" w:color="auto" w:fill="FFFFFF"/>
        </w:rPr>
        <w:t>708.22</w:t>
      </w:r>
      <w:r>
        <w:rPr>
          <w:rFonts w:hint="eastAsia" w:ascii="仿宋" w:hAnsi="仿宋" w:eastAsia="仿宋" w:cs="仿宋_GB2312"/>
          <w:color w:val="333333"/>
          <w:sz w:val="32"/>
          <w:szCs w:val="32"/>
          <w:shd w:val="clear" w:color="auto" w:fill="FFFFFF"/>
        </w:rPr>
        <w:t>万元，商品服务支出1</w:t>
      </w:r>
      <w:r>
        <w:rPr>
          <w:rFonts w:ascii="仿宋" w:hAnsi="仿宋" w:eastAsia="仿宋" w:cs="仿宋_GB2312"/>
          <w:color w:val="333333"/>
          <w:sz w:val="32"/>
          <w:szCs w:val="32"/>
          <w:shd w:val="clear" w:color="auto" w:fill="FFFFFF"/>
        </w:rPr>
        <w:t>04.85</w:t>
      </w:r>
      <w:r>
        <w:rPr>
          <w:rFonts w:hint="eastAsia" w:ascii="仿宋" w:hAnsi="仿宋" w:eastAsia="仿宋" w:cs="仿宋_GB2312"/>
          <w:color w:val="333333"/>
          <w:sz w:val="32"/>
          <w:szCs w:val="32"/>
          <w:shd w:val="clear" w:color="auto" w:fill="FFFFFF"/>
        </w:rPr>
        <w:t>万元。基本支出较上年减少</w:t>
      </w:r>
      <w:r>
        <w:rPr>
          <w:rFonts w:ascii="仿宋" w:hAnsi="仿宋" w:eastAsia="仿宋" w:cs="仿宋_GB2312"/>
          <w:color w:val="333333"/>
          <w:sz w:val="32"/>
          <w:szCs w:val="32"/>
          <w:shd w:val="clear" w:color="auto" w:fill="FFFFFF"/>
        </w:rPr>
        <w:t>25.74</w:t>
      </w:r>
      <w:r>
        <w:rPr>
          <w:rFonts w:hint="eastAsia" w:ascii="仿宋" w:hAnsi="仿宋" w:eastAsia="仿宋" w:cs="仿宋_GB2312"/>
          <w:color w:val="333333"/>
          <w:sz w:val="32"/>
          <w:szCs w:val="32"/>
          <w:shd w:val="clear" w:color="auto" w:fill="FFFFFF"/>
        </w:rPr>
        <w:t>万元，原因为人员</w:t>
      </w:r>
      <w:r>
        <w:rPr>
          <w:rFonts w:ascii="仿宋" w:hAnsi="仿宋" w:eastAsia="仿宋" w:cs="仿宋_GB2312"/>
          <w:color w:val="333333"/>
          <w:sz w:val="32"/>
          <w:szCs w:val="32"/>
          <w:shd w:val="clear" w:color="auto" w:fill="FFFFFF"/>
        </w:rPr>
        <w:t>减少</w:t>
      </w:r>
      <w:r>
        <w:rPr>
          <w:rFonts w:hint="eastAsia" w:ascii="仿宋" w:hAnsi="仿宋" w:eastAsia="仿宋" w:cs="仿宋_GB2312"/>
          <w:color w:val="333333"/>
          <w:sz w:val="32"/>
          <w:szCs w:val="32"/>
          <w:shd w:val="clear" w:color="auto" w:fill="FFFFFF"/>
        </w:rPr>
        <w:t>，人员经费较上年减少5.10万元，公用经费较上年减少20.64万元。项目经费较上年度减少56.21万元。</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5"/>
        <w:textAlignment w:val="auto"/>
        <w:rPr>
          <w:rFonts w:ascii="黑体" w:hAnsi="黑体" w:eastAsia="黑体" w:cs="微软雅黑"/>
          <w:color w:val="333333"/>
          <w:sz w:val="32"/>
          <w:szCs w:val="32"/>
        </w:rPr>
      </w:pPr>
      <w:r>
        <w:rPr>
          <w:rFonts w:hint="eastAsia" w:ascii="黑体" w:hAnsi="黑体" w:eastAsia="黑体" w:cs="仿宋_GB2312"/>
          <w:color w:val="333333"/>
          <w:sz w:val="32"/>
          <w:szCs w:val="32"/>
          <w:shd w:val="clear" w:color="auto" w:fill="FFFFFF"/>
        </w:rPr>
        <w:t>六、存在的问题及原因分析</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6"/>
        <w:textAlignment w:val="auto"/>
        <w:rPr>
          <w:rFonts w:ascii="仿宋" w:hAnsi="仿宋" w:eastAsia="仿宋" w:cs="微软雅黑"/>
          <w:color w:val="333333"/>
          <w:sz w:val="32"/>
          <w:szCs w:val="32"/>
        </w:rPr>
      </w:pPr>
      <w:r>
        <w:rPr>
          <w:rFonts w:hint="eastAsia" w:ascii="仿宋" w:hAnsi="仿宋" w:eastAsia="仿宋" w:cs="仿宋_GB2312"/>
          <w:color w:val="333333"/>
          <w:sz w:val="32"/>
          <w:szCs w:val="32"/>
          <w:shd w:val="clear" w:color="auto" w:fill="FFFFFF"/>
        </w:rPr>
        <w:t>部门预算支出来源不足，行政机关创收的能力有限，在编制时只得实行以收定支，存在用其他资金弥补公用经费及政策性奖励经费的所需经费来源不足，如遇有大的洪涝灾害，车辆支出、差旅费等会增加，所以今后执行会根据当时实际情况作一些调整，如果要完全按本部门预算执行很难。</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5"/>
        <w:textAlignment w:val="auto"/>
        <w:rPr>
          <w:rFonts w:ascii="黑体" w:hAnsi="黑体" w:eastAsia="黑体" w:cs="微软雅黑"/>
          <w:color w:val="333333"/>
          <w:sz w:val="32"/>
          <w:szCs w:val="32"/>
        </w:rPr>
      </w:pPr>
      <w:r>
        <w:rPr>
          <w:rFonts w:hint="eastAsia" w:ascii="黑体" w:hAnsi="黑体" w:eastAsia="黑体" w:cs="仿宋_GB2312"/>
          <w:color w:val="333333"/>
          <w:sz w:val="32"/>
          <w:szCs w:val="32"/>
          <w:shd w:val="clear" w:color="auto" w:fill="FFFFFF"/>
        </w:rPr>
        <w:t>七、下一步改进措施</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6"/>
        <w:textAlignment w:val="auto"/>
        <w:rPr>
          <w:rFonts w:ascii="仿宋" w:hAnsi="仿宋" w:eastAsia="仿宋" w:cs="微软雅黑"/>
          <w:color w:val="333333"/>
          <w:sz w:val="32"/>
          <w:szCs w:val="32"/>
        </w:rPr>
      </w:pPr>
      <w:r>
        <w:rPr>
          <w:rFonts w:hint="eastAsia" w:ascii="仿宋" w:hAnsi="仿宋" w:eastAsia="仿宋" w:cs="仿宋_GB2312"/>
          <w:color w:val="333333"/>
          <w:sz w:val="32"/>
          <w:szCs w:val="32"/>
          <w:shd w:val="clear" w:color="auto" w:fill="FFFFFF"/>
        </w:rPr>
        <w:t>1、加强管理，提升效能2、建议财政预算加大对公用经费的安排，弥补单位支出的刚性所需，并及时下达有关部门预算调整文件，适应实际工作需要。另外，建议财政加大非税收入的返回比例，保障单位公用经费正常的开支。</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5"/>
        <w:textAlignment w:val="auto"/>
        <w:rPr>
          <w:rFonts w:ascii="黑体" w:hAnsi="黑体" w:eastAsia="黑体" w:cs="微软雅黑"/>
          <w:color w:val="333333"/>
          <w:sz w:val="32"/>
          <w:szCs w:val="32"/>
        </w:rPr>
      </w:pPr>
      <w:r>
        <w:rPr>
          <w:rFonts w:hint="eastAsia" w:ascii="黑体" w:hAnsi="黑体" w:eastAsia="黑体" w:cs="仿宋_GB2312"/>
          <w:color w:val="333333"/>
          <w:sz w:val="32"/>
          <w:szCs w:val="32"/>
          <w:shd w:val="clear" w:color="auto" w:fill="FFFFFF"/>
        </w:rPr>
        <w:t>八、其他需要说明的情况</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5"/>
        <w:textAlignment w:val="auto"/>
        <w:rPr>
          <w:rFonts w:ascii="仿宋" w:hAnsi="仿宋" w:eastAsia="仿宋" w:cs="微软雅黑"/>
          <w:color w:val="333333"/>
          <w:sz w:val="32"/>
          <w:szCs w:val="32"/>
        </w:rPr>
      </w:pPr>
      <w:r>
        <w:rPr>
          <w:rFonts w:hint="eastAsia" w:ascii="仿宋" w:hAnsi="仿宋" w:eastAsia="仿宋" w:cs="仿宋_GB2312"/>
          <w:color w:val="333333"/>
          <w:sz w:val="32"/>
          <w:szCs w:val="32"/>
          <w:shd w:val="clear" w:color="auto" w:fill="FFFFFF"/>
        </w:rPr>
        <w:t>无</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55" w:lineRule="atLeast"/>
        <w:textAlignment w:val="auto"/>
        <w:rPr>
          <w:rFonts w:ascii="仿宋" w:hAnsi="仿宋" w:eastAsia="仿宋" w:cs="微软雅黑"/>
          <w:color w:val="333333"/>
          <w:sz w:val="32"/>
          <w:szCs w:val="32"/>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55" w:lineRule="atLeast"/>
        <w:textAlignment w:val="auto"/>
        <w:rPr>
          <w:rFonts w:ascii="宋体" w:hAnsi="宋体" w:cs="微软雅黑"/>
          <w:color w:val="333333"/>
          <w:sz w:val="27"/>
          <w:szCs w:val="27"/>
        </w:rPr>
      </w:pPr>
    </w:p>
    <w:p>
      <w:pPr>
        <w:spacing w:line="560" w:lineRule="exact"/>
        <w:rPr>
          <w:rFonts w:eastAsia="黑体"/>
          <w:bCs/>
          <w:kern w:val="0"/>
          <w:sz w:val="32"/>
          <w:szCs w:val="32"/>
        </w:rPr>
      </w:pPr>
      <w:r>
        <w:rPr>
          <w:rFonts w:hAnsi="黑体" w:eastAsia="黑体"/>
          <w:bCs/>
          <w:kern w:val="0"/>
          <w:sz w:val="32"/>
          <w:szCs w:val="32"/>
        </w:rPr>
        <w:t>附件</w:t>
      </w:r>
      <w:r>
        <w:rPr>
          <w:rFonts w:hint="eastAsia" w:eastAsia="黑体"/>
          <w:bCs/>
          <w:kern w:val="0"/>
          <w:sz w:val="32"/>
          <w:szCs w:val="32"/>
        </w:rPr>
        <w:t>3</w:t>
      </w:r>
    </w:p>
    <w:p>
      <w:pPr>
        <w:spacing w:line="560" w:lineRule="exact"/>
        <w:jc w:val="center"/>
        <w:rPr>
          <w:rFonts w:eastAsia="楷体_GB2312"/>
          <w:bCs/>
          <w:kern w:val="0"/>
          <w:sz w:val="32"/>
          <w:szCs w:val="32"/>
        </w:rPr>
      </w:pPr>
      <w:r>
        <w:rPr>
          <w:rFonts w:hint="eastAsia" w:eastAsia="方正小标宋简体"/>
          <w:bCs/>
          <w:kern w:val="0"/>
          <w:sz w:val="36"/>
          <w:szCs w:val="36"/>
        </w:rPr>
        <w:t>炎陵县水利局</w:t>
      </w:r>
      <w:r>
        <w:rPr>
          <w:rFonts w:eastAsia="方正小标宋简体"/>
          <w:bCs/>
          <w:kern w:val="0"/>
          <w:sz w:val="36"/>
          <w:szCs w:val="36"/>
        </w:rPr>
        <w:t>部门整体支出绩效综合评价报告表</w:t>
      </w:r>
      <w:r>
        <w:rPr>
          <w:rFonts w:eastAsia="方正小标宋简体"/>
          <w:bCs/>
          <w:kern w:val="0"/>
          <w:sz w:val="44"/>
          <w:szCs w:val="44"/>
        </w:rPr>
        <w:br w:type="textWrapping"/>
      </w:r>
      <w:r>
        <w:rPr>
          <w:rFonts w:eastAsia="楷体_GB2312"/>
          <w:bCs/>
          <w:kern w:val="0"/>
          <w:sz w:val="32"/>
          <w:szCs w:val="32"/>
        </w:rPr>
        <w:t>（20</w:t>
      </w:r>
      <w:r>
        <w:rPr>
          <w:rFonts w:hint="eastAsia" w:eastAsia="楷体_GB2312"/>
          <w:bCs/>
          <w:kern w:val="0"/>
          <w:sz w:val="32"/>
          <w:szCs w:val="32"/>
        </w:rPr>
        <w:t>20</w:t>
      </w:r>
      <w:r>
        <w:rPr>
          <w:rFonts w:eastAsia="楷体_GB2312"/>
          <w:bCs/>
          <w:kern w:val="0"/>
          <w:sz w:val="32"/>
          <w:szCs w:val="32"/>
        </w:rPr>
        <w:t>年度）</w:t>
      </w:r>
    </w:p>
    <w:p>
      <w:pPr>
        <w:widowControl/>
        <w:tabs>
          <w:tab w:val="left" w:pos="2593"/>
        </w:tabs>
        <w:spacing w:line="560" w:lineRule="exact"/>
        <w:jc w:val="left"/>
        <w:rPr>
          <w:rFonts w:eastAsia="黑体"/>
          <w:kern w:val="0"/>
          <w:szCs w:val="21"/>
        </w:rPr>
      </w:pPr>
      <w:r>
        <w:rPr>
          <w:kern w:val="0"/>
          <w:szCs w:val="21"/>
        </w:rPr>
        <w:t>填报单位（盖章）</w:t>
      </w:r>
      <w:r>
        <w:rPr>
          <w:rFonts w:eastAsia="黑体"/>
          <w:kern w:val="0"/>
          <w:szCs w:val="21"/>
        </w:rPr>
        <w:t>：</w:t>
      </w:r>
      <w:r>
        <w:rPr>
          <w:rFonts w:eastAsia="黑体"/>
          <w:kern w:val="0"/>
          <w:szCs w:val="21"/>
        </w:rPr>
        <w:tab/>
      </w:r>
    </w:p>
    <w:tbl>
      <w:tblPr>
        <w:tblStyle w:val="4"/>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0"/>
        <w:gridCol w:w="1200"/>
        <w:gridCol w:w="585"/>
        <w:gridCol w:w="595"/>
        <w:gridCol w:w="1560"/>
        <w:gridCol w:w="3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880" w:type="dxa"/>
            <w:gridSpan w:val="4"/>
            <w:tcBorders>
              <w:top w:val="single" w:color="auto" w:sz="4" w:space="0"/>
              <w:left w:val="single" w:color="auto" w:sz="4" w:space="0"/>
              <w:bottom w:val="single" w:color="auto" w:sz="4" w:space="0"/>
              <w:right w:val="single" w:color="auto" w:sz="4" w:space="0"/>
            </w:tcBorders>
          </w:tcPr>
          <w:p>
            <w:pPr>
              <w:widowControl/>
              <w:spacing w:line="560" w:lineRule="exact"/>
              <w:jc w:val="center"/>
              <w:rPr>
                <w:rFonts w:hint="eastAsia"/>
                <w:kern w:val="0"/>
                <w:szCs w:val="21"/>
              </w:rPr>
            </w:pPr>
            <w:r>
              <w:rPr>
                <w:kern w:val="0"/>
                <w:szCs w:val="21"/>
              </w:rPr>
              <w:t>部门（单位）名称：</w:t>
            </w:r>
            <w:r>
              <w:rPr>
                <w:rFonts w:hint="eastAsia"/>
                <w:kern w:val="0"/>
                <w:szCs w:val="21"/>
              </w:rPr>
              <w:t>炎陵县水利</w:t>
            </w:r>
            <w:r>
              <w:rPr>
                <w:kern w:val="0"/>
                <w:szCs w:val="21"/>
              </w:rPr>
              <w:t>局</w:t>
            </w:r>
          </w:p>
        </w:tc>
        <w:tc>
          <w:tcPr>
            <w:tcW w:w="4760"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kern w:val="0"/>
                <w:szCs w:val="21"/>
              </w:rPr>
            </w:pPr>
            <w:r>
              <w:rPr>
                <w:kern w:val="0"/>
                <w:szCs w:val="21"/>
              </w:rPr>
              <w:t>单位负责人：</w:t>
            </w:r>
            <w:r>
              <w:rPr>
                <w:rFonts w:hint="eastAsia"/>
                <w:kern w:val="0"/>
                <w:szCs w:val="21"/>
              </w:rPr>
              <w:t>谭</w:t>
            </w:r>
            <w:r>
              <w:rPr>
                <w:kern w:val="0"/>
                <w:szCs w:val="21"/>
              </w:rPr>
              <w:t>湘东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85" w:type="dxa"/>
            <w:gridSpan w:val="3"/>
            <w:tcBorders>
              <w:top w:val="single" w:color="auto" w:sz="4" w:space="0"/>
              <w:left w:val="single" w:color="auto" w:sz="4" w:space="0"/>
              <w:bottom w:val="single" w:color="auto" w:sz="4" w:space="0"/>
              <w:right w:val="single" w:color="auto" w:sz="4" w:space="0"/>
            </w:tcBorders>
            <w:vAlign w:val="bottom"/>
          </w:tcPr>
          <w:p>
            <w:pPr>
              <w:widowControl/>
              <w:spacing w:line="560" w:lineRule="exact"/>
              <w:rPr>
                <w:kern w:val="0"/>
                <w:szCs w:val="21"/>
              </w:rPr>
            </w:pPr>
            <w:r>
              <w:rPr>
                <w:kern w:val="0"/>
                <w:szCs w:val="21"/>
              </w:rPr>
              <w:t>年末职工人数： 51 人（人员编制：</w:t>
            </w:r>
            <w:r>
              <w:rPr>
                <w:rFonts w:hint="eastAsia"/>
                <w:kern w:val="0"/>
                <w:szCs w:val="21"/>
              </w:rPr>
              <w:t>57</w:t>
            </w:r>
            <w:r>
              <w:rPr>
                <w:kern w:val="0"/>
                <w:szCs w:val="21"/>
              </w:rPr>
              <w:t xml:space="preserve"> 人）</w:t>
            </w:r>
          </w:p>
        </w:tc>
        <w:tc>
          <w:tcPr>
            <w:tcW w:w="5355" w:type="dxa"/>
            <w:gridSpan w:val="3"/>
            <w:tcBorders>
              <w:top w:val="single" w:color="auto" w:sz="4" w:space="0"/>
              <w:left w:val="single" w:color="auto" w:sz="4" w:space="0"/>
              <w:bottom w:val="single" w:color="auto" w:sz="4" w:space="0"/>
              <w:right w:val="single" w:color="auto" w:sz="4" w:space="0"/>
            </w:tcBorders>
            <w:vAlign w:val="bottom"/>
          </w:tcPr>
          <w:p>
            <w:pPr>
              <w:widowControl/>
              <w:spacing w:line="560" w:lineRule="exact"/>
              <w:rPr>
                <w:kern w:val="0"/>
                <w:szCs w:val="21"/>
              </w:rPr>
            </w:pPr>
            <w:r>
              <w:rPr>
                <w:kern w:val="0"/>
                <w:szCs w:val="21"/>
              </w:rPr>
              <w:t>年末资产总额：  342  万元；负债总额：  114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年度预算收支情况</w:t>
            </w:r>
            <w:r>
              <w:rPr>
                <w:kern w:val="0"/>
                <w:szCs w:val="21"/>
              </w:rPr>
              <w:br w:type="textWrapping"/>
            </w:r>
            <w:r>
              <w:rPr>
                <w:kern w:val="0"/>
                <w:szCs w:val="21"/>
              </w:rPr>
              <w:t>（万元）</w:t>
            </w:r>
          </w:p>
        </w:tc>
        <w:tc>
          <w:tcPr>
            <w:tcW w:w="7140" w:type="dxa"/>
            <w:gridSpan w:val="5"/>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年初预算资金：</w:t>
            </w:r>
            <w:r>
              <w:rPr>
                <w:rFonts w:hint="eastAsia"/>
                <w:kern w:val="0"/>
                <w:szCs w:val="21"/>
              </w:rPr>
              <w:t>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vMerge w:val="continue"/>
            <w:tcBorders>
              <w:top w:val="single" w:color="auto" w:sz="4" w:space="0"/>
              <w:left w:val="single" w:color="auto" w:sz="4" w:space="0"/>
              <w:bottom w:val="single" w:color="auto" w:sz="4" w:space="0"/>
              <w:right w:val="single" w:color="auto" w:sz="4" w:space="0"/>
            </w:tcBorders>
            <w:vAlign w:val="center"/>
          </w:tcPr>
          <w:p/>
        </w:tc>
        <w:tc>
          <w:tcPr>
            <w:tcW w:w="3940" w:type="dxa"/>
            <w:gridSpan w:val="4"/>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年度收入总额：</w:t>
            </w:r>
            <w:r>
              <w:rPr>
                <w:rFonts w:hint="eastAsia"/>
                <w:kern w:val="0"/>
                <w:szCs w:val="21"/>
              </w:rPr>
              <w:t>1913.69</w:t>
            </w:r>
          </w:p>
        </w:tc>
        <w:tc>
          <w:tcPr>
            <w:tcW w:w="3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年度支出总额：</w:t>
            </w:r>
            <w:r>
              <w:rPr>
                <w:rFonts w:hint="eastAsia"/>
                <w:kern w:val="0"/>
                <w:szCs w:val="21"/>
              </w:rPr>
              <w:t>1913.69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vMerge w:val="continue"/>
            <w:tcBorders>
              <w:top w:val="single" w:color="auto" w:sz="4" w:space="0"/>
              <w:left w:val="single" w:color="auto" w:sz="4" w:space="0"/>
              <w:bottom w:val="single" w:color="auto" w:sz="4" w:space="0"/>
              <w:right w:val="single" w:color="auto" w:sz="4" w:space="0"/>
            </w:tcBorders>
            <w:vAlign w:val="center"/>
          </w:tcPr>
          <w:p/>
        </w:tc>
        <w:tc>
          <w:tcPr>
            <w:tcW w:w="3940" w:type="dxa"/>
            <w:gridSpan w:val="4"/>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105" w:firstLineChars="50"/>
              <w:jc w:val="left"/>
              <w:rPr>
                <w:kern w:val="0"/>
                <w:szCs w:val="21"/>
              </w:rPr>
            </w:pPr>
            <w:r>
              <w:rPr>
                <w:kern w:val="0"/>
                <w:szCs w:val="21"/>
              </w:rPr>
              <w:t>其中：       公共财政拨款：</w:t>
            </w:r>
            <w:r>
              <w:rPr>
                <w:rFonts w:hint="eastAsia"/>
                <w:kern w:val="0"/>
                <w:szCs w:val="21"/>
              </w:rPr>
              <w:t>1673.68</w:t>
            </w:r>
          </w:p>
        </w:tc>
        <w:tc>
          <w:tcPr>
            <w:tcW w:w="3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其中： 基本支出：</w:t>
            </w:r>
            <w:r>
              <w:rPr>
                <w:rFonts w:hint="eastAsia"/>
                <w:kern w:val="0"/>
                <w:szCs w:val="21"/>
              </w:rPr>
              <w:t>813.07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vMerge w:val="continue"/>
            <w:tcBorders>
              <w:top w:val="single" w:color="auto" w:sz="4" w:space="0"/>
              <w:left w:val="single" w:color="auto" w:sz="4" w:space="0"/>
              <w:bottom w:val="single" w:color="auto" w:sz="4" w:space="0"/>
              <w:right w:val="single" w:color="auto" w:sz="4" w:space="0"/>
            </w:tcBorders>
            <w:vAlign w:val="center"/>
          </w:tcPr>
          <w:p/>
        </w:tc>
        <w:tc>
          <w:tcPr>
            <w:tcW w:w="3940" w:type="dxa"/>
            <w:gridSpan w:val="4"/>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 xml:space="preserve">            政府性基金拨款：</w:t>
            </w:r>
            <w:r>
              <w:rPr>
                <w:rFonts w:hint="eastAsia"/>
                <w:kern w:val="0"/>
                <w:szCs w:val="21"/>
              </w:rPr>
              <w:t>240.01</w:t>
            </w:r>
          </w:p>
        </w:tc>
        <w:tc>
          <w:tcPr>
            <w:tcW w:w="3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 xml:space="preserve">       项目支出：</w:t>
            </w:r>
            <w:r>
              <w:rPr>
                <w:rFonts w:hint="eastAsia"/>
                <w:kern w:val="0"/>
                <w:szCs w:val="21"/>
              </w:rPr>
              <w:t>1100.62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vMerge w:val="continue"/>
            <w:tcBorders>
              <w:top w:val="single" w:color="auto" w:sz="4" w:space="0"/>
              <w:left w:val="single" w:color="auto" w:sz="4" w:space="0"/>
              <w:bottom w:val="single" w:color="auto" w:sz="4" w:space="0"/>
              <w:right w:val="single" w:color="auto" w:sz="4" w:space="0"/>
            </w:tcBorders>
            <w:vAlign w:val="center"/>
          </w:tcPr>
          <w:p/>
        </w:tc>
        <w:tc>
          <w:tcPr>
            <w:tcW w:w="3940" w:type="dxa"/>
            <w:gridSpan w:val="4"/>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纳入专户管理的非税收入拨款：</w:t>
            </w:r>
          </w:p>
        </w:tc>
        <w:tc>
          <w:tcPr>
            <w:tcW w:w="3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2500" w:type="dxa"/>
            <w:vMerge w:val="continue"/>
            <w:tcBorders>
              <w:top w:val="single" w:color="auto" w:sz="4" w:space="0"/>
              <w:left w:val="single" w:color="auto" w:sz="4" w:space="0"/>
              <w:bottom w:val="single" w:color="auto" w:sz="4" w:space="0"/>
              <w:right w:val="single" w:color="auto" w:sz="4" w:space="0"/>
            </w:tcBorders>
            <w:vAlign w:val="center"/>
          </w:tcPr>
          <w:p/>
        </w:tc>
        <w:tc>
          <w:tcPr>
            <w:tcW w:w="3940" w:type="dxa"/>
            <w:gridSpan w:val="4"/>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 xml:space="preserve">                  其他资金：</w:t>
            </w:r>
          </w:p>
        </w:tc>
        <w:tc>
          <w:tcPr>
            <w:tcW w:w="3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25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部门职能职责概述</w:t>
            </w:r>
          </w:p>
        </w:tc>
        <w:tc>
          <w:tcPr>
            <w:tcW w:w="7140" w:type="dxa"/>
            <w:gridSpan w:val="5"/>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rFonts w:hint="eastAsia" w:ascii="宋体" w:hAnsi="宋体" w:cs="仿宋_GB2312"/>
                <w:color w:val="333333"/>
                <w:szCs w:val="21"/>
                <w:shd w:val="clear" w:color="auto" w:fill="FFFFFF"/>
              </w:rPr>
              <w:t>主要负责全县的农村水利水电、农村饮水安全和乡镇供水工作、水土保持、大中型水库移开发管理工作、承担防汛抗旱指挥部的日常工作、负责全县的电力行政执法、河长制工作、水政监察和水行政执法、统一管理水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整体绩效目标</w:t>
            </w:r>
          </w:p>
        </w:tc>
        <w:tc>
          <w:tcPr>
            <w:tcW w:w="7140" w:type="dxa"/>
            <w:gridSpan w:val="5"/>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目标1：</w:t>
            </w:r>
            <w:r>
              <w:rPr>
                <w:rFonts w:hint="eastAsia" w:asciiTheme="minorEastAsia" w:hAnsiTheme="minorEastAsia" w:eastAsiaTheme="minorEastAsia"/>
                <w:color w:val="000000"/>
                <w:kern w:val="0"/>
                <w:szCs w:val="21"/>
              </w:rPr>
              <w:t>提升我县河流</w:t>
            </w:r>
            <w:r>
              <w:rPr>
                <w:rFonts w:asciiTheme="minorEastAsia" w:hAnsiTheme="minorEastAsia" w:eastAsiaTheme="minorEastAsia"/>
                <w:color w:val="000000"/>
                <w:kern w:val="0"/>
                <w:szCs w:val="21"/>
              </w:rPr>
              <w:t>安全等级</w:t>
            </w:r>
            <w:r>
              <w:rPr>
                <w:rFonts w:hint="eastAsia" w:asciiTheme="minorEastAsia" w:hAnsiTheme="minorEastAsia" w:eastAsiaTheme="minorEastAsia"/>
                <w:color w:val="000000"/>
                <w:kern w:val="0"/>
                <w:szCs w:val="21"/>
              </w:rPr>
              <w:t>，增强我县经济发展后劲和持续发展能力。</w:t>
            </w:r>
            <w:r>
              <w:rPr>
                <w:kern w:val="0"/>
                <w:szCs w:val="21"/>
              </w:rPr>
              <w:br w:type="textWrapping"/>
            </w:r>
            <w:r>
              <w:rPr>
                <w:kern w:val="0"/>
                <w:szCs w:val="21"/>
              </w:rPr>
              <w:t>目标2：</w:t>
            </w:r>
            <w:r>
              <w:rPr>
                <w:rFonts w:hint="eastAsia"/>
                <w:kern w:val="0"/>
                <w:szCs w:val="21"/>
              </w:rPr>
              <w:t>切实保障</w:t>
            </w:r>
            <w:r>
              <w:rPr>
                <w:kern w:val="0"/>
                <w:szCs w:val="21"/>
              </w:rPr>
              <w:t>农村居民饮水</w:t>
            </w:r>
            <w:r>
              <w:rPr>
                <w:rFonts w:hint="eastAsia"/>
                <w:kern w:val="0"/>
                <w:szCs w:val="21"/>
              </w:rPr>
              <w:t>水质</w:t>
            </w:r>
            <w:r>
              <w:rPr>
                <w:kern w:val="0"/>
                <w:szCs w:val="21"/>
              </w:rPr>
              <w:t>安全</w:t>
            </w:r>
            <w:r>
              <w:rPr>
                <w:rFonts w:hint="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4" w:hRule="atLeast"/>
          <w:jc w:val="center"/>
        </w:trPr>
        <w:tc>
          <w:tcPr>
            <w:tcW w:w="25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部门整体支出</w:t>
            </w:r>
          </w:p>
          <w:p>
            <w:pPr>
              <w:widowControl/>
              <w:spacing w:line="560" w:lineRule="exact"/>
              <w:jc w:val="center"/>
              <w:rPr>
                <w:kern w:val="0"/>
                <w:szCs w:val="21"/>
              </w:rPr>
            </w:pPr>
            <w:r>
              <w:rPr>
                <w:kern w:val="0"/>
                <w:szCs w:val="21"/>
              </w:rPr>
              <w:t>年度绩效指标</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产出指标</w:t>
            </w:r>
          </w:p>
        </w:tc>
        <w:tc>
          <w:tcPr>
            <w:tcW w:w="5940"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rPr>
                <w:kern w:val="0"/>
                <w:szCs w:val="21"/>
              </w:rPr>
            </w:pPr>
            <w:r>
              <w:rPr>
                <w:kern w:val="0"/>
                <w:szCs w:val="21"/>
              </w:rPr>
              <w:t>指标1：</w:t>
            </w:r>
            <w:r>
              <w:rPr>
                <w:rFonts w:hint="eastAsia"/>
                <w:kern w:val="0"/>
                <w:szCs w:val="21"/>
              </w:rPr>
              <w:t>数量</w:t>
            </w:r>
            <w:r>
              <w:rPr>
                <w:kern w:val="0"/>
                <w:szCs w:val="21"/>
              </w:rPr>
              <w:t>指标</w:t>
            </w:r>
            <w:r>
              <w:rPr>
                <w:rFonts w:hint="eastAsia"/>
                <w:kern w:val="0"/>
                <w:szCs w:val="21"/>
              </w:rPr>
              <w:t>：资金</w:t>
            </w:r>
            <w:r>
              <w:rPr>
                <w:kern w:val="0"/>
                <w:szCs w:val="21"/>
              </w:rPr>
              <w:t>到位率</w:t>
            </w:r>
            <w:r>
              <w:rPr>
                <w:rFonts w:hint="eastAsia"/>
                <w:kern w:val="0"/>
                <w:szCs w:val="21"/>
              </w:rPr>
              <w:t>100</w:t>
            </w:r>
            <w:r>
              <w:rPr>
                <w:kern w:val="0"/>
                <w:szCs w:val="21"/>
              </w:rPr>
              <w:t>%</w:t>
            </w:r>
          </w:p>
          <w:p>
            <w:pPr>
              <w:spacing w:line="560" w:lineRule="exact"/>
              <w:rPr>
                <w:kern w:val="0"/>
                <w:szCs w:val="21"/>
              </w:rPr>
            </w:pPr>
            <w:r>
              <w:rPr>
                <w:kern w:val="0"/>
                <w:szCs w:val="21"/>
              </w:rPr>
              <w:t>指标2：</w:t>
            </w:r>
            <w:r>
              <w:rPr>
                <w:rFonts w:hint="eastAsia"/>
                <w:kern w:val="0"/>
                <w:szCs w:val="21"/>
              </w:rPr>
              <w:t>质量</w:t>
            </w:r>
            <w:r>
              <w:rPr>
                <w:kern w:val="0"/>
                <w:szCs w:val="21"/>
              </w:rPr>
              <w:t>指标</w:t>
            </w:r>
            <w:r>
              <w:rPr>
                <w:rFonts w:hint="eastAsia"/>
                <w:kern w:val="0"/>
                <w:szCs w:val="21"/>
              </w:rPr>
              <w:t>：项目</w:t>
            </w:r>
            <w:r>
              <w:rPr>
                <w:kern w:val="0"/>
                <w:szCs w:val="21"/>
              </w:rPr>
              <w:t>完成质量</w:t>
            </w:r>
            <w:r>
              <w:rPr>
                <w:rFonts w:hint="eastAsia"/>
                <w:kern w:val="0"/>
                <w:szCs w:val="21"/>
              </w:rPr>
              <w:t>合格</w:t>
            </w:r>
          </w:p>
          <w:p>
            <w:pPr>
              <w:spacing w:line="560" w:lineRule="exact"/>
              <w:rPr>
                <w:kern w:val="0"/>
                <w:szCs w:val="21"/>
              </w:rPr>
            </w:pPr>
            <w:r>
              <w:rPr>
                <w:kern w:val="0"/>
                <w:szCs w:val="21"/>
              </w:rPr>
              <w:t>指标3：</w:t>
            </w:r>
            <w:r>
              <w:rPr>
                <w:rFonts w:hint="eastAsia"/>
                <w:kern w:val="0"/>
                <w:szCs w:val="21"/>
              </w:rPr>
              <w:t>时效</w:t>
            </w:r>
            <w:r>
              <w:rPr>
                <w:kern w:val="0"/>
                <w:szCs w:val="21"/>
              </w:rPr>
              <w:t>指标</w:t>
            </w:r>
            <w:r>
              <w:rPr>
                <w:rFonts w:hint="eastAsia"/>
                <w:kern w:val="0"/>
                <w:szCs w:val="21"/>
              </w:rPr>
              <w:t>：项目</w:t>
            </w:r>
            <w:r>
              <w:rPr>
                <w:kern w:val="0"/>
                <w:szCs w:val="21"/>
              </w:rPr>
              <w:t>进度</w:t>
            </w:r>
            <w:r>
              <w:rPr>
                <w:rFonts w:hint="eastAsia"/>
                <w:kern w:val="0"/>
                <w:szCs w:val="21"/>
              </w:rPr>
              <w:t>100</w:t>
            </w:r>
            <w:r>
              <w:rPr>
                <w:kern w:val="0"/>
                <w:szCs w:val="21"/>
              </w:rPr>
              <w:t>%</w:t>
            </w:r>
          </w:p>
          <w:p>
            <w:pPr>
              <w:spacing w:line="560" w:lineRule="exact"/>
              <w:rPr>
                <w:kern w:val="0"/>
                <w:szCs w:val="21"/>
              </w:rPr>
            </w:pPr>
            <w:r>
              <w:rPr>
                <w:kern w:val="0"/>
                <w:szCs w:val="21"/>
              </w:rPr>
              <w:t>指标4：</w:t>
            </w:r>
            <w:r>
              <w:rPr>
                <w:rFonts w:hint="eastAsia"/>
                <w:kern w:val="0"/>
                <w:szCs w:val="21"/>
              </w:rPr>
              <w:t>成本</w:t>
            </w:r>
            <w:r>
              <w:rPr>
                <w:kern w:val="0"/>
                <w:szCs w:val="21"/>
              </w:rPr>
              <w:t>指标</w:t>
            </w:r>
            <w:r>
              <w:rPr>
                <w:rFonts w:hint="eastAsia"/>
                <w:kern w:val="0"/>
                <w:szCs w:val="21"/>
              </w:rPr>
              <w:t>：项目</w:t>
            </w:r>
            <w:r>
              <w:rPr>
                <w:kern w:val="0"/>
                <w:szCs w:val="21"/>
              </w:rPr>
              <w:t>成本控制率</w:t>
            </w:r>
            <w:r>
              <w:rPr>
                <w:rFonts w:hint="eastAsia"/>
                <w:kern w:val="0"/>
                <w:szCs w:val="21"/>
              </w:rPr>
              <w:t>大于90</w:t>
            </w:r>
            <w:r>
              <w:rPr>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2500" w:type="dxa"/>
            <w:vMerge w:val="continue"/>
            <w:tcBorders>
              <w:top w:val="single" w:color="auto" w:sz="4" w:space="0"/>
              <w:left w:val="single" w:color="auto" w:sz="4" w:space="0"/>
              <w:bottom w:val="single" w:color="auto" w:sz="4" w:space="0"/>
              <w:right w:val="single" w:color="auto" w:sz="4" w:space="0"/>
            </w:tcBorders>
            <w:vAlign w:val="center"/>
          </w:tcP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效益指标</w:t>
            </w:r>
          </w:p>
        </w:tc>
        <w:tc>
          <w:tcPr>
            <w:tcW w:w="5940"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rPr>
                <w:kern w:val="0"/>
                <w:szCs w:val="21"/>
              </w:rPr>
            </w:pPr>
            <w:r>
              <w:rPr>
                <w:kern w:val="0"/>
                <w:szCs w:val="21"/>
              </w:rPr>
              <w:t>指标1：</w:t>
            </w:r>
            <w:r>
              <w:rPr>
                <w:rFonts w:hint="eastAsia"/>
                <w:kern w:val="0"/>
                <w:szCs w:val="21"/>
              </w:rPr>
              <w:t>经济效益</w:t>
            </w:r>
            <w:r>
              <w:rPr>
                <w:kern w:val="0"/>
                <w:szCs w:val="21"/>
              </w:rPr>
              <w:t>指标</w:t>
            </w:r>
            <w:r>
              <w:rPr>
                <w:rFonts w:hint="eastAsia"/>
                <w:kern w:val="0"/>
                <w:szCs w:val="21"/>
              </w:rPr>
              <w:t>：</w:t>
            </w:r>
            <w:r>
              <w:rPr>
                <w:kern w:val="0"/>
                <w:szCs w:val="21"/>
              </w:rPr>
              <w:t>增强我县经济发展后劲</w:t>
            </w:r>
            <w:r>
              <w:rPr>
                <w:rFonts w:hint="eastAsia"/>
                <w:kern w:val="0"/>
                <w:szCs w:val="21"/>
              </w:rPr>
              <w:t>。</w:t>
            </w:r>
          </w:p>
          <w:p>
            <w:pPr>
              <w:spacing w:line="560" w:lineRule="exact"/>
              <w:rPr>
                <w:kern w:val="0"/>
                <w:szCs w:val="21"/>
              </w:rPr>
            </w:pPr>
            <w:r>
              <w:rPr>
                <w:kern w:val="0"/>
                <w:szCs w:val="21"/>
              </w:rPr>
              <w:t>指标2：</w:t>
            </w:r>
            <w:r>
              <w:rPr>
                <w:rFonts w:hint="eastAsia"/>
                <w:kern w:val="0"/>
                <w:szCs w:val="21"/>
              </w:rPr>
              <w:t>社会效益</w:t>
            </w:r>
            <w:r>
              <w:rPr>
                <w:kern w:val="0"/>
                <w:szCs w:val="21"/>
              </w:rPr>
              <w:t>指标</w:t>
            </w:r>
            <w:r>
              <w:rPr>
                <w:rFonts w:hint="eastAsia"/>
                <w:kern w:val="0"/>
                <w:szCs w:val="21"/>
              </w:rPr>
              <w:t>：提示</w:t>
            </w:r>
            <w:r>
              <w:rPr>
                <w:kern w:val="0"/>
                <w:szCs w:val="21"/>
              </w:rPr>
              <w:t>我县河流安全等级</w:t>
            </w:r>
            <w:r>
              <w:rPr>
                <w:rFonts w:hint="eastAsia"/>
                <w:kern w:val="0"/>
                <w:szCs w:val="21"/>
              </w:rPr>
              <w:t>。</w:t>
            </w:r>
          </w:p>
          <w:p>
            <w:pPr>
              <w:spacing w:line="560" w:lineRule="exact"/>
              <w:rPr>
                <w:kern w:val="0"/>
                <w:szCs w:val="21"/>
              </w:rPr>
            </w:pPr>
            <w:r>
              <w:rPr>
                <w:kern w:val="0"/>
                <w:szCs w:val="21"/>
              </w:rPr>
              <w:t>指标3：</w:t>
            </w:r>
            <w:r>
              <w:rPr>
                <w:rFonts w:hint="eastAsia"/>
                <w:kern w:val="0"/>
                <w:szCs w:val="21"/>
              </w:rPr>
              <w:t>资金支出进度达到80%以上。</w:t>
            </w:r>
          </w:p>
          <w:p>
            <w:pPr>
              <w:widowControl/>
              <w:spacing w:line="560" w:lineRule="exact"/>
              <w:rPr>
                <w:kern w:val="0"/>
                <w:szCs w:val="21"/>
              </w:rPr>
            </w:pPr>
            <w:r>
              <w:rPr>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单位自评情况分析及</w:t>
            </w:r>
            <w:r>
              <w:rPr>
                <w:rFonts w:hint="eastAsia"/>
                <w:kern w:val="0"/>
                <w:szCs w:val="21"/>
              </w:rPr>
              <w:t xml:space="preserve">  </w:t>
            </w:r>
            <w:r>
              <w:rPr>
                <w:kern w:val="0"/>
                <w:szCs w:val="21"/>
              </w:rPr>
              <w:t>结论</w:t>
            </w:r>
          </w:p>
        </w:tc>
        <w:tc>
          <w:tcPr>
            <w:tcW w:w="7140" w:type="dxa"/>
            <w:gridSpan w:val="5"/>
            <w:tcBorders>
              <w:top w:val="single" w:color="auto" w:sz="4" w:space="0"/>
              <w:left w:val="single" w:color="auto" w:sz="4" w:space="0"/>
              <w:bottom w:val="single" w:color="auto" w:sz="4" w:space="0"/>
              <w:right w:val="single" w:color="auto" w:sz="4" w:space="0"/>
            </w:tcBorders>
          </w:tcPr>
          <w:p>
            <w:pPr>
              <w:numPr>
                <w:ilvl w:val="0"/>
                <w:numId w:val="1"/>
              </w:numPr>
              <w:spacing w:after="240" w:line="560" w:lineRule="exact"/>
              <w:rPr>
                <w:kern w:val="0"/>
                <w:sz w:val="24"/>
              </w:rPr>
            </w:pPr>
            <w:r>
              <w:rPr>
                <w:kern w:val="0"/>
                <w:sz w:val="24"/>
              </w:rPr>
              <w:t>支出情况分析：</w:t>
            </w:r>
            <w:r>
              <w:rPr>
                <w:rFonts w:hint="eastAsia"/>
                <w:kern w:val="0"/>
                <w:szCs w:val="21"/>
              </w:rPr>
              <w:t>2020年全年支出1</w:t>
            </w:r>
            <w:r>
              <w:rPr>
                <w:kern w:val="0"/>
                <w:szCs w:val="21"/>
              </w:rPr>
              <w:t>913</w:t>
            </w:r>
            <w:r>
              <w:rPr>
                <w:rFonts w:hint="eastAsia"/>
                <w:kern w:val="0"/>
                <w:szCs w:val="21"/>
              </w:rPr>
              <w:t>.69万元，其中：基本支出</w:t>
            </w:r>
            <w:r>
              <w:rPr>
                <w:kern w:val="0"/>
                <w:szCs w:val="21"/>
              </w:rPr>
              <w:t>813.07</w:t>
            </w:r>
            <w:r>
              <w:rPr>
                <w:rFonts w:hint="eastAsia"/>
                <w:kern w:val="0"/>
                <w:szCs w:val="21"/>
              </w:rPr>
              <w:t>万元，占全年支出的</w:t>
            </w:r>
            <w:r>
              <w:rPr>
                <w:kern w:val="0"/>
                <w:szCs w:val="21"/>
              </w:rPr>
              <w:t>42.49</w:t>
            </w:r>
            <w:r>
              <w:rPr>
                <w:rFonts w:hint="eastAsia"/>
                <w:kern w:val="0"/>
                <w:szCs w:val="21"/>
              </w:rPr>
              <w:t>%；项目支出</w:t>
            </w:r>
            <w:r>
              <w:rPr>
                <w:kern w:val="0"/>
                <w:szCs w:val="21"/>
              </w:rPr>
              <w:t>1100.62</w:t>
            </w:r>
            <w:r>
              <w:rPr>
                <w:rFonts w:hint="eastAsia"/>
                <w:kern w:val="0"/>
                <w:szCs w:val="21"/>
              </w:rPr>
              <w:t>万元，占全年支出的</w:t>
            </w:r>
            <w:r>
              <w:rPr>
                <w:kern w:val="0"/>
                <w:szCs w:val="21"/>
              </w:rPr>
              <w:t>57.51</w:t>
            </w:r>
            <w:r>
              <w:rPr>
                <w:rFonts w:hint="eastAsia"/>
                <w:kern w:val="0"/>
                <w:szCs w:val="21"/>
              </w:rPr>
              <w:t>%。人员经费支出</w:t>
            </w:r>
            <w:r>
              <w:rPr>
                <w:kern w:val="0"/>
                <w:szCs w:val="21"/>
              </w:rPr>
              <w:t>421.17</w:t>
            </w:r>
            <w:r>
              <w:rPr>
                <w:rFonts w:hint="eastAsia"/>
                <w:kern w:val="0"/>
                <w:szCs w:val="21"/>
              </w:rPr>
              <w:t>万元，占基本支出的51.80%；日常公用经费支出</w:t>
            </w:r>
            <w:r>
              <w:rPr>
                <w:kern w:val="0"/>
                <w:szCs w:val="21"/>
              </w:rPr>
              <w:t>391.90</w:t>
            </w:r>
            <w:r>
              <w:rPr>
                <w:rFonts w:hint="eastAsia"/>
                <w:kern w:val="0"/>
                <w:szCs w:val="21"/>
              </w:rPr>
              <w:t xml:space="preserve">万元，占基本支出的48.20%。   </w:t>
            </w:r>
            <w:r>
              <w:rPr>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jc w:val="center"/>
        </w:trPr>
        <w:tc>
          <w:tcPr>
            <w:tcW w:w="2500" w:type="dxa"/>
            <w:vMerge w:val="continue"/>
            <w:tcBorders>
              <w:top w:val="single" w:color="auto" w:sz="4" w:space="0"/>
              <w:left w:val="single" w:color="auto" w:sz="4" w:space="0"/>
              <w:bottom w:val="single" w:color="auto" w:sz="4" w:space="0"/>
              <w:right w:val="single" w:color="auto" w:sz="4" w:space="0"/>
            </w:tcBorders>
            <w:vAlign w:val="center"/>
          </w:tcPr>
          <w:p/>
        </w:tc>
        <w:tc>
          <w:tcPr>
            <w:tcW w:w="7140" w:type="dxa"/>
            <w:gridSpan w:val="5"/>
            <w:tcBorders>
              <w:top w:val="single" w:color="auto" w:sz="4" w:space="0"/>
              <w:left w:val="single" w:color="auto" w:sz="4" w:space="0"/>
              <w:bottom w:val="single" w:color="auto" w:sz="4" w:space="0"/>
              <w:right w:val="single" w:color="auto" w:sz="4" w:space="0"/>
            </w:tcBorders>
          </w:tcPr>
          <w:p>
            <w:pPr>
              <w:numPr>
                <w:ilvl w:val="0"/>
                <w:numId w:val="1"/>
              </w:numPr>
              <w:spacing w:line="560" w:lineRule="exact"/>
              <w:rPr>
                <w:kern w:val="0"/>
                <w:sz w:val="24"/>
              </w:rPr>
            </w:pPr>
            <w:r>
              <w:rPr>
                <w:kern w:val="0"/>
                <w:sz w:val="24"/>
              </w:rPr>
              <w:t>绩效目标完成情况分析：</w:t>
            </w:r>
            <w:r>
              <w:rPr>
                <w:rFonts w:hint="eastAsia"/>
                <w:kern w:val="0"/>
                <w:szCs w:val="21"/>
              </w:rPr>
              <w:t>2020年，炎陵县水利局完成了小</w:t>
            </w:r>
            <w:r>
              <w:rPr>
                <w:kern w:val="0"/>
                <w:szCs w:val="21"/>
              </w:rPr>
              <w:t>水电站清理整改、</w:t>
            </w:r>
            <w:r>
              <w:rPr>
                <w:rFonts w:hint="eastAsia"/>
                <w:kern w:val="0"/>
                <w:szCs w:val="21"/>
              </w:rPr>
              <w:t>河长制</w:t>
            </w:r>
            <w:r>
              <w:rPr>
                <w:kern w:val="0"/>
                <w:szCs w:val="21"/>
              </w:rPr>
              <w:t>工作全面推进、</w:t>
            </w:r>
            <w:r>
              <w:rPr>
                <w:rFonts w:hint="eastAsia"/>
                <w:kern w:val="0"/>
                <w:szCs w:val="21"/>
              </w:rPr>
              <w:t>农村</w:t>
            </w:r>
            <w:r>
              <w:rPr>
                <w:kern w:val="0"/>
                <w:szCs w:val="21"/>
              </w:rPr>
              <w:t>安全饮水得到有效保障、</w:t>
            </w:r>
            <w:r>
              <w:rPr>
                <w:rFonts w:hint="eastAsia"/>
                <w:kern w:val="0"/>
                <w:szCs w:val="21"/>
              </w:rPr>
              <w:t>水旱灾害防御等工作。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2500" w:type="dxa"/>
            <w:vMerge w:val="continue"/>
            <w:tcBorders>
              <w:top w:val="single" w:color="auto" w:sz="4" w:space="0"/>
              <w:left w:val="single" w:color="auto" w:sz="4" w:space="0"/>
              <w:bottom w:val="single" w:color="auto" w:sz="4" w:space="0"/>
              <w:right w:val="single" w:color="auto" w:sz="4" w:space="0"/>
            </w:tcBorders>
            <w:vAlign w:val="center"/>
          </w:tcPr>
          <w:p/>
        </w:tc>
        <w:tc>
          <w:tcPr>
            <w:tcW w:w="7140" w:type="dxa"/>
            <w:gridSpan w:val="5"/>
            <w:tcBorders>
              <w:top w:val="single" w:color="auto" w:sz="4" w:space="0"/>
              <w:left w:val="single" w:color="auto" w:sz="4" w:space="0"/>
              <w:bottom w:val="single" w:color="auto" w:sz="4" w:space="0"/>
              <w:right w:val="single" w:color="auto" w:sz="4" w:space="0"/>
            </w:tcBorders>
          </w:tcPr>
          <w:p>
            <w:pPr>
              <w:numPr>
                <w:ilvl w:val="0"/>
                <w:numId w:val="1"/>
              </w:numPr>
              <w:spacing w:line="560" w:lineRule="exact"/>
              <w:rPr>
                <w:kern w:val="0"/>
                <w:sz w:val="24"/>
              </w:rPr>
            </w:pPr>
            <w:r>
              <w:rPr>
                <w:kern w:val="0"/>
                <w:sz w:val="24"/>
              </w:rPr>
              <w:t>自我评价结论：</w:t>
            </w:r>
            <w:r>
              <w:rPr>
                <w:rFonts w:hint="eastAsia"/>
                <w:kern w:val="0"/>
                <w:sz w:val="24"/>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25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存在的问题</w:t>
            </w:r>
          </w:p>
        </w:tc>
        <w:tc>
          <w:tcPr>
            <w:tcW w:w="7140" w:type="dxa"/>
            <w:gridSpan w:val="5"/>
            <w:tcBorders>
              <w:top w:val="single" w:color="auto" w:sz="4" w:space="0"/>
              <w:left w:val="single" w:color="auto" w:sz="4" w:space="0"/>
              <w:bottom w:val="single" w:color="auto" w:sz="4" w:space="0"/>
              <w:right w:val="single" w:color="auto" w:sz="4" w:space="0"/>
            </w:tcBorders>
            <w:vAlign w:val="bottom"/>
          </w:tcPr>
          <w:p>
            <w:pPr>
              <w:spacing w:line="720" w:lineRule="auto"/>
              <w:ind w:right="480"/>
              <w:jc w:val="left"/>
              <w:rPr>
                <w:kern w:val="0"/>
                <w:sz w:val="24"/>
              </w:rPr>
            </w:pPr>
            <w:r>
              <w:rPr>
                <w:rFonts w:hint="eastAsia"/>
                <w:kern w:val="0"/>
                <w:szCs w:val="21"/>
              </w:rPr>
              <w:t>年初预算数与执行数相差较大。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25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改进措施与建议</w:t>
            </w:r>
          </w:p>
        </w:tc>
        <w:tc>
          <w:tcPr>
            <w:tcW w:w="7140" w:type="dxa"/>
            <w:gridSpan w:val="5"/>
            <w:tcBorders>
              <w:top w:val="single" w:color="auto" w:sz="4" w:space="0"/>
              <w:left w:val="single" w:color="auto" w:sz="4" w:space="0"/>
              <w:bottom w:val="single" w:color="auto" w:sz="4" w:space="0"/>
              <w:right w:val="single" w:color="auto" w:sz="4" w:space="0"/>
            </w:tcBorders>
            <w:vAlign w:val="bottom"/>
          </w:tcPr>
          <w:p>
            <w:pPr>
              <w:spacing w:line="560" w:lineRule="exact"/>
              <w:ind w:firstLine="4680" w:firstLineChars="1950"/>
              <w:jc w:val="righ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25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rFonts w:hint="eastAsia"/>
                <w:kern w:val="0"/>
                <w:szCs w:val="21"/>
              </w:rPr>
              <w:t>归口管理业务股室</w:t>
            </w:r>
            <w:r>
              <w:rPr>
                <w:kern w:val="0"/>
                <w:szCs w:val="21"/>
              </w:rPr>
              <w:t>审核意见</w:t>
            </w:r>
          </w:p>
        </w:tc>
        <w:tc>
          <w:tcPr>
            <w:tcW w:w="7140" w:type="dxa"/>
            <w:gridSpan w:val="5"/>
            <w:tcBorders>
              <w:top w:val="single" w:color="auto" w:sz="4" w:space="0"/>
              <w:left w:val="single" w:color="auto" w:sz="4" w:space="0"/>
              <w:bottom w:val="single" w:color="auto" w:sz="4" w:space="0"/>
              <w:right w:val="single" w:color="auto" w:sz="4" w:space="0"/>
            </w:tcBorders>
            <w:vAlign w:val="bottom"/>
          </w:tcPr>
          <w:p>
            <w:pPr>
              <w:spacing w:line="560" w:lineRule="exact"/>
              <w:ind w:firstLine="4680" w:firstLineChars="1950"/>
              <w:jc w:val="right"/>
              <w:rPr>
                <w:kern w:val="0"/>
                <w:szCs w:val="21"/>
              </w:rPr>
            </w:pPr>
            <w:r>
              <w:rPr>
                <w:kern w:val="0"/>
                <w:sz w:val="24"/>
              </w:rPr>
              <w:t xml:space="preserve">（盖章）                                     </w:t>
            </w:r>
            <w:r>
              <w:rPr>
                <w:kern w:val="0"/>
                <w:sz w:val="24"/>
              </w:rPr>
              <w:br w:type="textWrapping"/>
            </w:r>
            <w:r>
              <w:rPr>
                <w:kern w:val="0"/>
                <w:sz w:val="24"/>
              </w:rPr>
              <w:t xml:space="preserve">                                        年    月    日</w:t>
            </w:r>
          </w:p>
        </w:tc>
      </w:tr>
    </w:tbl>
    <w:p>
      <w:pPr>
        <w:widowControl/>
        <w:tabs>
          <w:tab w:val="left" w:pos="1333"/>
          <w:tab w:val="left" w:pos="3793"/>
          <w:tab w:val="left" w:pos="5853"/>
        </w:tabs>
        <w:spacing w:line="560" w:lineRule="exact"/>
        <w:ind w:firstLine="315" w:firstLineChars="150"/>
        <w:jc w:val="left"/>
        <w:rPr>
          <w:kern w:val="0"/>
          <w:szCs w:val="21"/>
        </w:rPr>
      </w:pPr>
      <w:r>
        <w:rPr>
          <w:kern w:val="0"/>
          <w:szCs w:val="21"/>
        </w:rPr>
        <w:t>填报人：</w:t>
      </w:r>
      <w:r>
        <w:rPr>
          <w:rFonts w:hint="eastAsia"/>
          <w:kern w:val="0"/>
          <w:szCs w:val="21"/>
        </w:rPr>
        <w:t>谭双斌</w:t>
      </w:r>
      <w:r>
        <w:rPr>
          <w:kern w:val="0"/>
          <w:szCs w:val="21"/>
        </w:rPr>
        <w:t xml:space="preserve">     联系电话：</w:t>
      </w:r>
      <w:r>
        <w:rPr>
          <w:rFonts w:hint="eastAsia"/>
          <w:kern w:val="0"/>
          <w:szCs w:val="21"/>
        </w:rPr>
        <w:t>15343035071</w:t>
      </w:r>
      <w:r>
        <w:rPr>
          <w:kern w:val="0"/>
          <w:szCs w:val="21"/>
        </w:rPr>
        <w:t xml:space="preserve">      填报日期：</w:t>
      </w:r>
      <w:r>
        <w:rPr>
          <w:rFonts w:hint="eastAsia"/>
          <w:kern w:val="0"/>
          <w:szCs w:val="21"/>
        </w:rPr>
        <w:t>2021年10月8日</w:t>
      </w:r>
    </w:p>
    <w:p>
      <w:pPr>
        <w:sectPr>
          <w:footerReference r:id="rId3" w:type="default"/>
          <w:pgSz w:w="11906" w:h="16838"/>
          <w:pgMar w:top="1440" w:right="1797" w:bottom="1440" w:left="1797" w:header="851" w:footer="1474" w:gutter="0"/>
          <w:pgNumType w:fmt="numberInDash"/>
          <w:cols w:space="720" w:num="1"/>
          <w:docGrid w:type="linesAndChars" w:linePitch="312" w:charSpace="0"/>
        </w:sectPr>
      </w:pPr>
    </w:p>
    <w:p>
      <w:pPr>
        <w:spacing w:line="560" w:lineRule="exact"/>
        <w:rPr>
          <w:rFonts w:ascii="黑体" w:hAnsi="黑体" w:eastAsia="黑体"/>
          <w:kern w:val="0"/>
          <w:sz w:val="30"/>
          <w:szCs w:val="30"/>
        </w:rPr>
      </w:pPr>
      <w:bookmarkStart w:id="0" w:name="RANGE!A1:H22"/>
      <w:r>
        <w:rPr>
          <w:rFonts w:ascii="黑体" w:hAnsi="黑体" w:eastAsia="黑体"/>
          <w:kern w:val="0"/>
          <w:sz w:val="30"/>
          <w:szCs w:val="30"/>
        </w:rPr>
        <w:t>附件</w:t>
      </w:r>
      <w:bookmarkEnd w:id="0"/>
      <w:r>
        <w:rPr>
          <w:rFonts w:hint="eastAsia" w:ascii="黑体" w:hAnsi="黑体" w:eastAsia="黑体"/>
          <w:kern w:val="0"/>
          <w:sz w:val="30"/>
          <w:szCs w:val="30"/>
        </w:rPr>
        <w:t>4</w:t>
      </w:r>
    </w:p>
    <w:p>
      <w:pPr>
        <w:spacing w:line="560" w:lineRule="exact"/>
        <w:jc w:val="center"/>
        <w:rPr>
          <w:rFonts w:eastAsia="方正小标宋简体"/>
          <w:sz w:val="36"/>
          <w:szCs w:val="36"/>
        </w:rPr>
      </w:pPr>
      <w:r>
        <w:rPr>
          <w:rFonts w:eastAsia="方正小标宋简体"/>
          <w:sz w:val="36"/>
          <w:szCs w:val="36"/>
        </w:rPr>
        <w:t>部门整体支出绩效评价指标评分表</w:t>
      </w:r>
    </w:p>
    <w:p>
      <w:pPr>
        <w:spacing w:line="560" w:lineRule="exact"/>
        <w:jc w:val="center"/>
        <w:rPr>
          <w:rFonts w:eastAsia="方正小标宋简体"/>
          <w:sz w:val="36"/>
          <w:szCs w:val="36"/>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775"/>
        <w:gridCol w:w="426"/>
        <w:gridCol w:w="1334"/>
        <w:gridCol w:w="633"/>
        <w:gridCol w:w="4395"/>
        <w:gridCol w:w="3402"/>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blHeader/>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一级指标</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二级指标</w:t>
            </w:r>
          </w:p>
        </w:tc>
        <w:tc>
          <w:tcPr>
            <w:tcW w:w="42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值</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三级指标</w:t>
            </w: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分值</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评价标准</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备注</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评价得分</w:t>
            </w:r>
          </w:p>
          <w:p>
            <w:pPr>
              <w:widowControl/>
              <w:jc w:val="center"/>
              <w:rPr>
                <w:rFonts w:eastAsia="黑体"/>
                <w:bCs/>
                <w:kern w:val="0"/>
                <w:szCs w:val="21"/>
              </w:rPr>
            </w:pPr>
            <w:r>
              <w:rPr>
                <w:rFonts w:eastAsia="黑体"/>
                <w:bCs/>
                <w:kern w:val="0"/>
                <w:szCs w:val="21"/>
              </w:rPr>
              <w:t>（要求列出计算过程和评分依据）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5" w:hRule="atLeast"/>
          <w:jc w:val="center"/>
        </w:trPr>
        <w:tc>
          <w:tcPr>
            <w:tcW w:w="796"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eastAsia="仿宋_GB2312"/>
                <w:kern w:val="0"/>
                <w:szCs w:val="21"/>
              </w:rPr>
            </w:pPr>
            <w:r>
              <w:rPr>
                <w:rFonts w:eastAsia="仿宋_GB2312"/>
                <w:kern w:val="0"/>
                <w:szCs w:val="21"/>
              </w:rPr>
              <w:t>投    入</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目标设定</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8</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绩效目标合理性</w:t>
            </w: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3</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①符合国家法律法规、国民经济和社会发展总体规划，计1分；</w:t>
            </w:r>
          </w:p>
          <w:p>
            <w:pPr>
              <w:widowControl/>
              <w:jc w:val="left"/>
              <w:rPr>
                <w:rFonts w:eastAsia="仿宋_GB2312"/>
                <w:kern w:val="0"/>
                <w:szCs w:val="21"/>
              </w:rPr>
            </w:pPr>
            <w:r>
              <w:rPr>
                <w:rFonts w:eastAsia="仿宋_GB2312"/>
                <w:kern w:val="0"/>
                <w:szCs w:val="21"/>
              </w:rPr>
              <w:t>②符合部门“三定”方案确定的职责，计1分；</w:t>
            </w:r>
          </w:p>
          <w:p>
            <w:pPr>
              <w:widowControl/>
              <w:jc w:val="left"/>
              <w:rPr>
                <w:rFonts w:eastAsia="仿宋_GB2312"/>
                <w:kern w:val="0"/>
                <w:szCs w:val="21"/>
              </w:rPr>
            </w:pPr>
            <w:r>
              <w:rPr>
                <w:rFonts w:eastAsia="仿宋_GB2312"/>
                <w:kern w:val="0"/>
                <w:szCs w:val="21"/>
              </w:rPr>
              <w:t>③符合部门制定的中长期实施规划，计1分。</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Cs w:val="21"/>
              </w:rPr>
            </w:pPr>
            <w:r>
              <w:rPr>
                <w:rFonts w:hint="eastAsia" w:ascii="仿宋" w:hAnsi="仿宋" w:eastAsia="仿宋"/>
                <w:kern w:val="0"/>
                <w:szCs w:val="21"/>
              </w:rPr>
              <w:t>3分单位</w:t>
            </w:r>
            <w:r>
              <w:rPr>
                <w:rFonts w:ascii="仿宋" w:hAnsi="仿宋" w:eastAsia="仿宋"/>
                <w:kern w:val="0"/>
                <w:szCs w:val="21"/>
              </w:rPr>
              <w:t>绩效目标</w:t>
            </w:r>
            <w:r>
              <w:rPr>
                <w:rFonts w:hint="eastAsia" w:ascii="仿宋" w:hAnsi="仿宋" w:eastAsia="仿宋"/>
                <w:kern w:val="0"/>
                <w:szCs w:val="21"/>
              </w:rPr>
              <w:t>符合</w:t>
            </w:r>
            <w:r>
              <w:rPr>
                <w:rFonts w:ascii="仿宋" w:hAnsi="仿宋" w:eastAsia="仿宋"/>
                <w:kern w:val="0"/>
                <w:szCs w:val="21"/>
              </w:rPr>
              <w:t>国家总体归还、符合“</w:t>
            </w:r>
            <w:r>
              <w:rPr>
                <w:rFonts w:hint="eastAsia" w:ascii="仿宋" w:hAnsi="仿宋" w:eastAsia="仿宋"/>
                <w:kern w:val="0"/>
                <w:szCs w:val="21"/>
              </w:rPr>
              <w:t>三</w:t>
            </w:r>
            <w:r>
              <w:rPr>
                <w:rFonts w:ascii="仿宋" w:hAnsi="仿宋" w:eastAsia="仿宋"/>
                <w:kern w:val="0"/>
                <w:szCs w:val="21"/>
              </w:rPr>
              <w:t>定”</w:t>
            </w:r>
            <w:r>
              <w:rPr>
                <w:rFonts w:hint="eastAsia" w:ascii="仿宋" w:hAnsi="仿宋" w:eastAsia="仿宋"/>
                <w:kern w:val="0"/>
                <w:szCs w:val="21"/>
              </w:rPr>
              <w:t>方案</w:t>
            </w:r>
            <w:r>
              <w:rPr>
                <w:rFonts w:ascii="仿宋" w:hAnsi="仿宋" w:eastAsia="仿宋"/>
                <w:kern w:val="0"/>
                <w:szCs w:val="21"/>
              </w:rPr>
              <w:t>确定职责、符合部门中长期规划。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6"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绩效指标明确性</w:t>
            </w: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5</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①将部门整体的绩效目标细化分解为具体的工作任务，计1分；</w:t>
            </w:r>
          </w:p>
          <w:p>
            <w:pPr>
              <w:widowControl/>
              <w:jc w:val="left"/>
              <w:rPr>
                <w:rFonts w:eastAsia="仿宋_GB2312"/>
                <w:kern w:val="0"/>
                <w:szCs w:val="21"/>
              </w:rPr>
            </w:pPr>
            <w:r>
              <w:rPr>
                <w:rFonts w:eastAsia="仿宋_GB2312"/>
                <w:kern w:val="0"/>
                <w:szCs w:val="21"/>
              </w:rPr>
              <w:t>②通过清晰、可衡量的指标值予以体现，计1分；</w:t>
            </w:r>
          </w:p>
          <w:p>
            <w:pPr>
              <w:widowControl/>
              <w:jc w:val="left"/>
              <w:rPr>
                <w:rFonts w:eastAsia="仿宋_GB2312"/>
                <w:kern w:val="0"/>
                <w:szCs w:val="21"/>
              </w:rPr>
            </w:pPr>
            <w:r>
              <w:rPr>
                <w:rFonts w:eastAsia="仿宋_GB2312"/>
                <w:kern w:val="0"/>
                <w:szCs w:val="21"/>
              </w:rPr>
              <w:t>③绩效指标与部门年度的任务数和计划数相对应，计1分；</w:t>
            </w:r>
          </w:p>
          <w:p>
            <w:pPr>
              <w:widowControl/>
              <w:jc w:val="left"/>
              <w:rPr>
                <w:rFonts w:eastAsia="仿宋_GB2312"/>
                <w:kern w:val="0"/>
                <w:szCs w:val="21"/>
              </w:rPr>
            </w:pPr>
            <w:r>
              <w:rPr>
                <w:rFonts w:eastAsia="仿宋_GB2312"/>
                <w:kern w:val="0"/>
                <w:szCs w:val="21"/>
              </w:rPr>
              <w:t>④绩效目标和指标与本年度部门预算资金相匹配，计2分。</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kern w:val="0"/>
                <w:szCs w:val="21"/>
              </w:rPr>
              <w:t>5分</w:t>
            </w:r>
            <w:r>
              <w:rPr>
                <w:rFonts w:hint="eastAsia" w:ascii="仿宋" w:hAnsi="仿宋" w:eastAsia="仿宋" w:cs="仿宋"/>
                <w:kern w:val="0"/>
                <w:szCs w:val="21"/>
              </w:rPr>
              <w:t>单位整体绩效目标细化、具体，指标清晰、量化；</w:t>
            </w:r>
            <w:r>
              <w:rPr>
                <w:rFonts w:ascii="仿宋" w:hAnsi="仿宋" w:eastAsia="仿宋" w:cs="仿宋"/>
                <w:kern w:val="0"/>
                <w:szCs w:val="21"/>
              </w:rPr>
              <w:t>与年度</w:t>
            </w:r>
            <w:r>
              <w:rPr>
                <w:rFonts w:hint="eastAsia" w:ascii="仿宋" w:hAnsi="仿宋" w:eastAsia="仿宋" w:cs="仿宋"/>
                <w:kern w:val="0"/>
                <w:szCs w:val="21"/>
              </w:rPr>
              <w:t>任务</w:t>
            </w:r>
            <w:r>
              <w:rPr>
                <w:rFonts w:ascii="仿宋" w:hAnsi="仿宋" w:eastAsia="仿宋" w:cs="仿宋"/>
                <w:kern w:val="0"/>
                <w:szCs w:val="21"/>
              </w:rPr>
              <w:t>相</w:t>
            </w:r>
            <w:r>
              <w:rPr>
                <w:rFonts w:hint="eastAsia" w:ascii="仿宋" w:hAnsi="仿宋" w:eastAsia="仿宋" w:cs="仿宋"/>
                <w:kern w:val="0"/>
                <w:szCs w:val="21"/>
              </w:rPr>
              <w:t>对应，</w:t>
            </w:r>
            <w:r>
              <w:rPr>
                <w:rFonts w:ascii="仿宋" w:hAnsi="仿宋" w:eastAsia="仿宋" w:cs="仿宋"/>
                <w:kern w:val="0"/>
                <w:szCs w:val="21"/>
              </w:rPr>
              <w:t>与部门预算资金相</w:t>
            </w:r>
            <w:r>
              <w:rPr>
                <w:rFonts w:hint="eastAsia" w:ascii="仿宋" w:hAnsi="仿宋" w:eastAsia="仿宋" w:cs="仿宋"/>
                <w:kern w:val="0"/>
                <w:szCs w:val="21"/>
              </w:rPr>
              <w:t>匹配</w:t>
            </w:r>
            <w:r>
              <w:rPr>
                <w:rFonts w:ascii="仿宋" w:hAnsi="仿宋" w:eastAsia="仿宋" w:cs="仿宋"/>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9"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预算配置</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12</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财政供养人员</w:t>
            </w:r>
            <w:r>
              <w:rPr>
                <w:rFonts w:eastAsia="仿宋_GB2312"/>
                <w:kern w:val="0"/>
                <w:szCs w:val="21"/>
              </w:rPr>
              <w:br w:type="textWrapping"/>
            </w:r>
            <w:r>
              <w:rPr>
                <w:rFonts w:eastAsia="仿宋_GB2312"/>
                <w:kern w:val="0"/>
                <w:szCs w:val="21"/>
              </w:rPr>
              <w:t>控制率</w:t>
            </w: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以100%为标准。在职人员控制率</w:t>
            </w:r>
            <w:r>
              <w:rPr>
                <w:kern w:val="0"/>
                <w:szCs w:val="21"/>
              </w:rPr>
              <w:t>≦</w:t>
            </w:r>
            <w:r>
              <w:rPr>
                <w:rFonts w:eastAsia="仿宋_GB2312"/>
                <w:kern w:val="0"/>
                <w:szCs w:val="21"/>
              </w:rPr>
              <w:t>100%，计4分；每超过一个百分点扣0.4分，扣完为止。</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在职人员控制率=（在职人员数/编制数）×100%，在职人员数：部门（单位）实际在职人数，以财政部门确定的部门决算编制口径为准。</w:t>
            </w:r>
            <w:r>
              <w:rPr>
                <w:rFonts w:eastAsia="仿宋_GB2312"/>
                <w:kern w:val="0"/>
                <w:szCs w:val="21"/>
              </w:rPr>
              <w:br w:type="textWrapping"/>
            </w:r>
            <w:r>
              <w:rPr>
                <w:rFonts w:eastAsia="仿宋_GB2312"/>
                <w:kern w:val="0"/>
                <w:szCs w:val="21"/>
              </w:rPr>
              <w:t>编制数：机构编制部门核定批复的部门（单位）的人员编制数。</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ascii="仿宋" w:hAnsi="仿宋" w:eastAsia="仿宋" w:cs="仿宋"/>
                <w:kern w:val="0"/>
                <w:szCs w:val="21"/>
              </w:rPr>
              <w:t>4分。单位编制63人，实有在职人数5</w:t>
            </w:r>
            <w:r>
              <w:rPr>
                <w:rFonts w:ascii="仿宋" w:hAnsi="仿宋" w:eastAsia="仿宋" w:cs="仿宋"/>
                <w:kern w:val="0"/>
                <w:szCs w:val="21"/>
              </w:rPr>
              <w:t>7</w:t>
            </w:r>
            <w:r>
              <w:rPr>
                <w:rFonts w:hint="eastAsia" w:ascii="仿宋" w:hAnsi="仿宋" w:eastAsia="仿宋" w:cs="仿宋"/>
                <w:kern w:val="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7"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“三公经费”</w:t>
            </w:r>
            <w:r>
              <w:rPr>
                <w:rFonts w:eastAsia="仿宋_GB2312"/>
                <w:kern w:val="0"/>
                <w:szCs w:val="21"/>
              </w:rPr>
              <w:br w:type="textWrapping"/>
            </w:r>
            <w:r>
              <w:rPr>
                <w:rFonts w:eastAsia="仿宋_GB2312"/>
                <w:kern w:val="0"/>
                <w:szCs w:val="21"/>
              </w:rPr>
              <w:t>变动率</w:t>
            </w: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“三公经费”变动率</w:t>
            </w:r>
            <w:r>
              <w:rPr>
                <w:kern w:val="0"/>
                <w:szCs w:val="21"/>
              </w:rPr>
              <w:t>≦</w:t>
            </w:r>
            <w:r>
              <w:rPr>
                <w:rFonts w:eastAsia="仿宋_GB2312"/>
                <w:kern w:val="0"/>
                <w:szCs w:val="21"/>
              </w:rPr>
              <w:t>0,计4分；“三公经费”变动率＞0，每超过一个百分点扣0.4分，扣完为止。</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“三公经费”变动率=[（本年度“三公经费”总额-上年度“三公经费”总额）/上年度“三公经费”总额]×100%。</w:t>
            </w:r>
            <w:r>
              <w:rPr>
                <w:rFonts w:eastAsia="仿宋_GB2312"/>
                <w:kern w:val="0"/>
                <w:szCs w:val="21"/>
              </w:rPr>
              <w:br w:type="textWrapping"/>
            </w:r>
            <w:r>
              <w:rPr>
                <w:rFonts w:eastAsia="仿宋_GB2312"/>
                <w:kern w:val="0"/>
                <w:szCs w:val="21"/>
              </w:rPr>
              <w:t>“三公经费”：指政府部门人员因公出国（境）经费、公务车购置及运行费、公务招待费产生的消费。</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ascii="仿宋" w:hAnsi="仿宋" w:eastAsia="仿宋" w:cs="仿宋"/>
                <w:kern w:val="0"/>
                <w:szCs w:val="21"/>
              </w:rPr>
              <w:t>4分。2020年“三公”经费支出97857元，比2019年</w:t>
            </w:r>
            <w:r>
              <w:rPr>
                <w:rFonts w:ascii="仿宋" w:hAnsi="仿宋" w:eastAsia="仿宋" w:cs="仿宋"/>
                <w:kern w:val="0"/>
                <w:szCs w:val="21"/>
              </w:rPr>
              <w:t>103857</w:t>
            </w:r>
            <w:r>
              <w:rPr>
                <w:rFonts w:hint="eastAsia" w:ascii="仿宋" w:hAnsi="仿宋" w:eastAsia="仿宋" w:cs="仿宋"/>
                <w:kern w:val="0"/>
                <w:szCs w:val="21"/>
              </w:rPr>
              <w:t>元减少6000元，减少5.78%。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9"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重点支出</w:t>
            </w:r>
            <w:r>
              <w:rPr>
                <w:rFonts w:eastAsia="仿宋_GB2312"/>
                <w:kern w:val="0"/>
                <w:szCs w:val="21"/>
              </w:rPr>
              <w:br w:type="textWrapping"/>
            </w:r>
            <w:r>
              <w:rPr>
                <w:rFonts w:eastAsia="仿宋_GB2312"/>
                <w:kern w:val="0"/>
                <w:szCs w:val="21"/>
              </w:rPr>
              <w:t>安排率</w:t>
            </w: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重点支出安排率≥90%，计4分；</w:t>
            </w:r>
            <w:r>
              <w:rPr>
                <w:rFonts w:eastAsia="仿宋_GB2312"/>
                <w:kern w:val="0"/>
                <w:szCs w:val="21"/>
              </w:rPr>
              <w:br w:type="textWrapping"/>
            </w:r>
            <w:r>
              <w:rPr>
                <w:rFonts w:eastAsia="仿宋_GB2312"/>
                <w:kern w:val="0"/>
                <w:szCs w:val="21"/>
              </w:rPr>
              <w:t>80%（含）-90%，计3分；</w:t>
            </w:r>
            <w:r>
              <w:rPr>
                <w:rFonts w:eastAsia="仿宋_GB2312"/>
                <w:kern w:val="0"/>
                <w:szCs w:val="21"/>
              </w:rPr>
              <w:br w:type="textWrapping"/>
            </w:r>
            <w:r>
              <w:rPr>
                <w:rFonts w:eastAsia="仿宋_GB2312"/>
                <w:kern w:val="0"/>
                <w:szCs w:val="21"/>
              </w:rPr>
              <w:t>70%（含）-80%，计2分；</w:t>
            </w:r>
            <w:r>
              <w:rPr>
                <w:rFonts w:eastAsia="仿宋_GB2312"/>
                <w:kern w:val="0"/>
                <w:szCs w:val="21"/>
              </w:rPr>
              <w:br w:type="textWrapping"/>
            </w:r>
            <w:r>
              <w:rPr>
                <w:rFonts w:eastAsia="仿宋_GB2312"/>
                <w:kern w:val="0"/>
                <w:szCs w:val="21"/>
              </w:rPr>
              <w:t>60%（含）-70%，计1分；</w:t>
            </w:r>
            <w:r>
              <w:rPr>
                <w:rFonts w:eastAsia="仿宋_GB2312"/>
                <w:kern w:val="0"/>
                <w:szCs w:val="21"/>
              </w:rPr>
              <w:br w:type="textWrapping"/>
            </w:r>
            <w:r>
              <w:rPr>
                <w:rFonts w:eastAsia="仿宋_GB2312"/>
                <w:kern w:val="0"/>
                <w:szCs w:val="21"/>
              </w:rPr>
              <w:t>低于60%不得分。</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重点支出安排率=（重点项目支出/项目总支出）×100%</w:t>
            </w:r>
            <w:r>
              <w:rPr>
                <w:rFonts w:eastAsia="仿宋_GB2312"/>
                <w:kern w:val="0"/>
                <w:szCs w:val="21"/>
              </w:rPr>
              <w:br w:type="textWrapping"/>
            </w:r>
            <w:r>
              <w:rPr>
                <w:rFonts w:eastAsia="仿宋_GB2312"/>
                <w:kern w:val="0"/>
                <w:szCs w:val="21"/>
              </w:rPr>
              <w:t>重点项目支出：市委、市政府确定的为民办实事和部门重点工程与重点工作支出。</w:t>
            </w:r>
            <w:r>
              <w:rPr>
                <w:rFonts w:eastAsia="仿宋_GB2312"/>
                <w:kern w:val="0"/>
                <w:szCs w:val="21"/>
              </w:rPr>
              <w:br w:type="textWrapping"/>
            </w:r>
            <w:r>
              <w:rPr>
                <w:rFonts w:eastAsia="仿宋_GB2312"/>
                <w:kern w:val="0"/>
                <w:szCs w:val="21"/>
              </w:rPr>
              <w:t>项目总支出：部门（单位）年度预算安排的项目支出总额。</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ascii="仿宋" w:hAnsi="仿宋" w:eastAsia="仿宋" w:cs="仿宋"/>
                <w:kern w:val="0"/>
                <w:szCs w:val="21"/>
              </w:rPr>
              <w:t>4分。2020年项目支出11016188</w:t>
            </w:r>
            <w:r>
              <w:rPr>
                <w:rFonts w:ascii="仿宋" w:hAnsi="仿宋" w:eastAsia="仿宋" w:cs="仿宋"/>
                <w:kern w:val="0"/>
                <w:szCs w:val="21"/>
              </w:rPr>
              <w:t>.28</w:t>
            </w:r>
            <w:r>
              <w:rPr>
                <w:rFonts w:hint="eastAsia" w:ascii="仿宋" w:hAnsi="仿宋" w:eastAsia="仿宋" w:cs="仿宋"/>
                <w:kern w:val="0"/>
                <w:szCs w:val="21"/>
              </w:rPr>
              <w:t>元，其中：重点支出</w:t>
            </w:r>
            <w:r>
              <w:rPr>
                <w:rFonts w:ascii="仿宋" w:hAnsi="仿宋" w:eastAsia="仿宋" w:cs="仿宋"/>
                <w:kern w:val="0"/>
                <w:szCs w:val="21"/>
              </w:rPr>
              <w:t>9933296</w:t>
            </w:r>
            <w:r>
              <w:rPr>
                <w:rFonts w:hint="eastAsia" w:ascii="仿宋" w:hAnsi="仿宋" w:eastAsia="仿宋" w:cs="仿宋"/>
                <w:kern w:val="0"/>
                <w:szCs w:val="21"/>
              </w:rPr>
              <w:t>元，重点支出安排率为</w:t>
            </w:r>
            <w:r>
              <w:rPr>
                <w:rFonts w:ascii="仿宋" w:hAnsi="仿宋" w:eastAsia="仿宋" w:cs="仿宋"/>
                <w:kern w:val="0"/>
                <w:szCs w:val="21"/>
              </w:rPr>
              <w:t>90.17</w:t>
            </w:r>
            <w:r>
              <w:rPr>
                <w:rFonts w:hint="eastAsia" w:ascii="仿宋" w:hAnsi="仿宋" w:eastAsia="仿宋" w:cs="仿宋"/>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3" w:hRule="atLeast"/>
          <w:jc w:val="center"/>
        </w:trPr>
        <w:tc>
          <w:tcPr>
            <w:tcW w:w="796"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eastAsia="仿宋_GB2312"/>
                <w:kern w:val="0"/>
                <w:szCs w:val="21"/>
              </w:rPr>
            </w:pPr>
            <w:r>
              <w:rPr>
                <w:rFonts w:eastAsia="仿宋_GB2312"/>
                <w:kern w:val="0"/>
                <w:szCs w:val="21"/>
              </w:rPr>
              <w:t>过    程</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预算执行</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16</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预算调整率</w:t>
            </w: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预算调整率=0，计4分；</w:t>
            </w:r>
            <w:r>
              <w:rPr>
                <w:rFonts w:eastAsia="仿宋_GB2312"/>
                <w:kern w:val="0"/>
                <w:szCs w:val="21"/>
              </w:rPr>
              <w:br w:type="textWrapping"/>
            </w:r>
            <w:r>
              <w:rPr>
                <w:rFonts w:eastAsia="仿宋_GB2312"/>
                <w:kern w:val="0"/>
                <w:szCs w:val="21"/>
              </w:rPr>
              <w:t>0-10%（含），计3分；</w:t>
            </w:r>
            <w:r>
              <w:rPr>
                <w:rFonts w:eastAsia="仿宋_GB2312"/>
                <w:kern w:val="0"/>
                <w:szCs w:val="21"/>
              </w:rPr>
              <w:br w:type="textWrapping"/>
            </w:r>
            <w:r>
              <w:rPr>
                <w:rFonts w:eastAsia="仿宋_GB2312"/>
                <w:kern w:val="0"/>
                <w:szCs w:val="21"/>
              </w:rPr>
              <w:t>10-20%（含），计2分；</w:t>
            </w:r>
            <w:r>
              <w:rPr>
                <w:rFonts w:eastAsia="仿宋_GB2312"/>
                <w:kern w:val="0"/>
                <w:szCs w:val="21"/>
              </w:rPr>
              <w:br w:type="textWrapping"/>
            </w:r>
            <w:r>
              <w:rPr>
                <w:rFonts w:eastAsia="仿宋_GB2312"/>
                <w:kern w:val="0"/>
                <w:szCs w:val="21"/>
              </w:rPr>
              <w:t>20-30%（含），计1分；</w:t>
            </w:r>
            <w:r>
              <w:rPr>
                <w:rFonts w:eastAsia="仿宋_GB2312"/>
                <w:kern w:val="0"/>
                <w:szCs w:val="21"/>
              </w:rPr>
              <w:br w:type="textWrapping"/>
            </w:r>
            <w:r>
              <w:rPr>
                <w:rFonts w:eastAsia="仿宋_GB2312"/>
                <w:kern w:val="0"/>
                <w:szCs w:val="21"/>
              </w:rPr>
              <w:t>大于30%不得分。</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预算调整率=（预算调整数/预算数）×100%。</w:t>
            </w:r>
            <w:r>
              <w:rPr>
                <w:rFonts w:eastAsia="仿宋_GB2312"/>
                <w:kern w:val="0"/>
                <w:szCs w:val="21"/>
              </w:rPr>
              <w:br w:type="textWrapping"/>
            </w:r>
            <w:r>
              <w:rPr>
                <w:rFonts w:eastAsia="仿宋_GB2312"/>
                <w:kern w:val="0"/>
                <w:szCs w:val="21"/>
              </w:rPr>
              <w:t>预算调整数：部门（单位）在本年度内涉及预算的追加、追减或结构调整的资金总和（因落实国家政策，发生不可抗力、上级部门或本级党委政府临时交办而产生的调整除外）。</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ascii="仿宋" w:hAnsi="仿宋" w:eastAsia="仿宋" w:cs="仿宋"/>
                <w:kern w:val="0"/>
                <w:szCs w:val="21"/>
              </w:rPr>
              <w:t>　0分。2020年财政预算调整数19136864</w:t>
            </w:r>
            <w:r>
              <w:rPr>
                <w:rFonts w:ascii="仿宋" w:hAnsi="仿宋" w:eastAsia="仿宋" w:cs="仿宋"/>
                <w:kern w:val="0"/>
                <w:szCs w:val="21"/>
              </w:rPr>
              <w:t>.25</w:t>
            </w:r>
            <w:r>
              <w:rPr>
                <w:rFonts w:hint="eastAsia" w:ascii="仿宋" w:hAnsi="仿宋" w:eastAsia="仿宋" w:cs="仿宋"/>
                <w:kern w:val="0"/>
                <w:szCs w:val="21"/>
              </w:rPr>
              <w:t>元，比年初预算6555330元，增加</w:t>
            </w:r>
            <w:r>
              <w:rPr>
                <w:rFonts w:ascii="仿宋" w:hAnsi="仿宋" w:eastAsia="仿宋" w:cs="仿宋"/>
                <w:kern w:val="0"/>
                <w:szCs w:val="21"/>
              </w:rPr>
              <w:t>12581534.25</w:t>
            </w:r>
            <w:r>
              <w:rPr>
                <w:rFonts w:hint="eastAsia" w:ascii="仿宋" w:hAnsi="仿宋" w:eastAsia="仿宋" w:cs="仿宋"/>
                <w:kern w:val="0"/>
                <w:szCs w:val="21"/>
              </w:rPr>
              <w:t>元，增长</w:t>
            </w:r>
            <w:r>
              <w:rPr>
                <w:rFonts w:ascii="仿宋" w:hAnsi="仿宋" w:eastAsia="仿宋" w:cs="仿宋"/>
                <w:kern w:val="0"/>
                <w:szCs w:val="21"/>
              </w:rPr>
              <w:t>191.93</w:t>
            </w:r>
            <w:r>
              <w:rPr>
                <w:rFonts w:hint="eastAsia" w:ascii="仿宋" w:hAnsi="仿宋" w:eastAsia="仿宋" w:cs="仿宋"/>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tc>
        <w:tc>
          <w:tcPr>
            <w:tcW w:w="775" w:type="dxa"/>
            <w:vMerge w:val="continue"/>
            <w:tcBorders>
              <w:top w:val="single" w:color="auto" w:sz="4" w:space="0"/>
              <w:left w:val="single" w:color="auto" w:sz="4" w:space="0"/>
              <w:bottom w:val="single" w:color="auto" w:sz="4" w:space="0"/>
              <w:right w:val="single" w:color="auto" w:sz="4" w:space="0"/>
            </w:tcBorders>
            <w:vAlign w:val="center"/>
          </w:tcPr>
          <w:p/>
        </w:tc>
        <w:tc>
          <w:tcPr>
            <w:tcW w:w="426" w:type="dxa"/>
            <w:vMerge w:val="continue"/>
            <w:tcBorders>
              <w:top w:val="single" w:color="auto" w:sz="4" w:space="0"/>
              <w:left w:val="single" w:color="auto" w:sz="4" w:space="0"/>
              <w:bottom w:val="single" w:color="auto" w:sz="4" w:space="0"/>
              <w:right w:val="single" w:color="auto" w:sz="4" w:space="0"/>
            </w:tcBorders>
            <w:vAlign w:val="center"/>
          </w:tc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支出进度</w:t>
            </w: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单位基本支出和业务性专项应按季度使用，项目资金的支出应与实施进度一致。每发现一项资金未按进度支出使用扣0.5分，扣完为止。</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ascii="仿宋" w:hAnsi="仿宋" w:eastAsia="仿宋" w:cs="仿宋"/>
                <w:kern w:val="0"/>
                <w:szCs w:val="21"/>
              </w:rPr>
              <w:t>4分。基本支出按实际发生季度支出，项目资金支出与实施进度一致。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9"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资金结余</w:t>
            </w: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当年无结余，4分；</w:t>
            </w:r>
            <w:r>
              <w:rPr>
                <w:rFonts w:eastAsia="仿宋_GB2312"/>
                <w:kern w:val="0"/>
                <w:szCs w:val="21"/>
              </w:rPr>
              <w:br w:type="textWrapping"/>
            </w:r>
            <w:r>
              <w:rPr>
                <w:rFonts w:eastAsia="仿宋_GB2312"/>
                <w:kern w:val="0"/>
                <w:szCs w:val="21"/>
              </w:rPr>
              <w:t>当年有结余，但不超过上年结转，3分；</w:t>
            </w:r>
            <w:r>
              <w:rPr>
                <w:rFonts w:eastAsia="仿宋_GB2312"/>
                <w:kern w:val="0"/>
                <w:szCs w:val="21"/>
              </w:rPr>
              <w:br w:type="textWrapping"/>
            </w:r>
            <w:r>
              <w:rPr>
                <w:rFonts w:eastAsia="仿宋_GB2312"/>
                <w:kern w:val="0"/>
                <w:szCs w:val="21"/>
              </w:rPr>
              <w:t>当年结余超过上年结转，不得分。</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ascii="仿宋" w:hAnsi="仿宋" w:eastAsia="仿宋" w:cs="仿宋"/>
                <w:kern w:val="0"/>
                <w:szCs w:val="21"/>
              </w:rPr>
              <w:t>4分。年末无结余。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“三公经费”</w:t>
            </w:r>
            <w:r>
              <w:rPr>
                <w:rFonts w:eastAsia="仿宋_GB2312"/>
                <w:kern w:val="0"/>
                <w:szCs w:val="21"/>
              </w:rPr>
              <w:br w:type="textWrapping"/>
            </w:r>
            <w:r>
              <w:rPr>
                <w:rFonts w:eastAsia="仿宋_GB2312"/>
                <w:kern w:val="0"/>
                <w:szCs w:val="21"/>
              </w:rPr>
              <w:t>控制率</w:t>
            </w: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以100%为标准。三公经费控制率</w:t>
            </w:r>
            <w:r>
              <w:rPr>
                <w:kern w:val="0"/>
                <w:szCs w:val="21"/>
              </w:rPr>
              <w:t>≦</w:t>
            </w:r>
            <w:r>
              <w:rPr>
                <w:rFonts w:eastAsia="仿宋_GB2312"/>
                <w:kern w:val="0"/>
                <w:szCs w:val="21"/>
              </w:rPr>
              <w:t>100%，计4分；每超过一个百分点扣1分，扣完为止。</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“三公经费”控制率=（“三公经费”实际支出数/“三公经费”预算安排数）×100%。</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ascii="仿宋" w:hAnsi="仿宋" w:eastAsia="仿宋" w:cs="仿宋"/>
                <w:kern w:val="0"/>
                <w:szCs w:val="21"/>
              </w:rPr>
              <w:t>4分。2020年“三公”经费支出97857元，年初预算97857元，“三公经费控制率为”100%。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jc w:val="center"/>
        </w:trPr>
        <w:tc>
          <w:tcPr>
            <w:tcW w:w="796"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eastAsia="仿宋_GB2312"/>
                <w:kern w:val="0"/>
                <w:szCs w:val="21"/>
              </w:rPr>
            </w:pPr>
            <w:r>
              <w:rPr>
                <w:rFonts w:eastAsia="仿宋_GB2312"/>
                <w:kern w:val="0"/>
                <w:szCs w:val="21"/>
              </w:rPr>
              <w:t>过      程</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预算管理</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16</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管理制度</w:t>
            </w:r>
            <w:r>
              <w:rPr>
                <w:rFonts w:eastAsia="仿宋_GB2312"/>
                <w:kern w:val="0"/>
                <w:szCs w:val="21"/>
              </w:rPr>
              <w:br w:type="textWrapping"/>
            </w:r>
            <w:r>
              <w:rPr>
                <w:rFonts w:eastAsia="仿宋_GB2312"/>
                <w:kern w:val="0"/>
                <w:szCs w:val="21"/>
              </w:rPr>
              <w:t>健全性</w:t>
            </w: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6</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①已制定或具有预算资金管理办法，内部财务管理制度、会计核算制度等管理制度，2分；</w:t>
            </w:r>
            <w:r>
              <w:rPr>
                <w:rFonts w:eastAsia="仿宋_GB2312"/>
                <w:kern w:val="0"/>
                <w:szCs w:val="21"/>
              </w:rPr>
              <w:br w:type="textWrapping"/>
            </w:r>
            <w:r>
              <w:rPr>
                <w:rFonts w:eastAsia="仿宋_GB2312"/>
                <w:kern w:val="0"/>
                <w:szCs w:val="21"/>
              </w:rPr>
              <w:t>②相关管理制度合法、合规、完整，2分；</w:t>
            </w:r>
            <w:r>
              <w:rPr>
                <w:rFonts w:eastAsia="仿宋_GB2312"/>
                <w:kern w:val="0"/>
                <w:szCs w:val="21"/>
              </w:rPr>
              <w:br w:type="textWrapping"/>
            </w:r>
            <w:r>
              <w:rPr>
                <w:rFonts w:eastAsia="仿宋_GB2312"/>
                <w:kern w:val="0"/>
                <w:szCs w:val="21"/>
              </w:rPr>
              <w:t>③相关管理制度得到有效执行，2分。</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ascii="仿宋" w:hAnsi="仿宋" w:eastAsia="仿宋" w:cs="仿宋"/>
                <w:kern w:val="0"/>
                <w:szCs w:val="21"/>
              </w:rPr>
              <w:t>6分。单位按要求制定了相关管理制度、办法，并有效执行。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0"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资金使用</w:t>
            </w:r>
            <w:r>
              <w:rPr>
                <w:rFonts w:eastAsia="仿宋_GB2312"/>
                <w:kern w:val="0"/>
                <w:szCs w:val="21"/>
              </w:rPr>
              <w:br w:type="textWrapping"/>
            </w:r>
            <w:r>
              <w:rPr>
                <w:rFonts w:eastAsia="仿宋_GB2312"/>
                <w:kern w:val="0"/>
                <w:szCs w:val="21"/>
              </w:rPr>
              <w:t>合规性</w:t>
            </w: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5</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①支出符合国家财经法规和财务管理制度规定以及有关专项资金管理办法的规定；</w:t>
            </w:r>
            <w:r>
              <w:rPr>
                <w:rFonts w:eastAsia="仿宋_GB2312"/>
                <w:kern w:val="0"/>
                <w:szCs w:val="21"/>
              </w:rPr>
              <w:br w:type="textWrapping"/>
            </w:r>
            <w:r>
              <w:rPr>
                <w:rFonts w:eastAsia="仿宋_GB2312"/>
                <w:kern w:val="0"/>
                <w:szCs w:val="21"/>
              </w:rPr>
              <w:t>②资金拨付有完整的审批程序和手续；</w:t>
            </w:r>
            <w:r>
              <w:rPr>
                <w:rFonts w:eastAsia="仿宋_GB2312"/>
                <w:kern w:val="0"/>
                <w:szCs w:val="21"/>
              </w:rPr>
              <w:br w:type="textWrapping"/>
            </w:r>
            <w:r>
              <w:rPr>
                <w:rFonts w:eastAsia="仿宋_GB2312"/>
                <w:kern w:val="0"/>
                <w:szCs w:val="21"/>
              </w:rPr>
              <w:t>③项目支出符合政府采购及基建预决算评审相关要求；</w:t>
            </w:r>
            <w:r>
              <w:rPr>
                <w:rFonts w:eastAsia="仿宋_GB2312"/>
                <w:kern w:val="0"/>
                <w:szCs w:val="21"/>
              </w:rPr>
              <w:br w:type="textWrapping"/>
            </w:r>
            <w:r>
              <w:rPr>
                <w:rFonts w:eastAsia="仿宋_GB2312"/>
                <w:kern w:val="0"/>
                <w:szCs w:val="21"/>
              </w:rPr>
              <w:t>④支出符合部门预算批复的用途；</w:t>
            </w:r>
            <w:r>
              <w:rPr>
                <w:rFonts w:eastAsia="仿宋_GB2312"/>
                <w:kern w:val="0"/>
                <w:szCs w:val="21"/>
              </w:rPr>
              <w:br w:type="textWrapping"/>
            </w:r>
            <w:r>
              <w:rPr>
                <w:rFonts w:eastAsia="仿宋_GB2312"/>
                <w:kern w:val="0"/>
                <w:szCs w:val="21"/>
              </w:rPr>
              <w:t>⑤资金使用无截留、挤占、挪用、虚列支出等情况。</w:t>
            </w:r>
            <w:r>
              <w:rPr>
                <w:rFonts w:eastAsia="仿宋_GB2312"/>
                <w:kern w:val="0"/>
                <w:szCs w:val="21"/>
              </w:rPr>
              <w:br w:type="textWrapping"/>
            </w:r>
            <w:r>
              <w:rPr>
                <w:rFonts w:eastAsia="仿宋_GB2312"/>
                <w:kern w:val="0"/>
                <w:szCs w:val="21"/>
              </w:rPr>
              <w:t>以上情况每出现一例不符合要求的扣1分，扣完为止。</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部门（单位）使用预算资金是否符合相关的预算财务管理制度的规定，用以反映和考核部门（单位）预算资金的规范运行情况。</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ascii="仿宋" w:hAnsi="仿宋" w:eastAsia="仿宋" w:cs="仿宋"/>
                <w:kern w:val="0"/>
                <w:szCs w:val="21"/>
              </w:rPr>
              <w:t>　5分。单位支出符合国家相关规定，程序和手续齐全，符合财政批复用途，无违规支出现象。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3"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预决算信息公开性和完善性</w:t>
            </w: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5</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①按规定内容公开预决算信息，1分；</w:t>
            </w:r>
            <w:r>
              <w:rPr>
                <w:rFonts w:eastAsia="仿宋_GB2312"/>
                <w:kern w:val="0"/>
                <w:szCs w:val="21"/>
              </w:rPr>
              <w:br w:type="textWrapping"/>
            </w:r>
            <w:r>
              <w:rPr>
                <w:rFonts w:eastAsia="仿宋_GB2312"/>
                <w:kern w:val="0"/>
                <w:szCs w:val="21"/>
              </w:rPr>
              <w:t>②按规定时限公开预决算信息，1分；</w:t>
            </w:r>
            <w:r>
              <w:rPr>
                <w:rFonts w:eastAsia="仿宋_GB2312"/>
                <w:kern w:val="0"/>
                <w:szCs w:val="21"/>
              </w:rPr>
              <w:br w:type="textWrapping"/>
            </w:r>
            <w:r>
              <w:rPr>
                <w:rFonts w:eastAsia="仿宋_GB2312"/>
                <w:kern w:val="0"/>
                <w:szCs w:val="21"/>
              </w:rPr>
              <w:t>③基础数据信息和会计信息资料真实，1分；</w:t>
            </w:r>
            <w:r>
              <w:rPr>
                <w:rFonts w:eastAsia="仿宋_GB2312"/>
                <w:kern w:val="0"/>
                <w:szCs w:val="21"/>
              </w:rPr>
              <w:br w:type="textWrapping"/>
            </w:r>
            <w:r>
              <w:rPr>
                <w:rFonts w:eastAsia="仿宋_GB2312"/>
                <w:kern w:val="0"/>
                <w:szCs w:val="21"/>
              </w:rPr>
              <w:t>④基础数据信息和会计信息资料完整，1分；</w:t>
            </w:r>
            <w:r>
              <w:rPr>
                <w:rFonts w:eastAsia="仿宋_GB2312"/>
                <w:kern w:val="0"/>
                <w:szCs w:val="21"/>
              </w:rPr>
              <w:br w:type="textWrapping"/>
            </w:r>
            <w:r>
              <w:rPr>
                <w:rFonts w:eastAsia="仿宋_GB2312"/>
                <w:kern w:val="0"/>
                <w:szCs w:val="21"/>
              </w:rPr>
              <w:t xml:space="preserve">⑤基础数据信息和汇集信息资料准确，1分。                                            </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预决算信息是指与部门预算、执行、决算、监督、绩效等管理相关的信息。                                            </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ascii="仿宋" w:hAnsi="仿宋" w:eastAsia="仿宋" w:cs="仿宋"/>
                <w:kern w:val="0"/>
                <w:szCs w:val="21"/>
              </w:rPr>
              <w:t>5分。按财政要求进行预决算公开。基础数据信息和会计信息资料真实、完整、准确。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7"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资产管理</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12</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管理制度</w:t>
            </w:r>
            <w:r>
              <w:rPr>
                <w:rFonts w:eastAsia="仿宋_GB2312"/>
                <w:kern w:val="0"/>
                <w:szCs w:val="21"/>
              </w:rPr>
              <w:br w:type="textWrapping"/>
            </w:r>
            <w:r>
              <w:rPr>
                <w:rFonts w:eastAsia="仿宋_GB2312"/>
                <w:kern w:val="0"/>
                <w:szCs w:val="21"/>
              </w:rPr>
              <w:t>健全性</w:t>
            </w: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①已制定或具有资产管理制度，1分；</w:t>
            </w:r>
            <w:r>
              <w:rPr>
                <w:rFonts w:eastAsia="仿宋_GB2312"/>
                <w:kern w:val="0"/>
                <w:szCs w:val="21"/>
              </w:rPr>
              <w:br w:type="textWrapping"/>
            </w:r>
            <w:r>
              <w:rPr>
                <w:rFonts w:eastAsia="仿宋_GB2312"/>
                <w:kern w:val="0"/>
                <w:szCs w:val="21"/>
              </w:rPr>
              <w:t>②相关资产管理制度合法、合规、完整，1分；</w:t>
            </w:r>
            <w:r>
              <w:rPr>
                <w:rFonts w:eastAsia="仿宋_GB2312"/>
                <w:kern w:val="0"/>
                <w:szCs w:val="21"/>
              </w:rPr>
              <w:br w:type="textWrapping"/>
            </w:r>
            <w:r>
              <w:rPr>
                <w:rFonts w:eastAsia="仿宋_GB2312"/>
                <w:kern w:val="0"/>
                <w:szCs w:val="21"/>
              </w:rPr>
              <w:t xml:space="preserve">③相关资产管理制度得到有效执行，2分。                                           </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部门（单位）为加强资产管理，规范资产管理行为而制定的管理制度是否健全完整、用以反映和考核部门（单位）资产管理制度对完成主要职责或促进社会发展的保障情况</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ascii="仿宋" w:hAnsi="仿宋" w:eastAsia="仿宋" w:cs="仿宋"/>
                <w:kern w:val="0"/>
                <w:szCs w:val="21"/>
              </w:rPr>
              <w:t>4分。单位制定了资产管理制度，并按严格按照制度执行。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5"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资产管理</w:t>
            </w:r>
            <w:r>
              <w:rPr>
                <w:rFonts w:eastAsia="仿宋_GB2312"/>
                <w:kern w:val="0"/>
                <w:szCs w:val="21"/>
              </w:rPr>
              <w:br w:type="textWrapping"/>
            </w:r>
            <w:r>
              <w:rPr>
                <w:rFonts w:eastAsia="仿宋_GB2312"/>
                <w:kern w:val="0"/>
                <w:szCs w:val="21"/>
              </w:rPr>
              <w:t>安全性</w:t>
            </w: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5</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①资产保存完整；</w:t>
            </w:r>
            <w:r>
              <w:rPr>
                <w:rFonts w:eastAsia="仿宋_GB2312"/>
                <w:kern w:val="0"/>
                <w:szCs w:val="21"/>
              </w:rPr>
              <w:br w:type="textWrapping"/>
            </w:r>
            <w:r>
              <w:rPr>
                <w:rFonts w:eastAsia="仿宋_GB2312"/>
                <w:kern w:val="0"/>
                <w:szCs w:val="21"/>
              </w:rPr>
              <w:t>②资产配置合理；</w:t>
            </w:r>
            <w:r>
              <w:rPr>
                <w:rFonts w:eastAsia="仿宋_GB2312"/>
                <w:kern w:val="0"/>
                <w:szCs w:val="21"/>
              </w:rPr>
              <w:br w:type="textWrapping"/>
            </w:r>
            <w:r>
              <w:rPr>
                <w:rFonts w:eastAsia="仿宋_GB2312"/>
                <w:kern w:val="0"/>
                <w:szCs w:val="21"/>
              </w:rPr>
              <w:t xml:space="preserve">③资产处置规范； </w:t>
            </w:r>
            <w:r>
              <w:rPr>
                <w:rFonts w:eastAsia="仿宋_GB2312"/>
                <w:kern w:val="0"/>
                <w:szCs w:val="21"/>
              </w:rPr>
              <w:br w:type="textWrapping"/>
            </w:r>
            <w:r>
              <w:rPr>
                <w:rFonts w:eastAsia="仿宋_GB2312"/>
                <w:kern w:val="0"/>
                <w:szCs w:val="21"/>
              </w:rPr>
              <w:t>④资产账务管理合规，帐实相符；</w:t>
            </w:r>
            <w:r>
              <w:rPr>
                <w:rFonts w:eastAsia="仿宋_GB2312"/>
                <w:kern w:val="0"/>
                <w:szCs w:val="21"/>
              </w:rPr>
              <w:br w:type="textWrapping"/>
            </w:r>
            <w:r>
              <w:rPr>
                <w:rFonts w:eastAsia="仿宋_GB2312"/>
                <w:kern w:val="0"/>
                <w:szCs w:val="21"/>
              </w:rPr>
              <w:t>⑤资产有偿使用及处置收入及时足额上缴；</w:t>
            </w:r>
            <w:r>
              <w:rPr>
                <w:rFonts w:eastAsia="仿宋_GB2312"/>
                <w:kern w:val="0"/>
                <w:szCs w:val="21"/>
              </w:rPr>
              <w:br w:type="textWrapping"/>
            </w:r>
            <w:r>
              <w:rPr>
                <w:rFonts w:eastAsia="仿宋_GB2312"/>
                <w:kern w:val="0"/>
                <w:szCs w:val="21"/>
              </w:rPr>
              <w:t>以上情况每出现一例不符合有关要求的扣1分，扣完为止。</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部门（单位）的资产是否保存完整、使用合规、配置合理、处置规范、收入及时足额上缴，用以反映和考核部门（单位）资产安全运行情况</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ascii="仿宋" w:hAnsi="仿宋" w:eastAsia="仿宋" w:cs="仿宋"/>
                <w:kern w:val="0"/>
                <w:szCs w:val="21"/>
              </w:rPr>
              <w:t>5分。单位资产保存完整、配置合理，资产账务管理规范，资产</w:t>
            </w:r>
            <w:r>
              <w:rPr>
                <w:rFonts w:ascii="仿宋" w:hAnsi="仿宋" w:eastAsia="仿宋" w:cs="仿宋"/>
                <w:kern w:val="0"/>
                <w:szCs w:val="21"/>
              </w:rPr>
              <w:t>出租收入及时足额上缴</w:t>
            </w:r>
            <w:r>
              <w:rPr>
                <w:rFonts w:hint="eastAsia" w:ascii="仿宋" w:hAnsi="仿宋" w:eastAsia="仿宋" w:cs="仿宋"/>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固定资产</w:t>
            </w:r>
            <w:r>
              <w:rPr>
                <w:rFonts w:eastAsia="仿宋_GB2312"/>
                <w:kern w:val="0"/>
                <w:szCs w:val="21"/>
              </w:rPr>
              <w:br w:type="textWrapping"/>
            </w:r>
            <w:r>
              <w:rPr>
                <w:rFonts w:eastAsia="仿宋_GB2312"/>
                <w:kern w:val="0"/>
                <w:szCs w:val="21"/>
              </w:rPr>
              <w:t>利用率</w:t>
            </w: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3</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每低于100%一个百分点扣0.2分，扣完为止。</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固定资产利用率=（实际在用固定资产总额/所有固定资产总额）×100%</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ascii="仿宋" w:hAnsi="仿宋" w:eastAsia="仿宋" w:cs="仿宋"/>
                <w:kern w:val="0"/>
                <w:szCs w:val="21"/>
              </w:rPr>
              <w:t>2.8分。单位固定资产尚有</w:t>
            </w:r>
            <w:r>
              <w:rPr>
                <w:rFonts w:ascii="仿宋" w:hAnsi="仿宋" w:eastAsia="仿宋" w:cs="仿宋"/>
                <w:kern w:val="0"/>
                <w:szCs w:val="21"/>
              </w:rPr>
              <w:t>一个仓库</w:t>
            </w:r>
            <w:r>
              <w:rPr>
                <w:rFonts w:hint="eastAsia" w:ascii="仿宋" w:hAnsi="仿宋" w:eastAsia="仿宋" w:cs="仿宋"/>
                <w:kern w:val="0"/>
                <w:szCs w:val="21"/>
              </w:rPr>
              <w:t>未</w:t>
            </w:r>
            <w:r>
              <w:rPr>
                <w:rFonts w:ascii="仿宋" w:hAnsi="仿宋" w:eastAsia="仿宋" w:cs="仿宋"/>
                <w:kern w:val="0"/>
                <w:szCs w:val="21"/>
              </w:rPr>
              <w:t>使用</w:t>
            </w:r>
            <w:r>
              <w:rPr>
                <w:rFonts w:hint="eastAsia" w:ascii="仿宋" w:hAnsi="仿宋" w:eastAsia="仿宋" w:cs="仿宋"/>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4" w:hRule="atLeast"/>
          <w:jc w:val="center"/>
        </w:trPr>
        <w:tc>
          <w:tcPr>
            <w:tcW w:w="796"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eastAsia="仿宋_GB2312"/>
                <w:kern w:val="0"/>
                <w:szCs w:val="21"/>
              </w:rPr>
            </w:pPr>
            <w:r>
              <w:rPr>
                <w:rFonts w:eastAsia="仿宋_GB2312"/>
                <w:kern w:val="0"/>
                <w:szCs w:val="21"/>
              </w:rPr>
              <w:t>产   出</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职责 履行</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16</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重点工作实际完成率</w:t>
            </w: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10</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①（重点工作完成件数/重点工作计划件数）*6</w:t>
            </w:r>
          </w:p>
          <w:p>
            <w:pPr>
              <w:widowControl/>
              <w:jc w:val="left"/>
              <w:rPr>
                <w:rFonts w:eastAsia="仿宋_GB2312"/>
                <w:kern w:val="0"/>
                <w:szCs w:val="21"/>
              </w:rPr>
            </w:pPr>
            <w:r>
              <w:rPr>
                <w:rFonts w:eastAsia="仿宋_GB2312"/>
                <w:kern w:val="0"/>
                <w:szCs w:val="21"/>
              </w:rPr>
              <w:t>②根据绩效办2013年对各部门为民办实事和部门重点工程与重点工作考核分数折算。</w:t>
            </w:r>
            <w:r>
              <w:rPr>
                <w:rFonts w:eastAsia="仿宋_GB2312"/>
                <w:kern w:val="0"/>
                <w:szCs w:val="21"/>
              </w:rPr>
              <w:br w:type="textWrapping"/>
            </w:r>
            <w:r>
              <w:rPr>
                <w:rFonts w:eastAsia="仿宋_GB2312"/>
                <w:kern w:val="0"/>
                <w:szCs w:val="21"/>
              </w:rPr>
              <w:t>该项得分=（绩效办考核得分/总分）*4</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①+②为此项指标考评得分</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ascii="仿宋" w:hAnsi="仿宋" w:eastAsia="仿宋" w:cs="仿宋"/>
                <w:kern w:val="0"/>
                <w:szCs w:val="21"/>
              </w:rPr>
              <w:t>10分。重点工作按计划全部完成；为民办实事事项按要求落实到位。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2"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重点工作质量达标率</w:t>
            </w: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6</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质量达标率达到100%，计6分；</w:t>
            </w:r>
            <w:r>
              <w:rPr>
                <w:rFonts w:eastAsia="仿宋_GB2312"/>
                <w:kern w:val="0"/>
                <w:szCs w:val="21"/>
              </w:rPr>
              <w:br w:type="textWrapping"/>
            </w:r>
            <w:r>
              <w:rPr>
                <w:rFonts w:eastAsia="仿宋_GB2312"/>
                <w:kern w:val="0"/>
                <w:szCs w:val="21"/>
              </w:rPr>
              <w:t>每低于100%一个百分点扣0.5分，扣完为止。</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质量达标率=（质量达标实际工作数/计划工作数）×100%</w:t>
            </w:r>
            <w:r>
              <w:rPr>
                <w:rFonts w:eastAsia="仿宋_GB2312"/>
                <w:kern w:val="0"/>
                <w:szCs w:val="21"/>
              </w:rPr>
              <w:br w:type="textWrapping"/>
            </w:r>
            <w:r>
              <w:rPr>
                <w:rFonts w:eastAsia="仿宋_GB2312"/>
                <w:kern w:val="0"/>
                <w:szCs w:val="21"/>
              </w:rPr>
              <w:t>质量达标实际工作数：2013年部门（单位）实际完成为民办实事和部门重点工程与重点工作数中，质量达到绩效标准值的工作任务数量。</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ascii="仿宋" w:hAnsi="仿宋" w:eastAsia="仿宋" w:cs="仿宋"/>
                <w:kern w:val="0"/>
                <w:szCs w:val="21"/>
              </w:rPr>
              <w:t>6分。重点工作和为民办实事事项按要求全部完成。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796"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eastAsia="仿宋_GB2312"/>
                <w:kern w:val="0"/>
                <w:szCs w:val="21"/>
              </w:rPr>
            </w:pPr>
            <w:r>
              <w:rPr>
                <w:rFonts w:eastAsia="仿宋_GB2312"/>
                <w:kern w:val="0"/>
                <w:szCs w:val="21"/>
              </w:rPr>
              <w:t>效  果</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履职 效益</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20</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经济效益</w:t>
            </w: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395"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此三项指标为设置部门整体支出绩效评价指标时必须考虑的共性要素，可根据部门实际并结合部门整体支出绩效目标设立情况有选择的进行设置，并将其细化为相应的个性化指标。建议部门（单位）根据2013年专项资金绩效目标，汇总提炼部门整体支出绩效评价指标。</w:t>
            </w:r>
          </w:p>
        </w:tc>
        <w:tc>
          <w:tcPr>
            <w:tcW w:w="3402"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21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rFonts w:hint="eastAsia" w:ascii="仿宋" w:hAnsi="仿宋" w:eastAsia="仿宋" w:cs="仿宋"/>
                <w:kern w:val="0"/>
                <w:szCs w:val="21"/>
              </w:rPr>
              <w:t>12分。整体绩效目标完成预设目标。</w:t>
            </w:r>
            <w:r>
              <w:rPr>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社会效益</w:t>
            </w: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39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3402"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生态效益</w:t>
            </w: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39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3402"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社会公众或服务对象满意度</w:t>
            </w: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8</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抽取服务对象和社会公众各10名进行问卷调查，调查问卷共计得分/1000分*8。</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社会公众或服务对象是指部门（单位）履行职责而影响到的部门，群体或个人，一般采取社会调查的方式。</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ascii="仿宋" w:hAnsi="仿宋" w:eastAsia="仿宋" w:cs="仿宋"/>
                <w:kern w:val="0"/>
                <w:szCs w:val="21"/>
              </w:rPr>
              <w:t>7.36分。调查问卷得分900分。900/1000*8＝7.2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99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合   计</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100</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340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ind w:firstLine="735" w:firstLineChars="350"/>
              <w:jc w:val="both"/>
              <w:rPr>
                <w:kern w:val="0"/>
                <w:szCs w:val="21"/>
              </w:rPr>
            </w:pPr>
            <w:bookmarkStart w:id="1" w:name="_GoBack"/>
            <w:bookmarkEnd w:id="1"/>
            <w:r>
              <w:rPr>
                <w:rFonts w:hint="eastAsia"/>
                <w:kern w:val="0"/>
                <w:szCs w:val="21"/>
              </w:rPr>
              <w:t>95</w:t>
            </w:r>
          </w:p>
        </w:tc>
      </w:tr>
    </w:tbl>
    <w:p>
      <w:pPr>
        <w:sectPr>
          <w:pgSz w:w="16838" w:h="11906" w:orient="landscape"/>
          <w:pgMar w:top="1797" w:right="1440" w:bottom="1797" w:left="1440" w:header="851" w:footer="992" w:gutter="0"/>
          <w:pgNumType w:fmt="numberInDash"/>
          <w:cols w:space="720" w:num="1"/>
          <w:docGrid w:type="lines" w:linePitch="312" w:charSpace="0"/>
        </w:sectPr>
      </w:pPr>
    </w:p>
    <w:p>
      <w:pPr>
        <w:spacing w:line="560" w:lineRule="exact"/>
        <w:rPr>
          <w:rFonts w:hint="eastAsia" w:eastAsia="黑体"/>
          <w:sz w:val="30"/>
          <w:szCs w:val="30"/>
        </w:rPr>
      </w:pPr>
      <w:r>
        <w:rPr>
          <w:rFonts w:eastAsia="黑体"/>
          <w:kern w:val="0"/>
          <w:sz w:val="30"/>
          <w:szCs w:val="30"/>
        </w:rPr>
        <w:t>附件</w:t>
      </w:r>
      <w:r>
        <w:rPr>
          <w:rFonts w:hint="eastAsia" w:eastAsia="黑体"/>
          <w:kern w:val="0"/>
          <w:sz w:val="30"/>
          <w:szCs w:val="30"/>
        </w:rPr>
        <w:t>5</w:t>
      </w:r>
    </w:p>
    <w:p>
      <w:pPr>
        <w:spacing w:line="560" w:lineRule="exact"/>
        <w:jc w:val="center"/>
        <w:rPr>
          <w:rFonts w:eastAsia="方正小标宋简体"/>
          <w:bCs/>
          <w:sz w:val="36"/>
          <w:szCs w:val="36"/>
        </w:rPr>
      </w:pPr>
      <w:r>
        <w:rPr>
          <w:rFonts w:eastAsia="方正小标宋简体"/>
          <w:bCs/>
          <w:sz w:val="36"/>
          <w:szCs w:val="36"/>
        </w:rPr>
        <w:t>公众或服务对象满意度调查问卷</w:t>
      </w:r>
    </w:p>
    <w:p>
      <w:pPr>
        <w:spacing w:line="560" w:lineRule="exact"/>
        <w:jc w:val="left"/>
        <w:rPr>
          <w:rFonts w:eastAsia="仿宋_GB2312"/>
          <w:sz w:val="24"/>
        </w:rPr>
      </w:pPr>
    </w:p>
    <w:p>
      <w:pPr>
        <w:spacing w:line="560" w:lineRule="exact"/>
        <w:jc w:val="left"/>
        <w:rPr>
          <w:rFonts w:eastAsia="仿宋_GB2312"/>
          <w:sz w:val="24"/>
        </w:rPr>
      </w:pPr>
      <w:r>
        <w:rPr>
          <w:rFonts w:eastAsia="仿宋_GB2312"/>
          <w:sz w:val="24"/>
        </w:rPr>
        <w:t>问卷编号：No.________调查时间：___________调查地点：___________</w:t>
      </w:r>
    </w:p>
    <w:p>
      <w:pPr>
        <w:spacing w:line="560" w:lineRule="exact"/>
        <w:jc w:val="left"/>
        <w:rPr>
          <w:rFonts w:eastAsia="仿宋_GB2312"/>
          <w:sz w:val="24"/>
        </w:rPr>
      </w:pPr>
      <w:r>
        <w:rPr>
          <w:rFonts w:eastAsia="仿宋_GB2312"/>
          <w:sz w:val="24"/>
        </w:rPr>
        <w:t>调查人员：___________调查对象：___________性    别：___________</w:t>
      </w:r>
    </w:p>
    <w:p>
      <w:pPr>
        <w:spacing w:line="560" w:lineRule="exact"/>
        <w:jc w:val="left"/>
        <w:rPr>
          <w:rFonts w:eastAsia="仿宋_GB2312"/>
          <w:sz w:val="24"/>
        </w:rPr>
      </w:pPr>
      <w:r>
        <w:rPr>
          <w:rFonts w:eastAsia="仿宋_GB2312"/>
          <w:sz w:val="24"/>
        </w:rPr>
        <w:t>授权单位：炎陵县财政局绩效</w:t>
      </w:r>
      <w:r>
        <w:rPr>
          <w:rFonts w:hint="eastAsia" w:eastAsia="仿宋_GB2312"/>
          <w:sz w:val="24"/>
        </w:rPr>
        <w:t>管理</w:t>
      </w:r>
      <w:r>
        <w:rPr>
          <w:rFonts w:eastAsia="仿宋_GB2312"/>
          <w:sz w:val="24"/>
        </w:rPr>
        <w:t>股</w:t>
      </w:r>
    </w:p>
    <w:p>
      <w:pPr>
        <w:spacing w:line="560" w:lineRule="exact"/>
        <w:jc w:val="left"/>
        <w:rPr>
          <w:rFonts w:eastAsia="仿宋_GB2312"/>
          <w:sz w:val="24"/>
        </w:rPr>
      </w:pPr>
      <w:r>
        <w:rPr>
          <w:rFonts w:eastAsia="仿宋_GB2312"/>
          <w:sz w:val="24"/>
        </w:rPr>
        <w:t>您好！我们是炎陵县财政局绩效</w:t>
      </w:r>
      <w:r>
        <w:rPr>
          <w:rFonts w:hint="eastAsia" w:eastAsia="仿宋_GB2312"/>
          <w:sz w:val="24"/>
        </w:rPr>
        <w:t>管理</w:t>
      </w:r>
      <w:r>
        <w:rPr>
          <w:rFonts w:eastAsia="仿宋_GB2312"/>
          <w:sz w:val="24"/>
        </w:rPr>
        <w:t>股安排的调查员。为做好财政资金绩效评价，了解社会公众对部门工作的满意度，我们设计了问卷调查。请您选择合适的答案填写。您的所填问卷将是匿名的，对于您的问卷内容我们将严格予以保密，您所提供的意见仅用于统计分析，谢谢您的合作！</w:t>
      </w:r>
    </w:p>
    <w:p>
      <w:pPr>
        <w:spacing w:line="560" w:lineRule="exact"/>
        <w:jc w:val="left"/>
        <w:rPr>
          <w:rFonts w:eastAsia="仿宋_GB2312"/>
          <w:sz w:val="24"/>
        </w:rPr>
      </w:pPr>
      <w:r>
        <w:rPr>
          <w:rFonts w:eastAsia="仿宋_GB2312"/>
          <w:sz w:val="24"/>
        </w:rPr>
        <w:t>Q1.您对该部门工作现状的总体评价是：</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ind w:left="360" w:hanging="360"/>
        <w:jc w:val="left"/>
        <w:rPr>
          <w:rFonts w:eastAsia="仿宋_GB2312"/>
          <w:sz w:val="24"/>
        </w:rPr>
      </w:pPr>
      <w:r>
        <w:rPr>
          <w:rFonts w:eastAsia="仿宋_GB2312"/>
          <w:sz w:val="24"/>
        </w:rPr>
        <w:t>Q2.您认为该部门深入基层调查研究，倾听群众意见，掌握真实、准确情况方面做得如何：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Q3.您认为该部门在解决群众反映强烈的热点、难点、焦点问题方面做得如何：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Q4.您对该部门支出项目在促进社会经济发展、提高人民生活水平方面的满意度</w:t>
      </w:r>
    </w:p>
    <w:p>
      <w:pPr>
        <w:spacing w:line="560" w:lineRule="exact"/>
        <w:jc w:val="left"/>
        <w:rPr>
          <w:rFonts w:eastAsia="仿宋_GB2312"/>
          <w:sz w:val="24"/>
        </w:rPr>
      </w:pPr>
      <w:r>
        <w:rPr>
          <w:rFonts w:eastAsia="仿宋_GB2312"/>
          <w:sz w:val="24"/>
        </w:rPr>
        <w:t xml:space="preserve">   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Q5.您认为该部门在履行服务承诺以及服务态度、服务质量方面做得如何：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Q6.您认为该部门在依法办事、依法行政，杜绝不作为和乱作为方面做得如何：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Q7.您认为该部门在宣传国家政策、普及法规常识方面做得如何：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ind w:left="360" w:hanging="360"/>
        <w:jc w:val="left"/>
        <w:rPr>
          <w:rFonts w:eastAsia="仿宋_GB2312"/>
          <w:sz w:val="24"/>
        </w:rPr>
      </w:pPr>
      <w:r>
        <w:rPr>
          <w:rFonts w:eastAsia="仿宋_GB2312"/>
          <w:sz w:val="24"/>
        </w:rPr>
        <w:t>Q8.您认为该部门在改革和完善机关办事制度，缩短办事时间，提高工作效率方面做得如何：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ind w:left="360" w:hanging="360"/>
        <w:jc w:val="left"/>
        <w:rPr>
          <w:rFonts w:eastAsia="仿宋_GB2312"/>
          <w:sz w:val="24"/>
        </w:rPr>
      </w:pPr>
      <w:r>
        <w:rPr>
          <w:rFonts w:eastAsia="仿宋_GB2312"/>
          <w:sz w:val="24"/>
        </w:rPr>
        <w:t>Q9.您认为该部门在实施信息公开方面，如党务、政务、办事程序、财务公开等方面做得如何：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ind w:left="360" w:hanging="360"/>
        <w:jc w:val="left"/>
        <w:rPr>
          <w:rFonts w:eastAsia="仿宋_GB2312"/>
          <w:sz w:val="24"/>
        </w:rPr>
      </w:pPr>
      <w:r>
        <w:rPr>
          <w:rFonts w:eastAsia="仿宋_GB2312"/>
          <w:sz w:val="24"/>
        </w:rPr>
        <w:t>Q10.您认为该部门在厉行节约、制止奢侈浪费行为等方面做得如何：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如果您对部门工作还存在有见解性的意见或建议，请您在此处进行说明：</w:t>
      </w:r>
    </w:p>
    <w:p>
      <w:pPr>
        <w:spacing w:line="560" w:lineRule="exact"/>
        <w:jc w:val="left"/>
        <w:rPr>
          <w:rFonts w:hint="eastAsia" w:eastAsia="仿宋_GB2312"/>
          <w:sz w:val="24"/>
        </w:rPr>
      </w:pPr>
      <w:r>
        <w:rPr>
          <w:rFonts w:eastAsia="仿宋_GB2312"/>
          <w:sz w:val="24"/>
        </w:rPr>
        <w:t>____________________________________________________________________________________________________________________________________________________________________________________________________________</w:t>
      </w:r>
      <w:r>
        <w:rPr>
          <w:rFonts w:hint="eastAsia" w:eastAsia="仿宋_GB2312"/>
          <w:sz w:val="24"/>
        </w:rPr>
        <w:t xml:space="preserve"> </w:t>
      </w:r>
    </w:p>
    <w:p>
      <w:pPr>
        <w:rPr>
          <w:rFonts w:hint="eastAsia"/>
        </w:rPr>
      </w:pPr>
      <w:r>
        <w:rPr>
          <w:rFonts w:eastAsia="仿宋_GB2312"/>
          <w:sz w:val="24"/>
        </w:rPr>
        <w:t>备注：本问卷计分50分，10个问题，每个问题5分：非常满意计5分，满意计4分，一般计3分，不满意计0分</w:t>
      </w:r>
      <w:r>
        <w:rPr>
          <w:rFonts w:hint="eastAsia"/>
        </w:rPr>
        <w:t>。</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560" w:lineRule="exact"/>
        <w:rPr>
          <w:rFonts w:eastAsia="黑体"/>
          <w:sz w:val="30"/>
          <w:szCs w:val="30"/>
        </w:rPr>
      </w:pPr>
    </w:p>
    <w:sectPr>
      <w:pgSz w:w="11906" w:h="16838"/>
      <w:pgMar w:top="1440" w:right="1797" w:bottom="1440" w:left="1797"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Fonts w:ascii="宋体" w:hAnsi="宋体"/>
        <w:sz w:val="24"/>
        <w:szCs w:val="24"/>
      </w:rPr>
    </w:pPr>
    <w:r>
      <w:rPr>
        <w:rStyle w:val="6"/>
        <w:rFonts w:hint="eastAsia" w:ascii="宋体" w:hAnsi="宋体"/>
        <w:sz w:val="24"/>
        <w:szCs w:val="24"/>
      </w:rPr>
      <w:t xml:space="preserve"> </w:t>
    </w:r>
    <w:r>
      <w:rPr>
        <w:rFonts w:hint="eastAsia" w:ascii="宋体" w:hAnsi="宋体"/>
        <w:sz w:val="24"/>
        <w:szCs w:val="24"/>
      </w:rPr>
      <w:fldChar w:fldCharType="begin"/>
    </w:r>
    <w:r>
      <w:rPr>
        <w:rStyle w:val="6"/>
        <w:rFonts w:hint="eastAsia" w:ascii="宋体" w:hAnsi="宋体"/>
        <w:sz w:val="24"/>
        <w:szCs w:val="24"/>
      </w:rPr>
      <w:instrText xml:space="preserve">PAGE  </w:instrText>
    </w:r>
    <w:r>
      <w:rPr>
        <w:rFonts w:hint="eastAsia" w:ascii="宋体" w:hAnsi="宋体"/>
        <w:sz w:val="24"/>
        <w:szCs w:val="24"/>
      </w:rPr>
      <w:fldChar w:fldCharType="separate"/>
    </w:r>
    <w:r>
      <w:rPr>
        <w:rStyle w:val="6"/>
        <w:rFonts w:ascii="宋体" w:hAnsi="宋体"/>
        <w:sz w:val="24"/>
        <w:szCs w:val="24"/>
      </w:rPr>
      <w:t>- 6 -</w:t>
    </w:r>
    <w:r>
      <w:rPr>
        <w:rFonts w:hint="eastAsia" w:ascii="宋体" w:hAnsi="宋体"/>
        <w:sz w:val="24"/>
        <w:szCs w:val="24"/>
      </w:rPr>
      <w:fldChar w:fldCharType="end"/>
    </w:r>
    <w:r>
      <w:rPr>
        <w:rStyle w:val="6"/>
        <w:rFonts w:hint="eastAsia" w:ascii="宋体" w:hAnsi="宋体"/>
        <w:sz w:val="24"/>
        <w:szCs w:val="24"/>
      </w:rPr>
      <w:t xml:space="preserve"> </w:t>
    </w:r>
  </w:p>
  <w:p>
    <w:pPr>
      <w:pStyle w:val="2"/>
      <w:framePr w:wrap="around" w:vAnchor="text" w:hAnchor="margin" w:xAlign="outside" w:y="1"/>
      <w:rPr>
        <w:rStyle w:val="6"/>
        <w:rFonts w:ascii="宋体" w:hAnsi="宋体"/>
        <w:sz w:val="24"/>
        <w:szCs w:val="24"/>
      </w:rPr>
    </w:pP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516A72"/>
    <w:multiLevelType w:val="multilevel"/>
    <w:tmpl w:val="07516A72"/>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0">
      <w:startOverride w:val="1"/>
      <w:lvl w:ilvl="0" w:tentative="1">
        <w:start w:val="1"/>
        <w:numFmt w:val="decimal"/>
        <w:lvlText w:val="%1、"/>
        <w:lvlJc w:val="left"/>
        <w:pPr>
          <w:tabs>
            <w:tab w:val="left" w:pos="360"/>
          </w:tabs>
          <w:ind w:left="360" w:hanging="360"/>
        </w:pPr>
      </w:lvl>
    </w:lvlOverride>
    <w:lvlOverride w:ilvl="1">
      <w:startOverride w:val="1"/>
      <w:lvl w:ilvl="1" w:tentative="1">
        <w:start w:val="1"/>
        <w:numFmt w:val="lowerLetter"/>
        <w:lvlText w:val="%2)"/>
        <w:lvlJc w:val="left"/>
        <w:pPr>
          <w:tabs>
            <w:tab w:val="left" w:pos="840"/>
          </w:tabs>
          <w:ind w:left="840" w:hanging="420"/>
        </w:pPr>
      </w:lvl>
    </w:lvlOverride>
    <w:lvlOverride w:ilvl="2">
      <w:startOverride w:val="1"/>
      <w:lvl w:ilvl="2" w:tentative="1">
        <w:start w:val="1"/>
        <w:numFmt w:val="lowerRoman"/>
        <w:lvlText w:val="%3."/>
        <w:lvlJc w:val="right"/>
        <w:pPr>
          <w:tabs>
            <w:tab w:val="left" w:pos="1260"/>
          </w:tabs>
          <w:ind w:left="1260" w:hanging="420"/>
        </w:pPr>
      </w:lvl>
    </w:lvlOverride>
    <w:lvlOverride w:ilvl="3">
      <w:startOverride w:val="1"/>
      <w:lvl w:ilvl="3" w:tentative="1">
        <w:start w:val="1"/>
        <w:numFmt w:val="decimal"/>
        <w:lvlText w:val="%4."/>
        <w:lvlJc w:val="left"/>
        <w:pPr>
          <w:tabs>
            <w:tab w:val="left" w:pos="1680"/>
          </w:tabs>
          <w:ind w:left="1680" w:hanging="420"/>
        </w:pPr>
      </w:lvl>
    </w:lvlOverride>
    <w:lvlOverride w:ilvl="4">
      <w:startOverride w:val="1"/>
      <w:lvl w:ilvl="4" w:tentative="1">
        <w:start w:val="1"/>
        <w:numFmt w:val="lowerLetter"/>
        <w:lvlText w:val="%5)"/>
        <w:lvlJc w:val="left"/>
        <w:pPr>
          <w:tabs>
            <w:tab w:val="left" w:pos="2100"/>
          </w:tabs>
          <w:ind w:left="2100" w:hanging="420"/>
        </w:pPr>
      </w:lvl>
    </w:lvlOverride>
    <w:lvlOverride w:ilvl="5">
      <w:startOverride w:val="1"/>
      <w:lvl w:ilvl="5" w:tentative="1">
        <w:start w:val="1"/>
        <w:numFmt w:val="lowerRoman"/>
        <w:lvlText w:val="%6."/>
        <w:lvlJc w:val="right"/>
        <w:pPr>
          <w:tabs>
            <w:tab w:val="left" w:pos="2520"/>
          </w:tabs>
          <w:ind w:left="2520" w:hanging="420"/>
        </w:pPr>
      </w:lvl>
    </w:lvlOverride>
    <w:lvlOverride w:ilvl="6">
      <w:startOverride w:val="1"/>
      <w:lvl w:ilvl="6" w:tentative="1">
        <w:start w:val="1"/>
        <w:numFmt w:val="decimal"/>
        <w:lvlText w:val="%7."/>
        <w:lvlJc w:val="left"/>
        <w:pPr>
          <w:tabs>
            <w:tab w:val="left" w:pos="2940"/>
          </w:tabs>
          <w:ind w:left="2940" w:hanging="420"/>
        </w:pPr>
      </w:lvl>
    </w:lvlOverride>
    <w:lvlOverride w:ilvl="7">
      <w:startOverride w:val="1"/>
      <w:lvl w:ilvl="7" w:tentative="1">
        <w:start w:val="1"/>
        <w:numFmt w:val="lowerLetter"/>
        <w:lvlText w:val="%8)"/>
        <w:lvlJc w:val="left"/>
        <w:pPr>
          <w:tabs>
            <w:tab w:val="left" w:pos="3360"/>
          </w:tabs>
          <w:ind w:left="3360" w:hanging="420"/>
        </w:pPr>
      </w:lvl>
    </w:lvlOverride>
    <w:lvlOverride w:ilvl="8">
      <w:startOverride w:val="1"/>
      <w:lvl w:ilvl="8" w:tentative="1">
        <w:start w:val="1"/>
        <w:numFmt w:val="lowerRoman"/>
        <w:lvlText w:val="%9."/>
        <w:lvlJc w:val="right"/>
        <w:pPr>
          <w:tabs>
            <w:tab w:val="left" w:pos="3780"/>
          </w:tabs>
          <w:ind w:left="378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07C"/>
    <w:rsid w:val="00074FD1"/>
    <w:rsid w:val="001557B5"/>
    <w:rsid w:val="00193CE4"/>
    <w:rsid w:val="002835CA"/>
    <w:rsid w:val="003B09B4"/>
    <w:rsid w:val="00540011"/>
    <w:rsid w:val="00727EEA"/>
    <w:rsid w:val="007C0C09"/>
    <w:rsid w:val="007E7737"/>
    <w:rsid w:val="00A6102E"/>
    <w:rsid w:val="00BE107C"/>
    <w:rsid w:val="00CB06F2"/>
    <w:rsid w:val="00D202A0"/>
    <w:rsid w:val="00E2113A"/>
    <w:rsid w:val="00E7316D"/>
    <w:rsid w:val="00ED308E"/>
    <w:rsid w:val="00F02119"/>
    <w:rsid w:val="10A85888"/>
    <w:rsid w:val="1E391548"/>
    <w:rsid w:val="2AE40D27"/>
    <w:rsid w:val="528405A8"/>
    <w:rsid w:val="558D5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jc w:val="left"/>
    </w:pPr>
    <w:rPr>
      <w:rFonts w:ascii="Calibri" w:hAnsi="Calibri"/>
      <w:kern w:val="0"/>
      <w:sz w:val="24"/>
    </w:rPr>
  </w:style>
  <w:style w:type="character" w:styleId="6">
    <w:name w:val="page number"/>
    <w:qFormat/>
    <w:uiPriority w:val="0"/>
  </w:style>
  <w:style w:type="character" w:customStyle="1" w:styleId="7">
    <w:name w:val="页脚 Char"/>
    <w:basedOn w:val="5"/>
    <w:link w:val="2"/>
    <w:qFormat/>
    <w:uiPriority w:val="0"/>
    <w:rPr>
      <w:rFonts w:ascii="Times New Roman" w:hAnsi="Times New Roman" w:eastAsia="宋体" w:cs="Times New Roman"/>
      <w:sz w:val="18"/>
      <w:szCs w:val="18"/>
    </w:rPr>
  </w:style>
  <w:style w:type="paragraph" w:customStyle="1" w:styleId="8">
    <w:name w:val="_Style 3"/>
    <w:basedOn w:val="1"/>
    <w:qFormat/>
    <w:uiPriority w:val="0"/>
    <w:pPr>
      <w:widowControl/>
      <w:jc w:val="left"/>
    </w:pPr>
    <w:rPr>
      <w:rFonts w:ascii="Verdana" w:hAnsi="Verdana" w:eastAsia="仿宋_GB2312"/>
      <w:kern w:val="0"/>
      <w:sz w:val="28"/>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818191-6405-4DDA-A631-C2EA1B5A322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1031</Words>
  <Characters>5878</Characters>
  <Lines>48</Lines>
  <Paragraphs>13</Paragraphs>
  <TotalTime>51</TotalTime>
  <ScaleCrop>false</ScaleCrop>
  <LinksUpToDate>false</LinksUpToDate>
  <CharactersWithSpaces>6896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2021-10-09T06:59:00Z</dcterms:created>
  <dc:creator>Administrator</dc:creator>
  <cp:lastModifiedBy>小葫芦</cp:lastModifiedBy>
  <dcterms:modified xsi:type="dcterms:W3CDTF">2021-10-25T01:45:39Z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D3510F0B769B409EBC803E4B773C6153</vt:lpwstr>
  </property>
</Properties>
</file>