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FF7FAA">
      <w:pPr>
        <w:pStyle w:val="a3"/>
        <w:widowControl/>
        <w:shd w:val="clear" w:color="auto" w:fill="FFFFFF"/>
        <w:topLinePunct/>
        <w:spacing w:before="0" w:beforeAutospacing="0" w:after="0" w:afterAutospacing="0" w:line="600" w:lineRule="exact"/>
        <w:ind w:firstLine="420"/>
        <w:jc w:val="center"/>
        <w:rPr>
          <w:rFonts w:ascii="方正小标宋简体" w:eastAsia="方正小标宋简体" w:hAnsi="方正小标宋简体" w:cs="方正小标宋简体"/>
          <w:sz w:val="44"/>
          <w:szCs w:val="44"/>
        </w:rPr>
      </w:pPr>
    </w:p>
    <w:p w:rsidR="00000000" w:rsidRDefault="00FF7FAA">
      <w:pPr>
        <w:pStyle w:val="a3"/>
        <w:widowControl/>
        <w:shd w:val="clear" w:color="auto" w:fill="FFFFFF"/>
        <w:topLinePunct/>
        <w:spacing w:before="0" w:beforeAutospacing="0" w:after="0" w:afterAutospacing="0" w:line="600" w:lineRule="exact"/>
        <w:ind w:firstLine="42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炎陵县市场监督管理局</w:t>
      </w:r>
    </w:p>
    <w:p w:rsidR="00000000" w:rsidRDefault="00FF7FAA">
      <w:pPr>
        <w:pStyle w:val="a3"/>
        <w:widowControl/>
        <w:shd w:val="clear" w:color="auto" w:fill="FFFFFF"/>
        <w:topLinePunct/>
        <w:spacing w:before="0" w:beforeAutospacing="0" w:after="0" w:afterAutospacing="0" w:line="600" w:lineRule="exact"/>
        <w:ind w:firstLine="42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无主财物处理决定书</w:t>
      </w:r>
    </w:p>
    <w:p w:rsidR="00000000" w:rsidRDefault="00FF7FAA">
      <w:pPr>
        <w:pStyle w:val="a3"/>
        <w:widowControl/>
        <w:shd w:val="clear" w:color="auto" w:fill="FFFFFF"/>
        <w:spacing w:before="0" w:beforeAutospacing="0" w:after="0" w:afterAutospacing="0" w:line="26" w:lineRule="atLeast"/>
        <w:ind w:firstLine="420"/>
        <w:jc w:val="center"/>
        <w:rPr>
          <w:rFonts w:ascii="仿宋_GB2312" w:eastAsia="仿宋_GB2312" w:hAnsi="仿宋_GB2312" w:cs="仿宋_GB2312"/>
          <w:sz w:val="32"/>
          <w:szCs w:val="32"/>
        </w:rPr>
      </w:pPr>
    </w:p>
    <w:p w:rsidR="00000000" w:rsidRDefault="00FF7FAA">
      <w:pPr>
        <w:pStyle w:val="a3"/>
        <w:widowControl/>
        <w:shd w:val="clear" w:color="auto" w:fill="FFFFFF"/>
        <w:spacing w:before="0" w:beforeAutospacing="0" w:after="0" w:afterAutospacing="0" w:line="26" w:lineRule="atLeast"/>
        <w:ind w:firstLine="42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炎市监无主物处字〔</w:t>
      </w: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号</w:t>
      </w:r>
    </w:p>
    <w:p w:rsidR="00000000" w:rsidRDefault="00FF7FAA">
      <w:pPr>
        <w:pStyle w:val="a3"/>
        <w:widowControl/>
        <w:shd w:val="clear" w:color="auto" w:fill="FFFFFF"/>
        <w:spacing w:before="0" w:beforeAutospacing="0" w:after="0" w:afterAutospacing="0" w:line="26" w:lineRule="atLeast"/>
        <w:ind w:firstLine="420"/>
        <w:jc w:val="both"/>
        <w:rPr>
          <w:rFonts w:ascii="微软雅黑" w:eastAsia="微软雅黑" w:hAnsi="微软雅黑" w:cs="微软雅黑"/>
          <w:color w:val="666666"/>
          <w:sz w:val="19"/>
          <w:szCs w:val="19"/>
        </w:rPr>
      </w:pPr>
      <w:r>
        <w:rPr>
          <w:rFonts w:ascii="微软雅黑" w:eastAsia="微软雅黑" w:hAnsi="微软雅黑" w:cs="微软雅黑" w:hint="eastAsia"/>
          <w:color w:val="666666"/>
          <w:sz w:val="19"/>
          <w:szCs w:val="19"/>
          <w:shd w:val="clear" w:color="auto" w:fill="FFFFFF"/>
        </w:rPr>
        <w:t> </w:t>
      </w:r>
    </w:p>
    <w:p w:rsidR="00000000" w:rsidRDefault="00FF7FAA">
      <w:pPr>
        <w:pStyle w:val="a3"/>
        <w:widowControl/>
        <w:shd w:val="clear" w:color="auto" w:fill="FFFFFF"/>
        <w:spacing w:before="0" w:beforeAutospacing="0" w:after="0" w:afterAutospacing="0" w:line="26" w:lineRule="atLeast"/>
        <w:ind w:firstLineChars="200" w:firstLine="640"/>
        <w:jc w:val="both"/>
        <w:rPr>
          <w:rFonts w:ascii="仿宋_GB2312" w:eastAsia="仿宋_GB2312" w:hAnsi="仿宋_GB2312" w:cs="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日，本局接到炎陵县公安局机关移送车牌号码为鲁</w:t>
      </w:r>
      <w:r>
        <w:rPr>
          <w:rFonts w:ascii="仿宋_GB2312" w:eastAsia="仿宋_GB2312" w:hAnsi="仿宋_GB2312" w:cs="仿宋_GB2312"/>
          <w:sz w:val="32"/>
          <w:szCs w:val="32"/>
        </w:rPr>
        <w:t>PX7777</w:t>
      </w:r>
      <w:r>
        <w:rPr>
          <w:rFonts w:ascii="仿宋_GB2312" w:eastAsia="仿宋_GB2312" w:hAnsi="仿宋_GB2312" w:cs="仿宋_GB2312" w:hint="eastAsia"/>
          <w:sz w:val="32"/>
          <w:szCs w:val="32"/>
        </w:rPr>
        <w:t>重型半挂牵引车（鲁</w:t>
      </w:r>
      <w:r>
        <w:rPr>
          <w:rFonts w:ascii="仿宋_GB2312" w:eastAsia="仿宋_GB2312" w:hAnsi="仿宋_GB2312" w:cs="仿宋_GB2312"/>
          <w:sz w:val="32"/>
          <w:szCs w:val="32"/>
        </w:rPr>
        <w:t>P2E72</w:t>
      </w:r>
      <w:r>
        <w:rPr>
          <w:rFonts w:ascii="仿宋_GB2312" w:eastAsia="仿宋_GB2312" w:hAnsi="仿宋_GB2312" w:cs="仿宋_GB2312" w:hint="eastAsia"/>
          <w:sz w:val="32"/>
          <w:szCs w:val="32"/>
        </w:rPr>
        <w:t>挂）运载冷冻肉类</w:t>
      </w:r>
      <w:r>
        <w:rPr>
          <w:rFonts w:ascii="仿宋_GB2312" w:eastAsia="仿宋_GB2312" w:hAnsi="仿宋_GB2312" w:cs="仿宋_GB2312"/>
          <w:sz w:val="32"/>
          <w:szCs w:val="32"/>
        </w:rPr>
        <w:t>1157</w:t>
      </w:r>
      <w:r>
        <w:rPr>
          <w:rFonts w:ascii="仿宋_GB2312" w:eastAsia="仿宋_GB2312" w:hAnsi="仿宋_GB2312" w:cs="仿宋_GB2312" w:hint="eastAsia"/>
          <w:sz w:val="32"/>
          <w:szCs w:val="32"/>
        </w:rPr>
        <w:t>件，总重量</w:t>
      </w:r>
      <w:r>
        <w:rPr>
          <w:rFonts w:ascii="仿宋_GB2312" w:eastAsia="仿宋_GB2312" w:hAnsi="仿宋_GB2312" w:cs="仿宋_GB2312"/>
          <w:sz w:val="32"/>
          <w:szCs w:val="32"/>
        </w:rPr>
        <w:t>28</w:t>
      </w:r>
      <w:r>
        <w:rPr>
          <w:rFonts w:ascii="仿宋_GB2312" w:eastAsia="仿宋_GB2312" w:hAnsi="仿宋_GB2312" w:cs="仿宋_GB2312" w:hint="eastAsia"/>
          <w:sz w:val="32"/>
          <w:szCs w:val="32"/>
        </w:rPr>
        <w:t>吨，涉嫌违反《中华人民共和国食品安全法》有关规定。经我局执法人员现场检查，该车冷冻肉类无报关单、检验检疫证明、核酸检测证明、消毒证明等有效证明，该车冷冻肉货主涉嫌经营未经检验检疫的冷冻肉类食品，本局执法人员依法采取行政强制措施。为查清事实，当日本局依法立案并进行调查</w:t>
      </w:r>
      <w:r>
        <w:rPr>
          <w:rFonts w:ascii="仿宋_GB2312" w:eastAsia="仿宋_GB2312" w:hAnsi="仿宋_GB2312" w:cs="仿宋_GB2312" w:hint="eastAsia"/>
          <w:sz w:val="32"/>
          <w:szCs w:val="32"/>
        </w:rPr>
        <w:t>。</w:t>
      </w:r>
    </w:p>
    <w:p w:rsidR="00000000" w:rsidRDefault="00FF7FAA">
      <w:pPr>
        <w:pStyle w:val="a3"/>
        <w:widowControl/>
        <w:shd w:val="clear" w:color="auto" w:fill="FFFFFF"/>
        <w:spacing w:before="0" w:beforeAutospacing="0" w:after="0" w:afterAutospacing="0" w:line="26" w:lineRule="atLeas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经调查：该批冷冻肉是</w:t>
      </w: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日在广东省东莞市大朗镇一园区由货主装车后，委托鲁</w:t>
      </w:r>
      <w:r>
        <w:rPr>
          <w:rFonts w:ascii="仿宋_GB2312" w:eastAsia="仿宋_GB2312" w:hAnsi="仿宋_GB2312" w:cs="仿宋_GB2312"/>
          <w:sz w:val="32"/>
          <w:szCs w:val="32"/>
        </w:rPr>
        <w:t>PX7777</w:t>
      </w:r>
      <w:r>
        <w:rPr>
          <w:rFonts w:ascii="仿宋_GB2312" w:eastAsia="仿宋_GB2312" w:hAnsi="仿宋_GB2312" w:cs="仿宋_GB2312" w:hint="eastAsia"/>
          <w:sz w:val="32"/>
          <w:szCs w:val="32"/>
        </w:rPr>
        <w:t>（鲁</w:t>
      </w:r>
      <w:r>
        <w:rPr>
          <w:rFonts w:ascii="仿宋_GB2312" w:eastAsia="仿宋_GB2312" w:hAnsi="仿宋_GB2312" w:cs="仿宋_GB2312"/>
          <w:sz w:val="32"/>
          <w:szCs w:val="32"/>
        </w:rPr>
        <w:t>P2E72</w:t>
      </w:r>
      <w:r>
        <w:rPr>
          <w:rFonts w:ascii="仿宋_GB2312" w:eastAsia="仿宋_GB2312" w:hAnsi="仿宋_GB2312" w:cs="仿宋_GB2312" w:hint="eastAsia"/>
          <w:sz w:val="32"/>
          <w:szCs w:val="32"/>
        </w:rPr>
        <w:t>挂）冷藏车货车司机运往河南省郑州市，在途经炎陵县中村服务区时被湖南省高速公路交警及炎陵县公安局红星桥派出所查获并移送本局。鲁</w:t>
      </w:r>
      <w:r>
        <w:rPr>
          <w:rFonts w:ascii="仿宋_GB2312" w:eastAsia="仿宋_GB2312" w:hAnsi="仿宋_GB2312" w:cs="仿宋_GB2312"/>
          <w:sz w:val="32"/>
          <w:szCs w:val="32"/>
        </w:rPr>
        <w:t>PX7777</w:t>
      </w:r>
      <w:r>
        <w:rPr>
          <w:rFonts w:ascii="仿宋_GB2312" w:eastAsia="仿宋_GB2312" w:hAnsi="仿宋_GB2312" w:cs="仿宋_GB2312" w:hint="eastAsia"/>
          <w:sz w:val="32"/>
          <w:szCs w:val="32"/>
        </w:rPr>
        <w:t>（鲁</w:t>
      </w:r>
      <w:r>
        <w:rPr>
          <w:rFonts w:ascii="仿宋_GB2312" w:eastAsia="仿宋_GB2312" w:hAnsi="仿宋_GB2312" w:cs="仿宋_GB2312"/>
          <w:sz w:val="32"/>
          <w:szCs w:val="32"/>
        </w:rPr>
        <w:t>P2E72</w:t>
      </w:r>
      <w:r>
        <w:rPr>
          <w:rFonts w:ascii="仿宋_GB2312" w:eastAsia="仿宋_GB2312" w:hAnsi="仿宋_GB2312" w:cs="仿宋_GB2312" w:hint="eastAsia"/>
          <w:sz w:val="32"/>
          <w:szCs w:val="32"/>
        </w:rPr>
        <w:t>挂）货车司机对货主的身份信息一概不知，本局执法人员无法核实货主的身份。</w:t>
      </w: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8</w:t>
      </w:r>
      <w:r>
        <w:rPr>
          <w:rFonts w:ascii="仿宋_GB2312" w:eastAsia="仿宋_GB2312" w:hAnsi="仿宋_GB2312" w:cs="仿宋_GB2312" w:hint="eastAsia"/>
          <w:sz w:val="32"/>
          <w:szCs w:val="32"/>
        </w:rPr>
        <w:t>日在炎陵县人民政府公众信息网站发布了《扣押物品招领公告》，并于</w:t>
      </w: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14</w:t>
      </w:r>
      <w:r>
        <w:rPr>
          <w:rFonts w:ascii="仿宋_GB2312" w:eastAsia="仿宋_GB2312" w:hAnsi="仿宋_GB2312" w:cs="仿宋_GB2312" w:hint="eastAsia"/>
          <w:sz w:val="32"/>
          <w:szCs w:val="32"/>
        </w:rPr>
        <w:t>日在《湖南日报》</w:t>
      </w:r>
      <w:r>
        <w:rPr>
          <w:rFonts w:ascii="仿宋_GB2312" w:eastAsia="仿宋_GB2312" w:hAnsi="仿宋_GB2312" w:cs="仿宋_GB2312" w:hint="eastAsia"/>
          <w:sz w:val="32"/>
          <w:szCs w:val="32"/>
        </w:rPr>
        <w:lastRenderedPageBreak/>
        <w:t>刊登了《扣押物品招领公告》，告知涉案货物的货主在公告之日起</w:t>
      </w:r>
      <w:r>
        <w:rPr>
          <w:rFonts w:ascii="仿宋_GB2312" w:eastAsia="仿宋_GB2312" w:hAnsi="仿宋_GB2312" w:cs="仿宋_GB2312"/>
          <w:sz w:val="32"/>
          <w:szCs w:val="32"/>
        </w:rPr>
        <w:t>7</w:t>
      </w:r>
      <w:r>
        <w:rPr>
          <w:rFonts w:ascii="仿宋_GB2312" w:eastAsia="仿宋_GB2312" w:hAnsi="仿宋_GB2312" w:cs="仿宋_GB2312" w:hint="eastAsia"/>
          <w:sz w:val="32"/>
          <w:szCs w:val="32"/>
        </w:rPr>
        <w:t>日内持</w:t>
      </w:r>
      <w:r>
        <w:rPr>
          <w:rFonts w:ascii="仿宋_GB2312" w:eastAsia="仿宋_GB2312" w:hAnsi="仿宋_GB2312" w:cs="仿宋_GB2312" w:hint="eastAsia"/>
          <w:sz w:val="32"/>
          <w:szCs w:val="32"/>
        </w:rPr>
        <w:t>相关合法手续到本局认领并接受调查。在公告期满后，无人到本局认领和接受调查。由于该批货物易腐烂、变质，且公告后无货主认领，依据《罚没财物管理办法》第十四条和《市场监督管理行政处罚程序暂行规定》第三十八条规定，经依法对该批冷冻肉抽样送福建省国鼎检测技术有限公司检验检测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符合</w:t>
      </w:r>
      <w:r>
        <w:rPr>
          <w:rFonts w:ascii="仿宋_GB2312" w:eastAsia="仿宋_GB2312" w:hAnsi="仿宋_GB2312" w:cs="仿宋_GB2312"/>
          <w:sz w:val="32"/>
          <w:szCs w:val="32"/>
        </w:rPr>
        <w:t>GB 2707-2016D</w:t>
      </w:r>
      <w:r>
        <w:rPr>
          <w:rFonts w:ascii="仿宋_GB2312" w:eastAsia="仿宋_GB2312" w:hAnsi="仿宋_GB2312" w:cs="仿宋_GB2312" w:hint="eastAsia"/>
          <w:sz w:val="32"/>
          <w:szCs w:val="32"/>
        </w:rPr>
        <w:t>的要求</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，报炎陵县财政局审批同意，并经局负责人批准后，本局依法对该批冷冻肉类进行拍卖，所得拍卖款人民币</w:t>
      </w:r>
      <w:r>
        <w:rPr>
          <w:rFonts w:ascii="仿宋_GB2312" w:eastAsia="仿宋_GB2312" w:hAnsi="仿宋_GB2312" w:cs="仿宋_GB2312"/>
          <w:sz w:val="32"/>
          <w:szCs w:val="32"/>
        </w:rPr>
        <w:t>372000</w:t>
      </w:r>
      <w:r>
        <w:rPr>
          <w:rFonts w:ascii="仿宋_GB2312" w:eastAsia="仿宋_GB2312" w:hAnsi="仿宋_GB2312" w:cs="仿宋_GB2312" w:hint="eastAsia"/>
          <w:sz w:val="32"/>
          <w:szCs w:val="32"/>
        </w:rPr>
        <w:t>元。依据《市场监督管理行政处罚程序暂行规定》第三十九条第一款第（四）项、第三款及第七十四条第（五）项</w:t>
      </w:r>
      <w:r>
        <w:rPr>
          <w:rFonts w:ascii="仿宋_GB2312" w:eastAsia="仿宋_GB2312" w:hAnsi="仿宋_GB2312" w:cs="仿宋_GB2312" w:hint="eastAsia"/>
          <w:sz w:val="32"/>
          <w:szCs w:val="32"/>
        </w:rPr>
        <w:t>的规定，本局于</w:t>
      </w: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25</w:t>
      </w:r>
      <w:r>
        <w:rPr>
          <w:rFonts w:ascii="仿宋_GB2312" w:eastAsia="仿宋_GB2312" w:hAnsi="仿宋_GB2312" w:cs="仿宋_GB2312" w:hint="eastAsia"/>
          <w:sz w:val="32"/>
          <w:szCs w:val="32"/>
        </w:rPr>
        <w:t>日以登报的形式公告告知涉案货物的货主在公告之日起</w:t>
      </w:r>
      <w:r>
        <w:rPr>
          <w:rFonts w:ascii="仿宋_GB2312" w:eastAsia="仿宋_GB2312" w:hAnsi="仿宋_GB2312" w:cs="仿宋_GB2312"/>
          <w:sz w:val="32"/>
          <w:szCs w:val="32"/>
        </w:rPr>
        <w:t>60</w:t>
      </w:r>
      <w:r>
        <w:rPr>
          <w:rFonts w:ascii="仿宋_GB2312" w:eastAsia="仿宋_GB2312" w:hAnsi="仿宋_GB2312" w:cs="仿宋_GB2312" w:hint="eastAsia"/>
          <w:sz w:val="32"/>
          <w:szCs w:val="32"/>
        </w:rPr>
        <w:t>日内持相关合法手续到本局认领并接受调查，公告期满仍无人领取的，本局将按照无主物品依法予以处理。在公告期满后，涉案货物的物主未到本局认领和接受调查。</w:t>
      </w:r>
    </w:p>
    <w:p w:rsidR="00000000" w:rsidRDefault="00FF7FAA">
      <w:pPr>
        <w:pStyle w:val="a3"/>
        <w:widowControl/>
        <w:shd w:val="clear" w:color="auto" w:fill="FFFFFF"/>
        <w:spacing w:before="0" w:beforeAutospacing="0" w:after="0" w:afterAutospacing="0" w:line="26" w:lineRule="atLeas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本案中不明当事人被扣押的冷冻肉类为未经检验检疫的肉类食品，不明当事人的行为违反了《中华人民共和国食品安全法》第三十四条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禁止生产经营下列食品、食品添加剂、食品相关产品：（八）未按规定进行检疫或者检疫不合格的肉类，或者未经检验或者检验不合格的肉类制品；</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的规定，属于经营未按规定进行</w:t>
      </w:r>
      <w:r>
        <w:rPr>
          <w:rFonts w:ascii="仿宋_GB2312" w:eastAsia="仿宋_GB2312" w:hAnsi="仿宋_GB2312" w:cs="仿宋_GB2312" w:hint="eastAsia"/>
          <w:sz w:val="32"/>
          <w:szCs w:val="32"/>
        </w:rPr>
        <w:t>检疫的肉类的行为。</w:t>
      </w:r>
    </w:p>
    <w:p w:rsidR="00000000" w:rsidRDefault="00FF7FAA">
      <w:pPr>
        <w:pStyle w:val="a3"/>
        <w:widowControl/>
        <w:shd w:val="clear" w:color="auto" w:fill="FFFFFF"/>
        <w:spacing w:before="0" w:beforeAutospacing="0" w:after="0" w:afterAutospacing="0" w:line="26" w:lineRule="atLeast"/>
        <w:ind w:firstLineChars="300" w:firstLine="96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依据《中华人民共和国食品安全法》第一百二十三条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违反本法规定，有下列情形之一，尚不构成犯罪的，由县级以上人民政府食品安全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四）经营未按规定进行检疫或者检疫不</w:t>
      </w:r>
      <w:r>
        <w:rPr>
          <w:rFonts w:ascii="仿宋_GB2312" w:eastAsia="仿宋_GB2312" w:hAnsi="仿宋_GB2312" w:cs="仿宋_GB2312" w:hint="eastAsia"/>
          <w:sz w:val="32"/>
          <w:szCs w:val="32"/>
        </w:rPr>
        <w:t>合格的肉类，或者生产经营未经检验或者检验不合格的肉类制品；</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的规定，由于当事人无法查实，依据《市场监督管理行政处罚程序暂行规定》第三十九条第三款</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当事人下落不明或者无法确定涉案物品所有人的，应当按照第七十四条第（五）项规定的公告送达方式告知认领。公告期满仍无人认领的，经市场监督管理部门负责人批准，将涉案物品上缴国库或者依法拍卖后将所得款项上缴国库</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的规定，本局决定将上述冷冻肉类依法拍卖后所得款项人民币</w:t>
      </w:r>
      <w:r>
        <w:rPr>
          <w:rFonts w:ascii="仿宋_GB2312" w:eastAsia="仿宋_GB2312" w:hAnsi="仿宋_GB2312" w:cs="仿宋_GB2312"/>
          <w:sz w:val="32"/>
          <w:szCs w:val="32"/>
        </w:rPr>
        <w:t>372000</w:t>
      </w:r>
      <w:r>
        <w:rPr>
          <w:rFonts w:ascii="仿宋_GB2312" w:eastAsia="仿宋_GB2312" w:hAnsi="仿宋_GB2312" w:cs="仿宋_GB2312" w:hint="eastAsia"/>
          <w:sz w:val="32"/>
          <w:szCs w:val="32"/>
        </w:rPr>
        <w:t>元予以没收，上缴国库，但不免除违法行为当事人的法律责任。</w:t>
      </w:r>
    </w:p>
    <w:p w:rsidR="00000000" w:rsidRDefault="00FF7FAA">
      <w:pPr>
        <w:pStyle w:val="a3"/>
        <w:widowControl/>
        <w:shd w:val="clear" w:color="auto" w:fill="FFFFFF"/>
        <w:spacing w:before="0" w:beforeAutospacing="0" w:after="0" w:afterAutospacing="0" w:line="26" w:lineRule="atLeas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本处理决定在炎陵县人民政府门户网站公告</w:t>
      </w:r>
      <w:r>
        <w:rPr>
          <w:rFonts w:ascii="仿宋_GB2312" w:eastAsia="仿宋_GB2312" w:hAnsi="仿宋_GB2312" w:cs="仿宋_GB2312" w:hint="eastAsia"/>
          <w:sz w:val="32"/>
          <w:szCs w:val="32"/>
        </w:rPr>
        <w:t>送达，自公告之日起经过六十日即视为送达。如对本处理决定不服，被没收物品的当事人可在收到本处理决定书之日起六十日内</w:t>
      </w:r>
      <w:r>
        <w:rPr>
          <w:rFonts w:ascii="仿宋_GB2312" w:eastAsia="仿宋_GB2312" w:hAnsi="仿宋_GB2312" w:cs="仿宋_GB2312" w:hint="eastAsia"/>
          <w:sz w:val="32"/>
          <w:szCs w:val="32"/>
        </w:rPr>
        <w:lastRenderedPageBreak/>
        <w:t>向炎陵县人民政府申请复议；也可在收到本处理决定书之日起六个月内依法向醴陵人民法院提起行政诉讼。</w:t>
      </w:r>
    </w:p>
    <w:p w:rsidR="00000000" w:rsidRDefault="00FF7FAA">
      <w:pPr>
        <w:ind w:right="640" w:firstLineChars="1350" w:firstLine="4320"/>
        <w:rPr>
          <w:rFonts w:ascii="仿宋_GB2312" w:eastAsia="仿宋_GB2312" w:hAnsi="仿宋_GB2312" w:cs="仿宋_GB2312"/>
          <w:sz w:val="32"/>
          <w:szCs w:val="32"/>
        </w:rPr>
      </w:pPr>
    </w:p>
    <w:p w:rsidR="00000000" w:rsidRDefault="00FF7FAA">
      <w:pPr>
        <w:ind w:right="640" w:firstLineChars="1350" w:firstLine="4320"/>
        <w:rPr>
          <w:rFonts w:ascii="仿宋_GB2312" w:eastAsia="仿宋_GB2312" w:hAnsi="仿宋_GB2312" w:cs="仿宋_GB2312"/>
          <w:sz w:val="32"/>
          <w:szCs w:val="32"/>
        </w:rPr>
      </w:pPr>
      <w:r>
        <w:rPr>
          <w:rFonts w:ascii="仿宋_GB2312" w:eastAsia="仿宋_GB2312" w:hAnsi="仿宋_GB2312" w:cs="仿宋_GB2312" w:hint="eastAsia"/>
          <w:sz w:val="32"/>
          <w:szCs w:val="32"/>
        </w:rPr>
        <w:t>炎陵县市场监督管理局</w:t>
      </w:r>
    </w:p>
    <w:p w:rsidR="00000000" w:rsidRDefault="00FF7FAA">
      <w:pPr>
        <w:ind w:right="640" w:firstLineChars="1500" w:firstLine="4800"/>
        <w:rPr>
          <w:rFonts w:ascii="仿宋_GB2312" w:eastAsia="仿宋_GB2312" w:hAnsi="仿宋_GB2312" w:cs="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8</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25</w:t>
      </w:r>
      <w:r>
        <w:rPr>
          <w:rFonts w:ascii="仿宋_GB2312" w:eastAsia="仿宋_GB2312" w:hAnsi="仿宋_GB2312" w:cs="仿宋_GB2312" w:hint="eastAsia"/>
          <w:sz w:val="32"/>
          <w:szCs w:val="32"/>
        </w:rPr>
        <w:t>日</w:t>
      </w:r>
    </w:p>
    <w:p w:rsidR="00FF7FAA" w:rsidRDefault="00FF7FAA">
      <w:pPr>
        <w:pStyle w:val="a3"/>
        <w:widowControl/>
        <w:shd w:val="clear" w:color="auto" w:fill="FFFFFF"/>
        <w:spacing w:before="0" w:beforeAutospacing="0" w:after="0" w:afterAutospacing="0" w:line="26" w:lineRule="atLeast"/>
        <w:ind w:firstLine="420"/>
        <w:jc w:val="both"/>
        <w:rPr>
          <w:rFonts w:ascii="仿宋" w:eastAsia="仿宋" w:hAnsi="仿宋" w:cs="仿宋"/>
          <w:sz w:val="32"/>
          <w:szCs w:val="32"/>
        </w:rPr>
      </w:pPr>
    </w:p>
    <w:sectPr w:rsidR="00FF7FAA">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7FAA" w:rsidRDefault="00FF7FAA">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separator/>
      </w:r>
    </w:p>
  </w:endnote>
  <w:endnote w:type="continuationSeparator" w:id="1">
    <w:p w:rsidR="00FF7FAA" w:rsidRDefault="00FF7FAA">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5B"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Calibri">
    <w:altName w:val="Calibri"/>
    <w:panose1 w:val="020F0502020204030204"/>
    <w:charset w:val="00"/>
    <w:family w:val="swiss"/>
    <w:pitch w:val="variable"/>
    <w:sig w:usb0="E4002EFF" w:usb1="C000247B" w:usb2="00000009" w:usb3="00000000" w:csb0="000001FF" w:csb1="00000000"/>
  </w:font>
  <w:font w:name="方正小标宋简体">
    <w:altName w:val="Arial Unicode MS"/>
    <w:panose1 w:val="00000000000000000000"/>
    <w:charset w:val="86"/>
    <w:family w:val="auto"/>
    <w:notTrueType/>
    <w:pitch w:val="default"/>
    <w:sig w:usb0="00000000" w:usb1="080E0000" w:usb2="00000010" w:usb3="00000000" w:csb0="00040000" w:csb1="00000000"/>
  </w:font>
  <w:font w:name="仿宋_GB2312">
    <w:altName w:val="仿宋_GB2312"/>
    <w:panose1 w:val="02010609030101010101"/>
    <w:charset w:val="86"/>
    <w:family w:val="modern"/>
    <w:pitch w:val="fixed"/>
    <w:sig w:usb0="00000001" w:usb1="080E0000" w:usb2="00000010" w:usb3="00000000" w:csb0="00040000" w:csb1="00000000"/>
  </w:font>
  <w:font w:name="微软雅黑">
    <w:altName w:val="微软雅黑"/>
    <w:panose1 w:val="020B0503020204020204"/>
    <w:charset w:val="86"/>
    <w:family w:val="swiss"/>
    <w:pitch w:val="variable"/>
    <w:sig w:usb0="80000287" w:usb1="2ACF3C50" w:usb2="00000016" w:usb3="00000000" w:csb0="0004001F" w:csb1="00000000"/>
  </w:font>
  <w:font w:name="仿宋">
    <w:altName w:val="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7FAA" w:rsidRDefault="00FF7FAA">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separator/>
      </w:r>
    </w:p>
  </w:footnote>
  <w:footnote w:type="continuationSeparator" w:id="1">
    <w:p w:rsidR="00FF7FAA" w:rsidRDefault="00FF7FAA">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characterSpacingControl w:val="compressPunctuation"/>
  <w:noLineBreaksAfter w:lang="zh-CN" w:val="([{·‘“〈《「『【〔〖（．［｛￡￥"/>
  <w:noLineBreaksBefore w:lang="zh-CN" w:val="!),.:;?]}¨·ˇˉ―‖’”…∶、。〃々〉》」』】〕〗！＂＇），．：；？］｀｜｝～￠"/>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B0E5F"/>
    <w:rsid w:val="00000000"/>
    <w:rsid w:val="00DD65AD"/>
    <w:rsid w:val="00EB0E5F"/>
    <w:rsid w:val="00FF7F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heme="minorBidi"/>
        <w:kern w:val="2"/>
        <w:sz w:val="21"/>
        <w:szCs w:val="22"/>
        <w:lang w:val="en-US" w:eastAsia="zh-CN" w:bidi="ar-SA"/>
      </w:rPr>
    </w:rPrDefault>
    <w:pPrDefault/>
  </w:docDefaults>
  <w:latentStyles w:defLockedState="0" w:defUIPriority="0" w:defSemiHidden="0" w:defUnhideWhenUsed="0" w:defQFormat="1" w:count="267">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Default Paragraph Font" w:unhideWhenUsed="1" w:qFormat="0"/>
    <w:lsdException w:name="HTML Top of Form" w:semiHidden="1" w:uiPriority="99" w:unhideWhenUsed="1" w:qFormat="0"/>
    <w:lsdException w:name="HTML Bottom of Form" w:semiHidden="1" w:uiPriority="99" w:unhideWhenUsed="1" w:qFormat="0"/>
    <w:lsdException w:name="Normal (Web)" w:unhideWhenUsed="1" w:qFormat="0"/>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Placeholder Text" w:semiHidden="1" w:uiPriority="99" w:unhideWhenUsed="1" w:qFormat="0"/>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0"/>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qFormat/>
    <w:pPr>
      <w:widowControl w:val="0"/>
      <w:jc w:val="both"/>
    </w:pPr>
    <w:rPr>
      <w:rFonts w:ascii="Calibri" w:hAnsi="Calibri" w:cs="Calibri"/>
      <w:szCs w:val="21"/>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jc w:val="left"/>
    </w:pPr>
    <w:rPr>
      <w:kern w:val="0"/>
      <w:sz w:val="24"/>
      <w:szCs w:val="24"/>
    </w:rPr>
  </w:style>
  <w:style w:type="paragraph" w:styleId="a4">
    <w:name w:val="header"/>
    <w:basedOn w:val="a"/>
    <w:link w:val="Char"/>
    <w:qFormat/>
    <w:rsid w:val="00EB0E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EB0E5F"/>
    <w:rPr>
      <w:rFonts w:ascii="Calibri" w:hAnsi="Calibri" w:cs="Calibri"/>
      <w:sz w:val="18"/>
      <w:szCs w:val="18"/>
    </w:rPr>
  </w:style>
  <w:style w:type="paragraph" w:styleId="a5">
    <w:name w:val="footer"/>
    <w:basedOn w:val="a"/>
    <w:link w:val="Char0"/>
    <w:qFormat/>
    <w:rsid w:val="00EB0E5F"/>
    <w:pPr>
      <w:tabs>
        <w:tab w:val="center" w:pos="4153"/>
        <w:tab w:val="right" w:pos="8306"/>
      </w:tabs>
      <w:snapToGrid w:val="0"/>
      <w:jc w:val="left"/>
    </w:pPr>
    <w:rPr>
      <w:sz w:val="18"/>
      <w:szCs w:val="18"/>
    </w:rPr>
  </w:style>
  <w:style w:type="character" w:customStyle="1" w:styleId="Char0">
    <w:name w:val="页脚 Char"/>
    <w:basedOn w:val="a0"/>
    <w:link w:val="a5"/>
    <w:rsid w:val="00EB0E5F"/>
    <w:rPr>
      <w:rFonts w:ascii="Calibri" w:hAnsi="Calibri" w:cs="Calibr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246</Words>
  <Characters>1406</Characters>
  <Application>Microsoft Office Word</Application>
  <DocSecurity>0</DocSecurity>
  <Lines>11</Lines>
  <Paragraphs>3</Paragraphs>
  <ScaleCrop>false</ScaleCrop>
  <Company/>
  <LinksUpToDate>false</LinksUpToDate>
  <CharactersWithSpaces>1649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lb9596@163.com</cp:lastModifiedBy>
  <cp:revision>2</cp:revision>
  <dcterms:created xsi:type="dcterms:W3CDTF">2021-08-26T02:53:00Z</dcterms:created>
  <dcterms:modified xsi:type="dcterms:W3CDTF">2021-08-26T02:53:00Z</dcterms:modified>
</cp:coreProperties>
</file>