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before="240" w:line="600" w:lineRule="exact"/>
        <w:jc w:val="center"/>
        <w:textAlignment w:val="auto"/>
        <w:rPr>
          <w:rFonts w:hint="default" w:ascii="Times New Roman" w:hAnsi="Times New Roman" w:eastAsia="仿宋_GB2312" w:cs="Times New Roman"/>
          <w:sz w:val="44"/>
          <w:szCs w:val="44"/>
          <w:lang w:val="en-US" w:eastAsia="zh-CN"/>
        </w:rPr>
      </w:pPr>
      <w:r>
        <w:rPr>
          <w:rFonts w:hint="eastAsia" w:ascii="仿宋_GB2312" w:hAnsi="仿宋_GB2312" w:eastAsia="仿宋_GB2312" w:cs="仿宋_GB2312"/>
          <w:sz w:val="32"/>
          <w:szCs w:val="32"/>
        </w:rPr>
        <w:t>醴农</w:t>
      </w:r>
      <w:r>
        <w:rPr>
          <w:rFonts w:hint="eastAsia" w:ascii="仿宋_GB2312" w:hAnsi="仿宋_GB2312" w:eastAsia="仿宋_GB2312" w:cs="仿宋_GB2312"/>
          <w:sz w:val="32"/>
          <w:szCs w:val="32"/>
          <w:lang w:eastAsia="zh-CN"/>
        </w:rPr>
        <w:t>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pStyle w:val="6"/>
        <w:rPr>
          <w:rFonts w:hint="default" w:ascii="Times New Roman" w:hAnsi="Times New Roman" w:eastAsia="方正小标宋简体" w:cs="Times New Roman"/>
          <w:sz w:val="44"/>
          <w:szCs w:val="44"/>
        </w:rPr>
      </w:pPr>
    </w:p>
    <w:p>
      <w:pPr>
        <w:rPr>
          <w:rFonts w:hint="default" w:ascii="Times New Roman" w:hAnsi="Times New Roman" w:cs="Times New Roman"/>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醴陵市农业</w:t>
      </w:r>
      <w:r>
        <w:rPr>
          <w:rFonts w:hint="eastAsia" w:ascii="方正小标宋简体" w:hAnsi="方正小标宋简体" w:eastAsia="方正小标宋简体" w:cs="方正小标宋简体"/>
          <w:sz w:val="44"/>
          <w:szCs w:val="44"/>
          <w:lang w:val="en-US" w:eastAsia="zh-CN"/>
        </w:rPr>
        <w:t>农村</w:t>
      </w:r>
      <w:r>
        <w:rPr>
          <w:rFonts w:hint="eastAsia" w:ascii="方正小标宋简体" w:hAnsi="方正小标宋简体" w:eastAsia="方正小标宋简体" w:cs="方正小标宋简体"/>
          <w:sz w:val="44"/>
          <w:szCs w:val="44"/>
        </w:rPr>
        <w:t>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醴陵市</w:t>
      </w:r>
      <w:r>
        <w:rPr>
          <w:rFonts w:hint="eastAsia" w:ascii="方正小标宋简体" w:hAnsi="方正小标宋简体" w:eastAsia="方正小标宋简体" w:cs="方正小标宋简体"/>
          <w:sz w:val="44"/>
          <w:szCs w:val="44"/>
          <w:lang w:val="en-US" w:eastAsia="zh-CN"/>
        </w:rPr>
        <w:t>自然</w:t>
      </w:r>
      <w:r>
        <w:rPr>
          <w:rFonts w:hint="eastAsia" w:ascii="方正小标宋简体" w:hAnsi="方正小标宋简体" w:eastAsia="方正小标宋简体" w:cs="方正小标宋简体"/>
          <w:sz w:val="44"/>
          <w:szCs w:val="44"/>
        </w:rPr>
        <w:t>资源局</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印发《关于开展“大棚房”问题专项清理整治行动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回头看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实施</w:t>
      </w:r>
      <w:r>
        <w:rPr>
          <w:rFonts w:hint="eastAsia" w:ascii="方正小标宋简体" w:hAnsi="方正小标宋简体" w:eastAsia="方正小标宋简体" w:cs="方正小标宋简体"/>
          <w:sz w:val="44"/>
          <w:szCs w:val="44"/>
        </w:rPr>
        <w:t>方案》的通知</w:t>
      </w:r>
    </w:p>
    <w:p>
      <w:pPr>
        <w:spacing w:line="600" w:lineRule="exact"/>
        <w:rPr>
          <w:rFonts w:hint="default" w:ascii="Times New Roman" w:hAnsi="Times New Roman" w:eastAsia="方正小标宋简体" w:cs="Times New Roman"/>
          <w:sz w:val="44"/>
          <w:szCs w:val="44"/>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镇人民政府、街道办事处、</w:t>
      </w:r>
      <w:r>
        <w:rPr>
          <w:rFonts w:hint="eastAsia" w:ascii="仿宋_GB2312" w:hAnsi="仿宋_GB2312" w:eastAsia="仿宋_GB2312" w:cs="仿宋_GB2312"/>
          <w:color w:val="000000"/>
          <w:sz w:val="32"/>
          <w:szCs w:val="32"/>
        </w:rPr>
        <w:t>市直有关单位：</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现将《关于开展“大棚房”问题专项清理整治行动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回头看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方案》印发给你们，请认真贯彻执行。</w:t>
      </w:r>
    </w:p>
    <w:p>
      <w:pPr>
        <w:spacing w:line="600" w:lineRule="exact"/>
        <w:ind w:firstLine="645"/>
        <w:rPr>
          <w:rFonts w:hint="eastAsia" w:ascii="仿宋_GB2312" w:hAnsi="仿宋_GB2312" w:eastAsia="仿宋_GB2312" w:cs="仿宋_GB2312"/>
          <w:sz w:val="32"/>
          <w:szCs w:val="32"/>
        </w:rPr>
      </w:pPr>
    </w:p>
    <w:p>
      <w:pPr>
        <w:spacing w:line="600" w:lineRule="exact"/>
        <w:ind w:firstLine="645"/>
        <w:rPr>
          <w:rFonts w:hint="eastAsia" w:ascii="仿宋_GB2312" w:hAnsi="仿宋_GB2312" w:eastAsia="仿宋_GB2312" w:cs="仿宋_GB2312"/>
          <w:sz w:val="32"/>
          <w:szCs w:val="32"/>
        </w:rPr>
      </w:pP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醴陵市农业</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局               醴陵市</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资源局</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pacing w:line="600" w:lineRule="exact"/>
        <w:ind w:firstLine="645"/>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关于开展“大棚房”问题专项清理整治行动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回头看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实施</w:t>
      </w:r>
      <w:r>
        <w:rPr>
          <w:rFonts w:hint="eastAsia" w:ascii="方正小标宋简体" w:hAnsi="方正小标宋简体" w:eastAsia="方正小标宋简体" w:cs="方正小标宋简体"/>
          <w:sz w:val="44"/>
          <w:szCs w:val="44"/>
        </w:rPr>
        <w:t>方案</w:t>
      </w:r>
    </w:p>
    <w:p>
      <w:pPr>
        <w:keepNext w:val="0"/>
        <w:keepLines w:val="0"/>
        <w:pageBreakBefore w:val="0"/>
        <w:kinsoku/>
        <w:wordWrap/>
        <w:overflowPunct/>
        <w:topLinePunct w:val="0"/>
        <w:autoSpaceDE/>
        <w:autoSpaceDN/>
        <w:bidi w:val="0"/>
        <w:adjustRightInd/>
        <w:snapToGrid/>
        <w:spacing w:line="600" w:lineRule="exact"/>
        <w:ind w:firstLine="360" w:firstLineChars="200"/>
        <w:textAlignment w:val="auto"/>
        <w:rPr>
          <w:rFonts w:hint="default" w:ascii="Times New Roman" w:hAnsi="Times New Roman" w:eastAsia="华文楷体" w:cs="Times New Roman"/>
          <w:sz w:val="18"/>
          <w:szCs w:val="18"/>
        </w:rPr>
      </w:pPr>
    </w:p>
    <w:p>
      <w:pPr>
        <w:pStyle w:val="5"/>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zh-CN" w:eastAsia="zh-CN"/>
        </w:rPr>
        <w:t>为贯彻落实党中央、</w:t>
      </w:r>
      <w:r>
        <w:rPr>
          <w:rFonts w:hint="eastAsia" w:ascii="仿宋_GB2312" w:hAnsi="仿宋_GB2312" w:eastAsia="仿宋_GB2312" w:cs="仿宋_GB2312"/>
          <w:sz w:val="32"/>
          <w:szCs w:val="32"/>
          <w:lang w:val="en-US" w:eastAsia="zh-CN"/>
        </w:rPr>
        <w:t>省、市有关</w:t>
      </w:r>
      <w:r>
        <w:rPr>
          <w:rFonts w:hint="eastAsia" w:ascii="仿宋_GB2312" w:hAnsi="仿宋_GB2312" w:eastAsia="仿宋_GB2312" w:cs="仿宋_GB2312"/>
          <w:sz w:val="32"/>
          <w:szCs w:val="32"/>
          <w:lang w:val="zh-CN" w:eastAsia="zh-CN"/>
        </w:rPr>
        <w:t>决策部署，切实加强耕地保护，</w:t>
      </w:r>
      <w:r>
        <w:rPr>
          <w:rFonts w:hint="eastAsia" w:ascii="仿宋_GB2312" w:hAnsi="仿宋_GB2312" w:eastAsia="仿宋_GB2312" w:cs="仿宋_GB2312"/>
          <w:bCs w:val="0"/>
          <w:sz w:val="32"/>
          <w:szCs w:val="32"/>
        </w:rPr>
        <w:t>维护农村土地利用管理秩序，规范设施农业发展，</w:t>
      </w:r>
      <w:r>
        <w:rPr>
          <w:rFonts w:hint="eastAsia" w:ascii="仿宋_GB2312" w:hAnsi="仿宋_GB2312" w:eastAsia="仿宋_GB2312" w:cs="仿宋_GB2312"/>
          <w:sz w:val="32"/>
          <w:szCs w:val="32"/>
          <w:lang w:val="zh-CN" w:eastAsia="zh-CN"/>
        </w:rPr>
        <w:t>防止“大棚房”问题死灰复燃，</w:t>
      </w: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b w:val="0"/>
          <w:bCs w:val="0"/>
          <w:sz w:val="32"/>
          <w:szCs w:val="32"/>
          <w:lang w:val="en-US" w:eastAsia="zh-CN"/>
        </w:rPr>
        <w:t>农业农村部自然资源部</w:t>
      </w:r>
      <w:r>
        <w:rPr>
          <w:rFonts w:hint="eastAsia" w:ascii="仿宋_GB2312" w:hAnsi="仿宋_GB2312" w:eastAsia="仿宋_GB2312" w:cs="仿宋_GB2312"/>
          <w:sz w:val="32"/>
          <w:szCs w:val="32"/>
          <w:lang w:val="zh-CN" w:eastAsia="zh-CN"/>
        </w:rPr>
        <w:t>“大棚房”问题专项清理整治行动“回头看”方案》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农农发〔2021〕5号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《湖南省农业农村厅湖南省自然资源厅关于建立完善长效监管机制严防“大棚房”问题反弹的实施意见》（湘农联</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b w:val="0"/>
          <w:bCs w:val="0"/>
          <w:sz w:val="32"/>
          <w:szCs w:val="32"/>
          <w:lang w:val="en-US" w:eastAsia="zh-CN"/>
        </w:rPr>
        <w:t>13号）和农业农村部召开的“全国“大棚房”问题专项整治行动“回头看”视频会议精神，决定</w:t>
      </w:r>
      <w:r>
        <w:rPr>
          <w:rFonts w:hint="eastAsia" w:ascii="仿宋_GB2312" w:hAnsi="仿宋_GB2312" w:eastAsia="仿宋_GB2312" w:cs="仿宋_GB2312"/>
          <w:color w:val="auto"/>
          <w:sz w:val="32"/>
          <w:szCs w:val="32"/>
          <w:lang w:val="zh-CN" w:eastAsia="zh-CN"/>
        </w:rPr>
        <w:t>5月至8月</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b w:val="0"/>
          <w:bCs w:val="0"/>
          <w:sz w:val="32"/>
          <w:szCs w:val="32"/>
          <w:lang w:val="en-US" w:eastAsia="zh-CN"/>
        </w:rPr>
        <w:t>全市范围内开展“大棚房”问题清理整治“回头看”工作，</w:t>
      </w:r>
      <w:r>
        <w:rPr>
          <w:rFonts w:hint="eastAsia" w:ascii="仿宋_GB2312" w:hAnsi="仿宋_GB2312" w:eastAsia="仿宋_GB2312" w:cs="仿宋_GB2312"/>
          <w:bCs w:val="0"/>
          <w:sz w:val="32"/>
          <w:szCs w:val="32"/>
        </w:rPr>
        <w:t>特制定方案如下</w:t>
      </w:r>
      <w:r>
        <w:rPr>
          <w:rFonts w:hint="eastAsia" w:ascii="仿宋_GB2312" w:hAnsi="仿宋_GB2312" w:eastAsia="仿宋_GB2312" w:cs="仿宋_GB2312"/>
          <w:bCs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全面贯彻党的十九大和十九届</w:t>
      </w:r>
      <w:r>
        <w:rPr>
          <w:rFonts w:hint="eastAsia" w:ascii="仿宋_GB2312" w:hAnsi="仿宋_GB2312" w:eastAsia="仿宋_GB2312" w:cs="仿宋_GB2312"/>
          <w:color w:val="auto"/>
          <w:sz w:val="32"/>
          <w:szCs w:val="32"/>
          <w:lang w:val="zh-CN" w:eastAsia="zh-CN"/>
        </w:rPr>
        <w:t>二中、三中、</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中全会精神，以习近平新时代中国特色社会主义思想为指导，</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决策部署，总结前段工作进展情况，对</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“大棚房”问题清理整治行动进行再动员、再部署、再排查、</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rPr>
        <w:t>整改。落实最严格的耕地保护制度，严肃清理整治“大棚房”问题，坚决遏制</w:t>
      </w:r>
      <w:r>
        <w:rPr>
          <w:rFonts w:hint="eastAsia" w:ascii="仿宋_GB2312" w:hAnsi="仿宋_GB2312" w:eastAsia="仿宋_GB2312" w:cs="仿宋_GB2312"/>
          <w:sz w:val="32"/>
          <w:szCs w:val="32"/>
          <w:lang w:eastAsia="zh-CN"/>
        </w:rPr>
        <w:t>耕</w:t>
      </w:r>
      <w:r>
        <w:rPr>
          <w:rFonts w:hint="eastAsia" w:ascii="仿宋_GB2312" w:hAnsi="仿宋_GB2312" w:eastAsia="仿宋_GB2312" w:cs="仿宋_GB2312"/>
          <w:sz w:val="32"/>
          <w:szCs w:val="32"/>
        </w:rPr>
        <w:t>地非农化，推动建立健全耕地保护监管长效机制，严守耕地保护红线，为推进乡村振兴战略实施营造良好环境。</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清理整治范围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（一）预防整治问题反弹。</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巩固整改成效，坚决杜绝假装、敷衍、表面整改，防止问题反弹回潮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相关镇（街道）加强对辖区内前阶段整改到位的“大棚房”问题进行常态化“回头看”，预防整改问题反弹，对已经出现反弹问题的要建档立号，及时清理整治。</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sz w:val="32"/>
          <w:szCs w:val="32"/>
          <w:lang w:val="en-US" w:eastAsia="zh-CN"/>
        </w:rPr>
        <w:t>（二）摸排新增“大棚房”问题。</w:t>
      </w:r>
      <w:r>
        <w:rPr>
          <w:rFonts w:hint="eastAsia" w:ascii="仿宋_GB2312" w:hAnsi="仿宋_GB2312" w:eastAsia="仿宋_GB2312" w:cs="仿宋_GB2312"/>
          <w:sz w:val="32"/>
          <w:szCs w:val="32"/>
          <w:lang w:val="en-US" w:eastAsia="zh-CN"/>
        </w:rPr>
        <w:t>此次“回头看”集中</w:t>
      </w:r>
      <w:r>
        <w:rPr>
          <w:rFonts w:hint="eastAsia" w:ascii="仿宋_GB2312" w:hAnsi="仿宋_GB2312" w:eastAsia="仿宋_GB2312" w:cs="仿宋_GB2312"/>
          <w:sz w:val="32"/>
          <w:szCs w:val="32"/>
        </w:rPr>
        <w:t>整治三类问题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zh-CN" w:eastAsia="zh-CN"/>
        </w:rPr>
        <w:t>一是以设施农业为名占用耕地违法违规建设与农业发展无关的设施；二是在农业大棚内违法违规占用耕地建设住宅、餐饮、娱乐等非农设施；三是农业大棚看护房建设面积严重超标准［</w:t>
      </w:r>
      <w:r>
        <w:rPr>
          <w:rFonts w:hint="eastAsia" w:ascii="仿宋_GB2312" w:hAnsi="仿宋_GB2312" w:eastAsia="仿宋_GB2312" w:cs="仿宋_GB2312"/>
          <w:color w:val="auto"/>
          <w:sz w:val="32"/>
          <w:szCs w:val="32"/>
          <w:lang w:val="zh-CN" w:eastAsia="zh-CN"/>
        </w:rPr>
        <w:t>参照《自然资源部农业农村部关于设施农业用地管理有关问题的通知》（自然资规〔2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zh-CN" w:eastAsia="zh-CN"/>
        </w:rPr>
        <w:t>19〕4号）］</w:t>
      </w:r>
      <w:r>
        <w:rPr>
          <w:rFonts w:hint="eastAsia" w:ascii="仿宋_GB2312" w:hAnsi="仿宋_GB2312" w:eastAsia="仿宋_GB2312" w:cs="仿宋_GB2312"/>
          <w:color w:val="auto"/>
          <w:sz w:val="32"/>
          <w:szCs w:val="32"/>
          <w:lang w:val="zh-CN" w:eastAsia="zh-CN"/>
        </w:rPr>
        <w:t>。此外，由</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zh-CN" w:eastAsia="zh-CN"/>
        </w:rPr>
        <w:t>人民政府统一规划建设的生态移民、扶贫搬迁、下岗职工再就业等设施农业项目，主要是看护房占地超标准或手续不完善问题的，按照“一事一议”原则整治整改。</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三、工作</w:t>
      </w:r>
      <w:r>
        <w:rPr>
          <w:rFonts w:hint="default" w:ascii="Times New Roman" w:hAnsi="Times New Roman" w:eastAsia="黑体" w:cs="Times New Roman"/>
          <w:sz w:val="32"/>
          <w:szCs w:val="32"/>
          <w:lang w:val="en-US" w:eastAsia="zh-CN"/>
        </w:rPr>
        <w:t>安排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kern w:val="2"/>
          <w:sz w:val="32"/>
          <w:szCs w:val="32"/>
          <w:lang w:val="en-US" w:eastAsia="zh-CN" w:bidi="ar-SA"/>
        </w:rPr>
        <w:t>按照国家和省、市要求，我市必须在规定时间内完成整治整改任务。</w:t>
      </w:r>
      <w:r>
        <w:rPr>
          <w:rFonts w:hint="eastAsia" w:ascii="仿宋_GB2312" w:hAnsi="仿宋_GB2312" w:eastAsia="仿宋_GB2312" w:cs="仿宋_GB2312"/>
          <w:sz w:val="32"/>
          <w:szCs w:val="32"/>
        </w:rPr>
        <w:t>各</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kern w:val="2"/>
          <w:sz w:val="32"/>
          <w:szCs w:val="32"/>
          <w:lang w:val="en-US" w:eastAsia="zh-CN" w:bidi="ar-SA"/>
        </w:rPr>
        <w:t>严格落实属地管理主体责任，按照专项整治“回头看”方案，明确目标任务，制定行动方案，细化工作职责，迅速组织推进查处和整改纠正。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楷体" w:cs="Times New Roman"/>
          <w:bCs/>
          <w:sz w:val="32"/>
          <w:szCs w:val="32"/>
          <w:lang w:val="en-US" w:eastAsia="zh-CN"/>
        </w:rPr>
        <w:t>（一）摸底</w:t>
      </w:r>
      <w:r>
        <w:rPr>
          <w:rFonts w:hint="default" w:ascii="Times New Roman" w:hAnsi="Times New Roman" w:eastAsia="楷体" w:cs="Times New Roman"/>
          <w:bCs/>
          <w:sz w:val="32"/>
          <w:szCs w:val="32"/>
        </w:rPr>
        <w:t>排查阶段。</w:t>
      </w:r>
      <w:r>
        <w:rPr>
          <w:rFonts w:hint="eastAsia" w:ascii="仿宋_GB2312" w:hAnsi="仿宋_GB2312" w:eastAsia="仿宋_GB2312" w:cs="仿宋_GB2312"/>
          <w:color w:val="auto"/>
          <w:sz w:val="32"/>
          <w:szCs w:val="32"/>
          <w:lang w:val="zh-CN" w:eastAsia="zh-CN"/>
        </w:rPr>
        <w:t>从2021年5月下旬开始用2个月左右时间开展全面排查。</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color w:val="000000"/>
          <w:sz w:val="32"/>
          <w:szCs w:val="32"/>
          <w:lang w:val="en-US" w:eastAsia="zh-CN"/>
        </w:rPr>
        <w:t>在辖区内</w:t>
      </w:r>
      <w:r>
        <w:rPr>
          <w:rFonts w:hint="eastAsia" w:ascii="仿宋_GB2312" w:hAnsi="仿宋_GB2312" w:eastAsia="仿宋_GB2312" w:cs="仿宋_GB2312"/>
          <w:color w:val="000000"/>
          <w:sz w:val="32"/>
          <w:szCs w:val="32"/>
        </w:rPr>
        <w:t>全面开展排查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按照</w:t>
      </w:r>
      <w:r>
        <w:rPr>
          <w:rFonts w:hint="eastAsia" w:ascii="仿宋_GB2312" w:hAnsi="仿宋_GB2312" w:eastAsia="仿宋_GB2312" w:cs="仿宋_GB2312"/>
          <w:sz w:val="32"/>
          <w:szCs w:val="32"/>
        </w:rPr>
        <w:t>“一镇一村一册，一棚一户一档”</w:t>
      </w:r>
      <w:r>
        <w:rPr>
          <w:rFonts w:hint="eastAsia" w:ascii="仿宋_GB2312" w:hAnsi="仿宋_GB2312" w:eastAsia="仿宋_GB2312" w:cs="仿宋_GB2312"/>
          <w:sz w:val="32"/>
          <w:szCs w:val="32"/>
          <w:lang w:val="en-US" w:eastAsia="zh-CN"/>
        </w:rPr>
        <w:t>原则</w:t>
      </w:r>
      <w:r>
        <w:rPr>
          <w:rFonts w:hint="eastAsia" w:ascii="仿宋_GB2312" w:hAnsi="仿宋_GB2312" w:eastAsia="仿宋_GB2312" w:cs="仿宋_GB2312"/>
          <w:color w:val="000000"/>
          <w:sz w:val="32"/>
          <w:szCs w:val="32"/>
        </w:rPr>
        <w:t>建立问题台账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形成排查清理报告</w:t>
      </w:r>
      <w:r>
        <w:rPr>
          <w:rFonts w:hint="eastAsia" w:ascii="仿宋_GB2312" w:hAnsi="仿宋_GB2312" w:eastAsia="仿宋_GB2312" w:cs="仿宋_GB2312"/>
          <w:color w:val="000000"/>
          <w:sz w:val="32"/>
          <w:szCs w:val="32"/>
          <w:lang w:val="en-US" w:eastAsia="zh-CN"/>
        </w:rPr>
        <w:t>，于</w:t>
      </w:r>
      <w:r>
        <w:rPr>
          <w:rFonts w:hint="eastAsia" w:ascii="仿宋_GB2312" w:hAnsi="仿宋_GB2312" w:eastAsia="仿宋_GB2312" w:cs="仿宋_GB2312"/>
          <w:sz w:val="32"/>
          <w:szCs w:val="32"/>
          <w:lang w:val="en-US" w:eastAsia="zh-CN"/>
        </w:rPr>
        <w:t>2021年6月20日前</w:t>
      </w:r>
      <w:r>
        <w:rPr>
          <w:rFonts w:hint="eastAsia" w:ascii="仿宋_GB2312" w:hAnsi="仿宋_GB2312" w:eastAsia="仿宋_GB2312" w:cs="仿宋_GB2312"/>
          <w:sz w:val="32"/>
          <w:szCs w:val="32"/>
        </w:rPr>
        <w:t>报市专项清理整治行动领导小组。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楷体" w:hAnsi="楷体" w:eastAsia="楷体" w:cs="楷体"/>
          <w:bCs/>
          <w:sz w:val="32"/>
          <w:szCs w:val="32"/>
        </w:rPr>
        <w:t>（二）整治整改阶段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val="zh-CN" w:eastAsia="zh-CN"/>
        </w:rPr>
        <w:t>从2021年7月下旬开始用1个月左右的时间按照“回头看”方案和“大棚房”问题专项清理整治指导意见等文件要求进行整改。</w:t>
      </w:r>
      <w:r>
        <w:rPr>
          <w:rFonts w:hint="eastAsia" w:ascii="仿宋_GB2312" w:hAnsi="仿宋_GB2312" w:eastAsia="仿宋_GB2312" w:cs="仿宋_GB2312"/>
          <w:sz w:val="32"/>
          <w:szCs w:val="32"/>
        </w:rPr>
        <w:t>市专项清理整治行动领导小组</w:t>
      </w:r>
      <w:r>
        <w:rPr>
          <w:rFonts w:hint="eastAsia" w:ascii="仿宋_GB2312" w:hAnsi="仿宋_GB2312" w:eastAsia="仿宋_GB2312" w:cs="仿宋_GB2312"/>
          <w:sz w:val="32"/>
          <w:szCs w:val="32"/>
          <w:lang w:val="en-US" w:eastAsia="zh-CN"/>
        </w:rPr>
        <w:t>采取暗访方式对</w:t>
      </w:r>
      <w:r>
        <w:rPr>
          <w:rFonts w:hint="eastAsia" w:ascii="仿宋_GB2312" w:hAnsi="仿宋_GB2312" w:eastAsia="仿宋_GB2312" w:cs="仿宋_GB2312"/>
          <w:sz w:val="32"/>
          <w:szCs w:val="32"/>
        </w:rPr>
        <w:t>“大棚房”</w:t>
      </w:r>
      <w:r>
        <w:rPr>
          <w:rFonts w:hint="eastAsia" w:ascii="仿宋_GB2312" w:hAnsi="仿宋_GB2312" w:eastAsia="仿宋_GB2312" w:cs="仿宋_GB2312"/>
          <w:sz w:val="32"/>
          <w:szCs w:val="32"/>
          <w:lang w:val="en-US" w:eastAsia="zh-CN"/>
        </w:rPr>
        <w:t>问题进行跟踪问效、一追到底、加快整改进度，确保整改落实到位，对督查发现行动迟缓、推进不力、不作为、慢作为的及时跟进监督，做到现场发现、现场提醒、现场督促整改，情节严重的将交纪检部门</w:t>
      </w:r>
      <w:r>
        <w:rPr>
          <w:rFonts w:hint="eastAsia" w:ascii="仿宋_GB2312" w:hAnsi="仿宋_GB2312" w:eastAsia="仿宋_GB2312" w:cs="仿宋_GB2312"/>
          <w:color w:val="auto"/>
          <w:sz w:val="32"/>
          <w:szCs w:val="32"/>
          <w:lang w:val="zh-CN" w:eastAsia="zh-CN"/>
        </w:rPr>
        <w:t>问责追责。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zh-CN" w:eastAsia="zh-CN"/>
        </w:rPr>
        <w:t>8月</w:t>
      </w:r>
      <w:r>
        <w:rPr>
          <w:rFonts w:hint="eastAsia" w:ascii="仿宋_GB2312" w:hAnsi="仿宋_GB2312" w:eastAsia="仿宋_GB2312" w:cs="仿宋_GB2312"/>
          <w:sz w:val="32"/>
          <w:szCs w:val="32"/>
          <w:lang w:val="en-US" w:eastAsia="zh-CN"/>
        </w:rPr>
        <w:t>15日</w:t>
      </w:r>
      <w:r>
        <w:rPr>
          <w:rFonts w:hint="eastAsia" w:ascii="仿宋_GB2312" w:hAnsi="仿宋_GB2312" w:eastAsia="仿宋_GB2312" w:cs="仿宋_GB2312"/>
          <w:sz w:val="32"/>
          <w:szCs w:val="32"/>
          <w:lang w:val="zh-CN" w:eastAsia="zh-CN"/>
        </w:rPr>
        <w:t>前，</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sz w:val="32"/>
          <w:szCs w:val="32"/>
          <w:lang w:val="zh-CN" w:eastAsia="zh-CN"/>
        </w:rPr>
        <w:t>要在认真总结“回头看”情况的基础上，形成专题报告</w:t>
      </w:r>
      <w:r>
        <w:rPr>
          <w:rFonts w:hint="eastAsia" w:ascii="仿宋_GB2312" w:hAnsi="仿宋_GB2312" w:eastAsia="仿宋_GB2312" w:cs="仿宋_GB2312"/>
          <w:sz w:val="32"/>
          <w:szCs w:val="32"/>
        </w:rPr>
        <w:t>报市专项清理整治行动领导小组。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Cs/>
          <w:sz w:val="32"/>
          <w:szCs w:val="32"/>
        </w:rPr>
        <w:t>（一）加强组织领导。</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镇（街道）</w:t>
      </w:r>
      <w:r>
        <w:rPr>
          <w:rFonts w:hint="eastAsia" w:ascii="仿宋_GB2312" w:hAnsi="仿宋_GB2312" w:eastAsia="仿宋_GB2312" w:cs="仿宋_GB2312"/>
          <w:color w:val="auto"/>
          <w:sz w:val="32"/>
          <w:szCs w:val="32"/>
          <w:lang w:val="zh-CN" w:eastAsia="zh-CN"/>
        </w:rPr>
        <w:t>要高度重视，充分认识“回头看”的重要性、复杂性、艰巨性，严格属地管理，压实属地责任，特别是辖区</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lang w:val="zh-CN" w:eastAsia="zh-CN"/>
        </w:rPr>
        <w:t>负责同志要亲自挂帅，深入一线，靠前指挥，及时解决“回头看”中出现的问题，切实把各项任务落到实处，确保整治取得实效和维护农村稳定。</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Cs/>
          <w:sz w:val="32"/>
          <w:szCs w:val="32"/>
        </w:rPr>
        <w:t>（二）强化舆论引导。</w:t>
      </w:r>
      <w:r>
        <w:rPr>
          <w:rFonts w:hint="eastAsia" w:ascii="仿宋_GB2312" w:hAnsi="仿宋_GB2312" w:eastAsia="仿宋_GB2312" w:cs="仿宋_GB2312"/>
          <w:kern w:val="2"/>
          <w:sz w:val="32"/>
          <w:szCs w:val="32"/>
          <w:lang w:val="en-US" w:eastAsia="zh-CN" w:bidi="ar-SA"/>
        </w:rPr>
        <w:t>要强化政策宣讲，加大宣传力度，采取媒体宣传、网络发动、召开会议、下发文件等多种方式，加大对“大棚房”违法案件查处的宣传报道，加强舆论宣传和政策宣讲，引导群众认清危害并自觉抵制，切实做好群众工作，赢得群众的理解和支持，为清理整改工作营造良好的社会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楷体" w:cs="Times New Roman"/>
          <w:bCs/>
          <w:sz w:val="32"/>
          <w:szCs w:val="32"/>
        </w:rPr>
        <w:t>（</w:t>
      </w:r>
      <w:r>
        <w:rPr>
          <w:rFonts w:hint="default" w:ascii="Times New Roman" w:hAnsi="Times New Roman" w:eastAsia="楷体" w:cs="Times New Roman"/>
          <w:bCs/>
          <w:kern w:val="2"/>
          <w:sz w:val="32"/>
          <w:szCs w:val="32"/>
          <w:lang w:val="en-US" w:eastAsia="zh-CN" w:bidi="ar-SA"/>
        </w:rPr>
        <w:t>三）切实履行职责。</w:t>
      </w:r>
      <w:r>
        <w:rPr>
          <w:rFonts w:hint="eastAsia" w:ascii="仿宋_GB2312" w:hAnsi="仿宋_GB2312" w:eastAsia="仿宋_GB2312" w:cs="仿宋_GB2312"/>
          <w:kern w:val="2"/>
          <w:sz w:val="32"/>
          <w:szCs w:val="32"/>
          <w:lang w:val="en-US" w:eastAsia="zh-CN" w:bidi="ar-SA"/>
        </w:rPr>
        <w:t>相关职能部门要充分发挥职能优势，做好业务指导，形成合力；各镇（街道）</w:t>
      </w:r>
      <w:r>
        <w:rPr>
          <w:rFonts w:hint="eastAsia" w:ascii="仿宋_GB2312" w:hAnsi="仿宋_GB2312" w:eastAsia="仿宋_GB2312" w:cs="仿宋_GB2312"/>
          <w:color w:val="auto"/>
          <w:sz w:val="32"/>
          <w:szCs w:val="32"/>
          <w:lang w:val="zh-CN" w:eastAsia="zh-CN"/>
        </w:rPr>
        <w:t>要把排查和整治贯穿“回头看”全过程，深入查、彻底查，做到不漏报、不瞒报。要把整治作为“回头看”的重点任务，倒排工期，挂牌督战，坚决整治，做到不拖延、不回避、不敷衍。要讲究方式方法，把握政策，区分情况，依法依规，严格标准，避免工作筒单化、“一刀切”。</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Cs/>
          <w:sz w:val="32"/>
          <w:szCs w:val="32"/>
          <w:lang w:val="en-US" w:eastAsia="zh-CN"/>
        </w:rPr>
        <w:t>（四）</w:t>
      </w:r>
      <w:r>
        <w:rPr>
          <w:rFonts w:hint="default" w:ascii="Times New Roman" w:hAnsi="Times New Roman" w:eastAsia="楷体" w:cs="Times New Roman"/>
          <w:bCs/>
          <w:sz w:val="32"/>
          <w:szCs w:val="32"/>
        </w:rPr>
        <w:t>严肃督导问责。</w:t>
      </w:r>
      <w:r>
        <w:rPr>
          <w:rFonts w:hint="default" w:ascii="Times New Roman" w:hAnsi="Times New Roman" w:eastAsia="仿宋_GB2312" w:cs="Times New Roman"/>
          <w:kern w:val="2"/>
          <w:sz w:val="32"/>
          <w:szCs w:val="32"/>
          <w:lang w:val="en-US" w:eastAsia="zh-CN" w:bidi="ar-SA"/>
        </w:rPr>
        <w:t>在集中开展专项行动期间，要设立举报电话，建立举报制度，接受群众举报，接受舆论监督。对专项行动每一个环节，严肃认真督导，及时向社会通报。健全问责机制，对违法违规问题，要发现一起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查处一起，</w:t>
      </w:r>
      <w:r>
        <w:rPr>
          <w:rFonts w:hint="eastAsia" w:ascii="Times New Roman" w:hAnsi="Times New Roman" w:eastAsia="仿宋_GB2312" w:cs="Times New Roman"/>
          <w:kern w:val="2"/>
          <w:sz w:val="32"/>
          <w:szCs w:val="32"/>
          <w:lang w:val="en-US" w:eastAsia="zh-CN" w:bidi="ar-SA"/>
        </w:rPr>
        <w:t>并及时</w:t>
      </w:r>
      <w:bookmarkStart w:id="2" w:name="_GoBack"/>
      <w:bookmarkEnd w:id="2"/>
      <w:r>
        <w:rPr>
          <w:rFonts w:hint="default" w:ascii="Times New Roman" w:hAnsi="Times New Roman" w:eastAsia="仿宋_GB2312" w:cs="Times New Roman"/>
          <w:kern w:val="2"/>
          <w:sz w:val="32"/>
          <w:szCs w:val="32"/>
          <w:lang w:val="en-US" w:eastAsia="zh-CN" w:bidi="ar-SA"/>
        </w:rPr>
        <w:t>进行警示教育。</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楷体" w:cs="Times New Roman"/>
          <w:bCs/>
          <w:sz w:val="32"/>
          <w:szCs w:val="32"/>
        </w:rPr>
        <w:t>（</w:t>
      </w:r>
      <w:r>
        <w:rPr>
          <w:rFonts w:hint="default" w:ascii="Times New Roman" w:hAnsi="Times New Roman" w:eastAsia="楷体" w:cs="Times New Roman"/>
          <w:bCs/>
          <w:sz w:val="32"/>
          <w:szCs w:val="32"/>
          <w:lang w:val="en-US" w:eastAsia="zh-CN"/>
        </w:rPr>
        <w:t>五</w:t>
      </w:r>
      <w:r>
        <w:rPr>
          <w:rFonts w:hint="default" w:ascii="Times New Roman" w:hAnsi="Times New Roman" w:eastAsia="楷体" w:cs="Times New Roman"/>
          <w:bCs/>
          <w:sz w:val="32"/>
          <w:szCs w:val="32"/>
        </w:rPr>
        <w:t>）</w:t>
      </w:r>
      <w:r>
        <w:rPr>
          <w:rFonts w:hint="default" w:ascii="Times New Roman" w:hAnsi="Times New Roman" w:eastAsia="楷体" w:cs="Times New Roman"/>
          <w:bCs/>
          <w:sz w:val="32"/>
          <w:szCs w:val="32"/>
          <w:lang w:val="en-US" w:eastAsia="zh-CN"/>
        </w:rPr>
        <w:t>建立长效机制</w:t>
      </w:r>
      <w:r>
        <w:rPr>
          <w:rFonts w:hint="default" w:ascii="Times New Roman" w:hAnsi="Times New Roman" w:eastAsia="楷体" w:cs="Times New Roman"/>
          <w:bCs/>
          <w:sz w:val="32"/>
          <w:szCs w:val="32"/>
        </w:rPr>
        <w:t>。</w:t>
      </w:r>
      <w:r>
        <w:rPr>
          <w:rFonts w:hint="eastAsia" w:ascii="仿宋_GB2312" w:hAnsi="仿宋_GB2312" w:eastAsia="仿宋_GB2312" w:cs="仿宋_GB2312"/>
          <w:kern w:val="2"/>
          <w:sz w:val="32"/>
          <w:szCs w:val="32"/>
          <w:lang w:val="en-US" w:eastAsia="zh-CN" w:bidi="ar-SA"/>
        </w:rPr>
        <w:t>结合此次专项行动，强化永久基本农田用途特殊管制措施，建立违法违规占用耕地有奖举报制度。镇（街道）采取“每月一巡查、每月一上报”方式(次月5日前上报)，健全完善早发现、早制止、严查处的日常监管机制，构建设施农用地违法违规行为防范在先、发现及时、制止有效、查处到位的防范整治长效监管机制，保障设施农业规范有序健康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醴陵市“</w:t>
      </w:r>
      <w:r>
        <w:rPr>
          <w:rFonts w:hint="eastAsia" w:ascii="仿宋_GB2312" w:hAnsi="仿宋_GB2312" w:eastAsia="仿宋_GB2312" w:cs="仿宋_GB2312"/>
          <w:sz w:val="32"/>
          <w:szCs w:val="32"/>
        </w:rPr>
        <w:t>大棚房”问题专项清理整治行动协调推进小组举报电话</w:t>
      </w:r>
      <w:r>
        <w:rPr>
          <w:rFonts w:hint="default" w:ascii="Times New Roman" w:hAnsi="Times New Roman" w:eastAsia="仿宋_GB2312" w:cs="Times New Roman"/>
          <w:sz w:val="32"/>
          <w:szCs w:val="32"/>
        </w:rPr>
        <w:t>：0731-</w:t>
      </w:r>
      <w:r>
        <w:rPr>
          <w:rFonts w:hint="default" w:ascii="Times New Roman" w:hAnsi="Times New Roman" w:eastAsia="仿宋_GB2312" w:cs="Times New Roman"/>
          <w:color w:val="000000"/>
          <w:sz w:val="32"/>
          <w:szCs w:val="32"/>
        </w:rPr>
        <w:t>23059318。</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醴陵市“大棚房”专项清理整治行动领导小组办公室联络员：</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农业农村</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联系人：黄志斌</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sz w:val="32"/>
          <w:szCs w:val="32"/>
        </w:rPr>
        <w:t>0731-23059318</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市</w:t>
      </w:r>
      <w:r>
        <w:rPr>
          <w:rFonts w:hint="eastAsia" w:ascii="Times New Roman" w:hAnsi="Times New Roman" w:eastAsia="仿宋_GB2312" w:cs="Times New Roman"/>
          <w:color w:val="000000"/>
          <w:sz w:val="32"/>
          <w:szCs w:val="32"/>
          <w:lang w:eastAsia="zh-CN"/>
        </w:rPr>
        <w:t>自然资源</w:t>
      </w:r>
      <w:r>
        <w:rPr>
          <w:rFonts w:hint="default" w:ascii="Times New Roman" w:hAnsi="Times New Roman" w:eastAsia="仿宋_GB2312" w:cs="Times New Roman"/>
          <w:color w:val="000000"/>
          <w:sz w:val="32"/>
          <w:szCs w:val="32"/>
        </w:rPr>
        <w:t>局</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联系人：赵</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强 联系电话：0731-23220308</w:t>
      </w:r>
    </w:p>
    <w:p>
      <w:pPr>
        <w:keepNext w:val="0"/>
        <w:keepLines w:val="0"/>
        <w:pageBreakBefore w:val="0"/>
        <w:kinsoku/>
        <w:wordWrap/>
        <w:overflowPunct/>
        <w:topLinePunct w:val="0"/>
        <w:autoSpaceDE/>
        <w:autoSpaceDN/>
        <w:bidi w:val="0"/>
        <w:adjustRightInd/>
        <w:snapToGrid/>
        <w:spacing w:before="189" w:line="600" w:lineRule="exact"/>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189" w:line="600" w:lineRule="exact"/>
        <w:ind w:left="1599" w:leftChars="152" w:hanging="1280" w:hanging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color w:val="000000"/>
          <w:sz w:val="32"/>
          <w:szCs w:val="32"/>
        </w:rPr>
        <w:t>、醴陵市“</w:t>
      </w:r>
      <w:r>
        <w:rPr>
          <w:rFonts w:hint="eastAsia" w:ascii="仿宋_GB2312" w:hAnsi="仿宋_GB2312" w:eastAsia="仿宋_GB2312" w:cs="仿宋_GB2312"/>
          <w:sz w:val="32"/>
          <w:szCs w:val="32"/>
        </w:rPr>
        <w:t>大棚房”专项清理整治行动各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rPr>
        <w:t>负责人员名单</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醴陵市</w:t>
      </w:r>
      <w:r>
        <w:rPr>
          <w:rFonts w:hint="eastAsia" w:ascii="仿宋_GB2312" w:hAnsi="仿宋_GB2312" w:eastAsia="仿宋_GB2312" w:cs="仿宋_GB2312"/>
          <w:sz w:val="32"/>
          <w:szCs w:val="32"/>
          <w:lang w:val="zh-CN" w:eastAsia="zh-CN"/>
        </w:rPr>
        <w:t>“大棚房”问题“回头看”违规问题明细表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701" w:left="1531" w:header="851" w:footer="1588" w:gutter="0"/>
          <w:cols w:space="720" w:num="1"/>
          <w:docGrid w:type="linesAndChars" w:linePitch="579" w:charSpace="0"/>
        </w:sectPr>
      </w:pPr>
      <w:r>
        <w:rPr>
          <w:rFonts w:hint="eastAsia" w:ascii="仿宋_GB2312" w:hAnsi="仿宋_GB2312" w:eastAsia="仿宋_GB2312" w:cs="仿宋_GB2312"/>
          <w:sz w:val="32"/>
          <w:szCs w:val="32"/>
        </w:rPr>
        <w:t>3、醴陵市</w:t>
      </w:r>
      <w:r>
        <w:rPr>
          <w:rFonts w:hint="eastAsia" w:ascii="仿宋_GB2312" w:hAnsi="仿宋_GB2312" w:eastAsia="仿宋_GB2312" w:cs="仿宋_GB2312"/>
          <w:sz w:val="32"/>
          <w:szCs w:val="32"/>
          <w:lang w:val="zh-CN" w:eastAsia="zh-CN"/>
        </w:rPr>
        <w:t>“大棚房”问题“回头看”违规问题汇总表</w:t>
      </w: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spacing w:line="640" w:lineRule="exact"/>
        <w:ind w:firstLine="880" w:firstLineChars="2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rPr>
        <w:t>醴陵市“大棚房”专项清理整治行动各</w:t>
      </w:r>
      <w:r>
        <w:rPr>
          <w:rFonts w:hint="eastAsia" w:ascii="Times New Roman" w:hAnsi="Times New Roman" w:eastAsia="方正小标宋简体" w:cs="Times New Roman"/>
          <w:color w:val="000000"/>
          <w:sz w:val="44"/>
          <w:szCs w:val="44"/>
          <w:lang w:eastAsia="zh-CN"/>
        </w:rPr>
        <w:t>镇（街道）</w:t>
      </w:r>
      <w:r>
        <w:rPr>
          <w:rFonts w:hint="default" w:ascii="Times New Roman" w:hAnsi="Times New Roman" w:eastAsia="方正小标宋简体" w:cs="Times New Roman"/>
          <w:color w:val="000000"/>
          <w:sz w:val="44"/>
          <w:szCs w:val="44"/>
        </w:rPr>
        <w:t>负责人员名单</w:t>
      </w:r>
    </w:p>
    <w:p>
      <w:pPr>
        <w:ind w:firstLine="720" w:firstLineChars="200"/>
        <w:jc w:val="center"/>
        <w:rPr>
          <w:rFonts w:hint="default" w:ascii="Times New Roman" w:hAnsi="Times New Roman" w:eastAsia="方正小标宋简体" w:cs="Times New Roman"/>
          <w:sz w:val="36"/>
          <w:szCs w:val="36"/>
        </w:rPr>
      </w:pP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83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    位</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分管领导</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    务</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834"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83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    位</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联络员</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    务</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2835"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834"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c>
          <w:tcPr>
            <w:tcW w:w="2835" w:type="dxa"/>
          </w:tcPr>
          <w:p>
            <w:pPr>
              <w:jc w:val="center"/>
              <w:rPr>
                <w:rFonts w:hint="default" w:ascii="Times New Roman" w:hAnsi="Times New Roman" w:eastAsia="仿宋_GB2312" w:cs="Times New Roman"/>
                <w:sz w:val="28"/>
                <w:szCs w:val="28"/>
              </w:rPr>
            </w:pPr>
          </w:p>
        </w:tc>
      </w:tr>
    </w:tbl>
    <w:p>
      <w:pPr>
        <w:jc w:val="left"/>
        <w:rPr>
          <w:rFonts w:hint="default" w:ascii="Times New Roman" w:hAnsi="Times New Roman" w:eastAsia="仿宋" w:cs="Times New Roman"/>
          <w:sz w:val="32"/>
          <w:szCs w:val="32"/>
        </w:rPr>
      </w:pPr>
    </w:p>
    <w:p>
      <w:pPr>
        <w:pStyle w:val="6"/>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jc w:val="center"/>
        <w:rPr>
          <w:rFonts w:hint="default" w:ascii="Times New Roman" w:hAnsi="Times New Roman" w:eastAsia="方正小标宋简体" w:cs="Times New Roman"/>
          <w:color w:val="auto"/>
          <w:sz w:val="44"/>
          <w:szCs w:val="44"/>
        </w:rPr>
      </w:pPr>
      <w:bookmarkStart w:id="0" w:name="bookmark1"/>
      <w:r>
        <w:rPr>
          <w:rFonts w:hint="default" w:ascii="Times New Roman" w:hAnsi="Times New Roman" w:eastAsia="方正小标宋简体" w:cs="Times New Roman"/>
          <w:color w:val="000000"/>
          <w:sz w:val="44"/>
          <w:szCs w:val="44"/>
        </w:rPr>
        <w:t>醴陵市</w:t>
      </w:r>
      <w:r>
        <w:rPr>
          <w:rFonts w:hint="default" w:ascii="Times New Roman" w:hAnsi="Times New Roman" w:eastAsia="方正小标宋简体" w:cs="Times New Roman"/>
          <w:color w:val="auto"/>
          <w:sz w:val="44"/>
          <w:szCs w:val="44"/>
          <w:lang w:val="zh-CN" w:eastAsia="zh-CN"/>
        </w:rPr>
        <w:t>“大棚房”问题“回头看”违规问题明细表</w:t>
      </w:r>
      <w:bookmarkEnd w:id="0"/>
    </w:p>
    <w:p>
      <w:pPr>
        <w:rPr>
          <w:rFonts w:hint="default" w:ascii="Times New Roman" w:hAnsi="Times New Roman" w:cs="Times New Roman"/>
          <w:color w:val="auto"/>
          <w:lang w:val="en-US"/>
        </w:rPr>
      </w:pPr>
      <w:r>
        <w:rPr>
          <w:rFonts w:hint="default" w:ascii="Times New Roman" w:hAnsi="Times New Roman" w:eastAsia="宋体" w:cs="Times New Roman"/>
          <w:color w:val="auto"/>
          <w:u w:val="single"/>
          <w:lang w:val="en-US" w:eastAsia="zh-CN"/>
        </w:rPr>
        <w:t xml:space="preserve">           </w:t>
      </w:r>
      <w:r>
        <w:rPr>
          <w:rFonts w:hint="eastAsia" w:ascii="Times New Roman" w:hAnsi="Times New Roman" w:cs="Times New Roman"/>
          <w:color w:val="auto"/>
          <w:lang w:val="en-US" w:eastAsia="zh-CN"/>
        </w:rPr>
        <w:t>镇（街道）</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u w:val="none"/>
          <w:lang w:val="en-US" w:eastAsia="zh-CN"/>
        </w:rPr>
        <w:t xml:space="preserve">   年    月    日 </w:t>
      </w:r>
    </w:p>
    <w:tbl>
      <w:tblPr>
        <w:tblStyle w:val="12"/>
        <w:tblW w:w="13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051"/>
        <w:gridCol w:w="1051"/>
        <w:gridCol w:w="1239"/>
        <w:gridCol w:w="1248"/>
        <w:gridCol w:w="1294"/>
        <w:gridCol w:w="1051"/>
        <w:gridCol w:w="1672"/>
        <w:gridCol w:w="1238"/>
        <w:gridCol w:w="123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99" w:type="dxa"/>
            <w:vMerge w:val="restart"/>
            <w:vAlign w:val="center"/>
          </w:tcPr>
          <w:p>
            <w:pPr>
              <w:ind w:left="0" w:leftChars="0" w:right="0" w:rightChars="0" w:firstLine="0" w:firstLineChars="0"/>
              <w:jc w:val="center"/>
              <w:rPr>
                <w:rFonts w:hint="default" w:ascii="Times New Roman" w:hAnsi="Times New Roman" w:cs="Times New Roman" w:eastAsiaTheme="majorEastAsia"/>
                <w:color w:val="000000"/>
                <w:spacing w:val="0"/>
                <w:w w:val="100"/>
                <w:position w:val="0"/>
                <w:sz w:val="28"/>
                <w:szCs w:val="28"/>
                <w:lang w:val="zh-CN" w:eastAsia="zh-CN" w:bidi="zh-CN"/>
              </w:rPr>
            </w:pPr>
            <w:r>
              <w:rPr>
                <w:rFonts w:hint="default" w:ascii="Times New Roman" w:hAnsi="Times New Roman" w:cs="Times New Roman" w:eastAsiaTheme="majorEastAsia"/>
                <w:sz w:val="28"/>
                <w:szCs w:val="28"/>
              </w:rPr>
              <w:t>序号</w:t>
            </w:r>
          </w:p>
        </w:tc>
        <w:tc>
          <w:tcPr>
            <w:tcW w:w="1051" w:type="dxa"/>
            <w:vMerge w:val="restart"/>
            <w:vAlign w:val="center"/>
          </w:tcPr>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项目主体名称</w:t>
            </w:r>
          </w:p>
        </w:tc>
        <w:tc>
          <w:tcPr>
            <w:tcW w:w="1051" w:type="dxa"/>
            <w:vMerge w:val="restart"/>
            <w:vAlign w:val="center"/>
          </w:tcPr>
          <w:p>
            <w:pPr>
              <w:spacing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w:t>
            </w:r>
          </w:p>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地点</w:t>
            </w:r>
          </w:p>
        </w:tc>
        <w:tc>
          <w:tcPr>
            <w:tcW w:w="1239"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用地总</w:t>
            </w:r>
          </w:p>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面积</w:t>
            </w:r>
          </w:p>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亩</w:t>
            </w:r>
            <w:r>
              <w:rPr>
                <w:rFonts w:hint="eastAsia" w:ascii="仿宋_GB2312" w:hAnsi="仿宋_GB2312" w:eastAsia="仿宋_GB2312" w:cs="仿宋_GB2312"/>
                <w:sz w:val="24"/>
                <w:szCs w:val="24"/>
              </w:rPr>
              <w:t>）</w:t>
            </w:r>
          </w:p>
        </w:tc>
        <w:tc>
          <w:tcPr>
            <w:tcW w:w="1248" w:type="dxa"/>
            <w:vMerge w:val="restart"/>
            <w:vAlign w:val="center"/>
          </w:tcPr>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其中违规 建设面积 (亩）</w:t>
            </w:r>
          </w:p>
        </w:tc>
        <w:tc>
          <w:tcPr>
            <w:tcW w:w="1294" w:type="dxa"/>
            <w:vMerge w:val="restart"/>
            <w:vAlign w:val="center"/>
          </w:tcPr>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项目负责人</w:t>
            </w:r>
          </w:p>
        </w:tc>
        <w:tc>
          <w:tcPr>
            <w:tcW w:w="1051" w:type="dxa"/>
            <w:vMerge w:val="restart"/>
            <w:vAlign w:val="center"/>
          </w:tcPr>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联系方式</w:t>
            </w:r>
          </w:p>
        </w:tc>
        <w:tc>
          <w:tcPr>
            <w:tcW w:w="1672" w:type="dxa"/>
            <w:vMerge w:val="restart"/>
            <w:vAlign w:val="center"/>
          </w:tcPr>
          <w:p>
            <w:pPr>
              <w:spacing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问题类型</w:t>
            </w:r>
          </w:p>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 xml:space="preserve"> (一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二、三）</w:t>
            </w:r>
          </w:p>
        </w:tc>
        <w:tc>
          <w:tcPr>
            <w:tcW w:w="391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color w:val="auto"/>
                <w:spacing w:val="0"/>
                <w:w w:val="100"/>
                <w:position w:val="0"/>
                <w:sz w:val="24"/>
                <w:szCs w:val="24"/>
                <w:vertAlign w:val="baseline"/>
                <w:lang w:val="zh-CN" w:eastAsia="zh-CN" w:bidi="zh-CN"/>
              </w:rPr>
            </w:pPr>
            <w:r>
              <w:rPr>
                <w:rFonts w:hint="eastAsia" w:ascii="仿宋_GB2312" w:hAnsi="仿宋_GB2312" w:eastAsia="仿宋_GB2312" w:cs="仿宋_GB2312"/>
                <w:sz w:val="24"/>
                <w:szCs w:val="24"/>
              </w:rPr>
              <w:t>违规问题分类（在对应类型处填</w:t>
            </w:r>
            <w:r>
              <w:rPr>
                <w:rFonts w:hint="eastAsia" w:ascii="仿宋_GB2312" w:hAnsi="仿宋_GB2312" w:eastAsia="仿宋_GB2312" w:cs="仿宋_GB2312"/>
                <w:sz w:val="24"/>
                <w:szCs w:val="24"/>
                <w:lang w:val="en-US" w:eastAsia="en-US"/>
              </w:rPr>
              <w:t>“</w:t>
            </w:r>
            <w:r>
              <w:rPr>
                <w:rFonts w:hint="eastAsia" w:ascii="仿宋_GB2312" w:hAnsi="仿宋_GB2312" w:eastAsia="仿宋_GB2312" w:cs="仿宋_GB2312"/>
                <w:sz w:val="24"/>
                <w:szCs w:val="24"/>
              </w:rPr>
              <w:t>V</w:t>
            </w:r>
            <w:r>
              <w:rPr>
                <w:rFonts w:hint="eastAsia" w:ascii="仿宋_GB2312" w:hAnsi="仿宋_GB2312" w:eastAsia="仿宋_GB2312" w:cs="仿宋_GB2312"/>
                <w:sz w:val="24"/>
                <w:szCs w:val="24"/>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99" w:type="dxa"/>
            <w:vMerge w:val="continue"/>
          </w:tcPr>
          <w:p>
            <w:pPr>
              <w:shd w:val="clear"/>
              <w:rPr>
                <w:rFonts w:hint="default" w:ascii="Times New Roman" w:hAnsi="Times New Roman" w:cs="Times New Roman"/>
                <w:color w:val="auto"/>
                <w:sz w:val="28"/>
                <w:szCs w:val="32"/>
                <w:vertAlign w:val="baseline"/>
              </w:rPr>
            </w:pPr>
          </w:p>
        </w:tc>
        <w:tc>
          <w:tcPr>
            <w:tcW w:w="1051"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051"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239"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248"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294"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051"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672" w:type="dxa"/>
            <w:vMerge w:val="continue"/>
          </w:tcPr>
          <w:p>
            <w:pPr>
              <w:shd w:val="clear"/>
              <w:spacing w:line="240" w:lineRule="auto"/>
              <w:rPr>
                <w:rFonts w:hint="eastAsia" w:ascii="仿宋_GB2312" w:hAnsi="仿宋_GB2312" w:eastAsia="仿宋_GB2312" w:cs="仿宋_GB2312"/>
                <w:color w:val="auto"/>
                <w:sz w:val="24"/>
                <w:szCs w:val="24"/>
                <w:vertAlign w:val="baseline"/>
              </w:rPr>
            </w:pPr>
          </w:p>
        </w:tc>
        <w:tc>
          <w:tcPr>
            <w:tcW w:w="1238" w:type="dxa"/>
            <w:vAlign w:val="center"/>
          </w:tcPr>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遗留未整改到位问题</w:t>
            </w:r>
          </w:p>
        </w:tc>
        <w:tc>
          <w:tcPr>
            <w:tcW w:w="1233" w:type="dxa"/>
            <w:vAlign w:val="center"/>
          </w:tcPr>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已整改到位改扩建反弹问题</w:t>
            </w:r>
          </w:p>
        </w:tc>
        <w:tc>
          <w:tcPr>
            <w:tcW w:w="1440" w:type="dxa"/>
            <w:vAlign w:val="center"/>
          </w:tcPr>
          <w:p>
            <w:pPr>
              <w:spacing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新建违规</w:t>
            </w:r>
          </w:p>
          <w:p>
            <w:pPr>
              <w:spacing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zh-CN" w:eastAsia="zh-CN" w:bidi="zh-CN"/>
              </w:rPr>
            </w:pPr>
            <w:r>
              <w:rPr>
                <w:rFonts w:hint="eastAsia" w:ascii="仿宋_GB2312" w:hAnsi="仿宋_GB2312" w:eastAsia="仿宋_GB2312" w:cs="仿宋_GB2312"/>
                <w:sz w:val="24"/>
                <w:szCs w:val="24"/>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99"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239" w:type="dxa"/>
          </w:tcPr>
          <w:p>
            <w:pPr>
              <w:shd w:val="clear"/>
              <w:rPr>
                <w:rFonts w:hint="default" w:ascii="Times New Roman" w:hAnsi="Times New Roman" w:cs="Times New Roman"/>
                <w:color w:val="auto"/>
                <w:sz w:val="28"/>
                <w:szCs w:val="32"/>
                <w:vertAlign w:val="baseline"/>
              </w:rPr>
            </w:pPr>
          </w:p>
        </w:tc>
        <w:tc>
          <w:tcPr>
            <w:tcW w:w="1248" w:type="dxa"/>
          </w:tcPr>
          <w:p>
            <w:pPr>
              <w:shd w:val="clear"/>
              <w:rPr>
                <w:rFonts w:hint="default" w:ascii="Times New Roman" w:hAnsi="Times New Roman" w:cs="Times New Roman"/>
                <w:color w:val="auto"/>
                <w:sz w:val="28"/>
                <w:szCs w:val="32"/>
                <w:vertAlign w:val="baseline"/>
              </w:rPr>
            </w:pPr>
          </w:p>
        </w:tc>
        <w:tc>
          <w:tcPr>
            <w:tcW w:w="1294"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672" w:type="dxa"/>
          </w:tcPr>
          <w:p>
            <w:pPr>
              <w:shd w:val="clear"/>
              <w:rPr>
                <w:rFonts w:hint="default" w:ascii="Times New Roman" w:hAnsi="Times New Roman" w:cs="Times New Roman"/>
                <w:color w:val="auto"/>
                <w:sz w:val="28"/>
                <w:szCs w:val="32"/>
                <w:vertAlign w:val="baseline"/>
              </w:rPr>
            </w:pPr>
          </w:p>
        </w:tc>
        <w:tc>
          <w:tcPr>
            <w:tcW w:w="1238" w:type="dxa"/>
          </w:tcPr>
          <w:p>
            <w:pPr>
              <w:shd w:val="clear"/>
              <w:rPr>
                <w:rFonts w:hint="default" w:ascii="Times New Roman" w:hAnsi="Times New Roman" w:cs="Times New Roman"/>
                <w:color w:val="auto"/>
                <w:sz w:val="28"/>
                <w:szCs w:val="32"/>
                <w:vertAlign w:val="baseline"/>
              </w:rPr>
            </w:pPr>
          </w:p>
        </w:tc>
        <w:tc>
          <w:tcPr>
            <w:tcW w:w="1233" w:type="dxa"/>
          </w:tcPr>
          <w:p>
            <w:pPr>
              <w:shd w:val="clear"/>
              <w:rPr>
                <w:rFonts w:hint="default" w:ascii="Times New Roman" w:hAnsi="Times New Roman" w:cs="Times New Roman"/>
                <w:color w:val="auto"/>
                <w:sz w:val="28"/>
                <w:szCs w:val="32"/>
                <w:vertAlign w:val="baseline"/>
              </w:rPr>
            </w:pPr>
          </w:p>
        </w:tc>
        <w:tc>
          <w:tcPr>
            <w:tcW w:w="1440" w:type="dxa"/>
          </w:tcPr>
          <w:p>
            <w:pPr>
              <w:shd w:val="clear"/>
              <w:rPr>
                <w:rFonts w:hint="default" w:ascii="Times New Roman" w:hAnsi="Times New Roman" w:cs="Times New Roman"/>
                <w:color w:val="auto"/>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99"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239" w:type="dxa"/>
          </w:tcPr>
          <w:p>
            <w:pPr>
              <w:shd w:val="clear"/>
              <w:rPr>
                <w:rFonts w:hint="default" w:ascii="Times New Roman" w:hAnsi="Times New Roman" w:cs="Times New Roman"/>
                <w:color w:val="auto"/>
                <w:sz w:val="28"/>
                <w:szCs w:val="32"/>
                <w:vertAlign w:val="baseline"/>
              </w:rPr>
            </w:pPr>
          </w:p>
        </w:tc>
        <w:tc>
          <w:tcPr>
            <w:tcW w:w="1248" w:type="dxa"/>
          </w:tcPr>
          <w:p>
            <w:pPr>
              <w:shd w:val="clear"/>
              <w:rPr>
                <w:rFonts w:hint="default" w:ascii="Times New Roman" w:hAnsi="Times New Roman" w:cs="Times New Roman"/>
                <w:color w:val="auto"/>
                <w:sz w:val="28"/>
                <w:szCs w:val="32"/>
                <w:vertAlign w:val="baseline"/>
              </w:rPr>
            </w:pPr>
          </w:p>
        </w:tc>
        <w:tc>
          <w:tcPr>
            <w:tcW w:w="1294"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672" w:type="dxa"/>
          </w:tcPr>
          <w:p>
            <w:pPr>
              <w:shd w:val="clear"/>
              <w:rPr>
                <w:rFonts w:hint="default" w:ascii="Times New Roman" w:hAnsi="Times New Roman" w:cs="Times New Roman"/>
                <w:color w:val="auto"/>
                <w:sz w:val="28"/>
                <w:szCs w:val="32"/>
                <w:vertAlign w:val="baseline"/>
              </w:rPr>
            </w:pPr>
          </w:p>
        </w:tc>
        <w:tc>
          <w:tcPr>
            <w:tcW w:w="1238" w:type="dxa"/>
          </w:tcPr>
          <w:p>
            <w:pPr>
              <w:shd w:val="clear"/>
              <w:rPr>
                <w:rFonts w:hint="default" w:ascii="Times New Roman" w:hAnsi="Times New Roman" w:cs="Times New Roman"/>
                <w:color w:val="auto"/>
                <w:sz w:val="28"/>
                <w:szCs w:val="32"/>
                <w:vertAlign w:val="baseline"/>
              </w:rPr>
            </w:pPr>
          </w:p>
        </w:tc>
        <w:tc>
          <w:tcPr>
            <w:tcW w:w="1233" w:type="dxa"/>
          </w:tcPr>
          <w:p>
            <w:pPr>
              <w:shd w:val="clear"/>
              <w:rPr>
                <w:rFonts w:hint="default" w:ascii="Times New Roman" w:hAnsi="Times New Roman" w:cs="Times New Roman"/>
                <w:color w:val="auto"/>
                <w:sz w:val="28"/>
                <w:szCs w:val="32"/>
                <w:vertAlign w:val="baseline"/>
              </w:rPr>
            </w:pPr>
          </w:p>
        </w:tc>
        <w:tc>
          <w:tcPr>
            <w:tcW w:w="1440" w:type="dxa"/>
          </w:tcPr>
          <w:p>
            <w:pPr>
              <w:shd w:val="clear"/>
              <w:rPr>
                <w:rFonts w:hint="default" w:ascii="Times New Roman" w:hAnsi="Times New Roman" w:cs="Times New Roman"/>
                <w:color w:val="auto"/>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99"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239" w:type="dxa"/>
          </w:tcPr>
          <w:p>
            <w:pPr>
              <w:shd w:val="clear"/>
              <w:rPr>
                <w:rFonts w:hint="default" w:ascii="Times New Roman" w:hAnsi="Times New Roman" w:cs="Times New Roman"/>
                <w:color w:val="auto"/>
                <w:sz w:val="28"/>
                <w:szCs w:val="32"/>
                <w:vertAlign w:val="baseline"/>
              </w:rPr>
            </w:pPr>
          </w:p>
        </w:tc>
        <w:tc>
          <w:tcPr>
            <w:tcW w:w="1248" w:type="dxa"/>
          </w:tcPr>
          <w:p>
            <w:pPr>
              <w:shd w:val="clear"/>
              <w:rPr>
                <w:rFonts w:hint="default" w:ascii="Times New Roman" w:hAnsi="Times New Roman" w:cs="Times New Roman"/>
                <w:color w:val="auto"/>
                <w:sz w:val="28"/>
                <w:szCs w:val="32"/>
                <w:vertAlign w:val="baseline"/>
              </w:rPr>
            </w:pPr>
          </w:p>
        </w:tc>
        <w:tc>
          <w:tcPr>
            <w:tcW w:w="1294" w:type="dxa"/>
          </w:tcPr>
          <w:p>
            <w:pPr>
              <w:shd w:val="clear"/>
              <w:rPr>
                <w:rFonts w:hint="default" w:ascii="Times New Roman" w:hAnsi="Times New Roman" w:cs="Times New Roman"/>
                <w:color w:val="auto"/>
                <w:sz w:val="28"/>
                <w:szCs w:val="32"/>
                <w:vertAlign w:val="baseline"/>
              </w:rPr>
            </w:pPr>
          </w:p>
        </w:tc>
        <w:tc>
          <w:tcPr>
            <w:tcW w:w="1051" w:type="dxa"/>
          </w:tcPr>
          <w:p>
            <w:pPr>
              <w:shd w:val="clear"/>
              <w:rPr>
                <w:rFonts w:hint="default" w:ascii="Times New Roman" w:hAnsi="Times New Roman" w:cs="Times New Roman"/>
                <w:color w:val="auto"/>
                <w:sz w:val="28"/>
                <w:szCs w:val="32"/>
                <w:vertAlign w:val="baseline"/>
              </w:rPr>
            </w:pPr>
          </w:p>
        </w:tc>
        <w:tc>
          <w:tcPr>
            <w:tcW w:w="1672" w:type="dxa"/>
          </w:tcPr>
          <w:p>
            <w:pPr>
              <w:shd w:val="clear"/>
              <w:rPr>
                <w:rFonts w:hint="default" w:ascii="Times New Roman" w:hAnsi="Times New Roman" w:cs="Times New Roman"/>
                <w:color w:val="auto"/>
                <w:sz w:val="28"/>
                <w:szCs w:val="32"/>
                <w:vertAlign w:val="baseline"/>
              </w:rPr>
            </w:pPr>
          </w:p>
        </w:tc>
        <w:tc>
          <w:tcPr>
            <w:tcW w:w="1238" w:type="dxa"/>
          </w:tcPr>
          <w:p>
            <w:pPr>
              <w:shd w:val="clear"/>
              <w:rPr>
                <w:rFonts w:hint="default" w:ascii="Times New Roman" w:hAnsi="Times New Roman" w:cs="Times New Roman"/>
                <w:color w:val="auto"/>
                <w:sz w:val="28"/>
                <w:szCs w:val="32"/>
                <w:vertAlign w:val="baseline"/>
              </w:rPr>
            </w:pPr>
          </w:p>
        </w:tc>
        <w:tc>
          <w:tcPr>
            <w:tcW w:w="1233" w:type="dxa"/>
          </w:tcPr>
          <w:p>
            <w:pPr>
              <w:shd w:val="clear"/>
              <w:rPr>
                <w:rFonts w:hint="default" w:ascii="Times New Roman" w:hAnsi="Times New Roman" w:cs="Times New Roman"/>
                <w:color w:val="auto"/>
                <w:sz w:val="28"/>
                <w:szCs w:val="32"/>
                <w:vertAlign w:val="baseline"/>
              </w:rPr>
            </w:pPr>
          </w:p>
        </w:tc>
        <w:tc>
          <w:tcPr>
            <w:tcW w:w="1440" w:type="dxa"/>
          </w:tcPr>
          <w:p>
            <w:pPr>
              <w:shd w:val="clear"/>
              <w:rPr>
                <w:rFonts w:hint="default" w:ascii="Times New Roman" w:hAnsi="Times New Roman" w:cs="Times New Roman"/>
                <w:color w:val="auto"/>
                <w:sz w:val="28"/>
                <w:szCs w:val="32"/>
                <w:vertAlign w:val="baseline"/>
              </w:rPr>
            </w:pPr>
          </w:p>
        </w:tc>
      </w:tr>
    </w:tbl>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sz w:val="22"/>
          <w:szCs w:val="22"/>
        </w:rPr>
      </w:pPr>
      <w:r>
        <w:rPr>
          <w:rFonts w:hint="default" w:ascii="Times New Roman" w:hAnsi="Times New Roman" w:cs="Times New Roman"/>
          <w:color w:val="auto"/>
          <w:lang w:val="en-US" w:eastAsia="zh-CN"/>
        </w:rPr>
        <w:t>备注：</w:t>
      </w:r>
      <w:r>
        <w:rPr>
          <w:rFonts w:hint="default" w:ascii="Times New Roman" w:hAnsi="Times New Roman" w:eastAsia="仿宋_GB2312" w:cs="Times New Roman"/>
          <w:sz w:val="22"/>
          <w:szCs w:val="22"/>
        </w:rPr>
        <w:t>违规建设面积是指：超过标准的建设面积、硬化面积、以及其他非农用途面积。</w:t>
      </w:r>
    </w:p>
    <w:p>
      <w:pPr>
        <w:keepNext w:val="0"/>
        <w:keepLines w:val="0"/>
        <w:pageBreakBefore w:val="0"/>
        <w:widowControl/>
        <w:kinsoku w:val="0"/>
        <w:wordWrap/>
        <w:overflowPunct/>
        <w:topLinePunct w:val="0"/>
        <w:autoSpaceDE w:val="0"/>
        <w:autoSpaceDN w:val="0"/>
        <w:bidi w:val="0"/>
        <w:adjustRightInd w:val="0"/>
        <w:snapToGrid w:val="0"/>
        <w:spacing w:line="280" w:lineRule="exact"/>
        <w:ind w:firstLine="660" w:firstLineChars="300"/>
        <w:textAlignment w:val="baseline"/>
        <w:rPr>
          <w:rFonts w:hint="default" w:ascii="Times New Roman" w:hAnsi="Times New Roman" w:cs="Times New Roman"/>
        </w:rPr>
      </w:pPr>
      <w:r>
        <w:rPr>
          <w:rFonts w:hint="default" w:ascii="Times New Roman" w:hAnsi="Times New Roman" w:eastAsia="仿宋_GB2312" w:cs="Times New Roman"/>
          <w:sz w:val="22"/>
          <w:szCs w:val="22"/>
          <w:lang w:val="en-US" w:eastAsia="zh-CN"/>
        </w:rPr>
        <w:t>问题类型：Ⅰ</w:t>
      </w:r>
      <w:r>
        <w:rPr>
          <w:rFonts w:hint="default" w:ascii="Times New Roman" w:hAnsi="Times New Roman" w:eastAsia="微软雅黑" w:cs="Times New Roman"/>
          <w:sz w:val="22"/>
          <w:szCs w:val="22"/>
          <w:lang w:val="en-US" w:eastAsia="zh-CN"/>
        </w:rPr>
        <w:t>.</w:t>
      </w:r>
      <w:r>
        <w:rPr>
          <w:rFonts w:hint="default" w:ascii="Times New Roman" w:hAnsi="Times New Roman" w:eastAsia="仿宋_GB2312" w:cs="Times New Roman"/>
          <w:sz w:val="22"/>
          <w:szCs w:val="22"/>
        </w:rPr>
        <w:t>在各类农业园区内占用耕地或直接在耕地上违法违规建设非农设施，特别是别墅、休闲度假设施等</w:t>
      </w:r>
      <w:r>
        <w:rPr>
          <w:rFonts w:hint="default" w:ascii="Times New Roman" w:hAnsi="Times New Roman" w:eastAsia="仿宋_GB2312" w:cs="Times New Roman"/>
          <w:sz w:val="22"/>
          <w:szCs w:val="22"/>
          <w:lang w:eastAsia="zh-CN"/>
        </w:rPr>
        <w:t>；</w:t>
      </w:r>
      <w:r>
        <w:rPr>
          <w:rFonts w:hint="default" w:ascii="Times New Roman" w:hAnsi="Times New Roman" w:eastAsia="微软雅黑" w:cs="Times New Roman"/>
          <w:sz w:val="22"/>
          <w:szCs w:val="22"/>
          <w:lang w:val="en-US" w:eastAsia="zh-CN"/>
        </w:rPr>
        <w:t>Ⅱ.</w:t>
      </w:r>
      <w:r>
        <w:rPr>
          <w:rFonts w:hint="default" w:ascii="Times New Roman" w:hAnsi="Times New Roman" w:eastAsia="仿宋_GB2312" w:cs="Times New Roman"/>
          <w:sz w:val="22"/>
          <w:szCs w:val="22"/>
        </w:rPr>
        <w:t>在农业大棚内违法违规占用耕地建设商品住宅</w:t>
      </w:r>
      <w:r>
        <w:rPr>
          <w:rFonts w:hint="default" w:ascii="Times New Roman" w:hAnsi="Times New Roman" w:eastAsia="仿宋_GB2312" w:cs="Times New Roman"/>
          <w:sz w:val="22"/>
          <w:szCs w:val="22"/>
          <w:lang w:eastAsia="zh-CN"/>
        </w:rPr>
        <w:t>；</w:t>
      </w:r>
      <w:r>
        <w:rPr>
          <w:rFonts w:hint="default" w:ascii="Times New Roman" w:hAnsi="Times New Roman" w:eastAsia="微软雅黑" w:cs="Times New Roman"/>
          <w:sz w:val="22"/>
          <w:szCs w:val="22"/>
          <w:lang w:val="en-US" w:eastAsia="zh-CN"/>
        </w:rPr>
        <w:t>Ⅲ</w:t>
      </w:r>
      <w:r>
        <w:rPr>
          <w:rFonts w:hint="default"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rPr>
        <w:t>建设农业大棚看护房严重超标准，甚至违法违规改变性质用途，进行住宅类经营性开发。</w:t>
      </w:r>
    </w:p>
    <w:p>
      <w:pPr>
        <w:pStyle w:val="6"/>
        <w:keepNext w:val="0"/>
        <w:keepLines w:val="0"/>
        <w:pageBreakBefore w:val="0"/>
        <w:wordWrap/>
        <w:overflowPunct/>
        <w:topLinePunct w:val="0"/>
        <w:bidi w:val="0"/>
        <w:spacing w:line="280" w:lineRule="exact"/>
        <w:rPr>
          <w:rFonts w:hint="default" w:ascii="Times New Roman" w:hAnsi="Times New Roman" w:cs="Times New Roman"/>
        </w:rPr>
        <w:sectPr>
          <w:pgSz w:w="16838" w:h="11906" w:orient="landscape"/>
          <w:pgMar w:top="1531" w:right="2098" w:bottom="1531" w:left="1701" w:header="851" w:footer="1588" w:gutter="0"/>
          <w:cols w:space="720" w:num="1"/>
          <w:docGrid w:type="linesAndChars" w:linePitch="579" w:charSpace="0"/>
        </w:sectPr>
      </w:pPr>
    </w:p>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pPr>
        <w:jc w:val="center"/>
        <w:rPr>
          <w:rFonts w:hint="default" w:ascii="Times New Roman" w:hAnsi="Times New Roman" w:eastAsia="方正小标宋简体" w:cs="Times New Roman"/>
          <w:color w:val="auto"/>
          <w:sz w:val="44"/>
          <w:szCs w:val="44"/>
        </w:rPr>
      </w:pPr>
      <w:bookmarkStart w:id="1" w:name="bookmark2"/>
      <w:r>
        <w:rPr>
          <w:rFonts w:hint="default" w:ascii="Times New Roman" w:hAnsi="Times New Roman" w:eastAsia="方正小标宋简体" w:cs="Times New Roman"/>
          <w:color w:val="000000"/>
          <w:sz w:val="44"/>
          <w:szCs w:val="44"/>
        </w:rPr>
        <w:t>醴陵市</w:t>
      </w:r>
      <w:r>
        <w:rPr>
          <w:rFonts w:hint="default" w:ascii="Times New Roman" w:hAnsi="Times New Roman" w:eastAsia="方正小标宋简体" w:cs="Times New Roman"/>
          <w:color w:val="auto"/>
          <w:sz w:val="44"/>
          <w:szCs w:val="44"/>
          <w:lang w:val="zh-CN" w:eastAsia="zh-CN"/>
        </w:rPr>
        <w:t>“大棚房”问题“回头看”违规问题汇总表</w:t>
      </w:r>
      <w:bookmarkEnd w:id="1"/>
    </w:p>
    <w:p>
      <w:pPr>
        <w:rPr>
          <w:rFonts w:hint="default" w:ascii="Times New Roman" w:hAnsi="Times New Roman" w:eastAsia="宋体" w:cs="Times New Roman"/>
          <w:color w:val="auto"/>
          <w:u w:val="single"/>
          <w:lang w:val="en-US" w:eastAsia="zh-CN"/>
        </w:rPr>
      </w:pPr>
    </w:p>
    <w:p>
      <w:pPr>
        <w:keepNext w:val="0"/>
        <w:keepLines w:val="0"/>
        <w:pageBreakBefore w:val="0"/>
        <w:widowControl w:val="0"/>
        <w:kinsoku/>
        <w:wordWrap/>
        <w:overflowPunct/>
        <w:topLinePunct w:val="0"/>
        <w:autoSpaceDE/>
        <w:autoSpaceDN/>
        <w:bidi w:val="0"/>
        <w:adjustRightInd/>
        <w:snapToGrid/>
        <w:spacing w:after="126" w:afterLines="40"/>
        <w:textAlignment w:val="auto"/>
        <w:rPr>
          <w:rFonts w:hint="default" w:ascii="Times New Roman" w:hAnsi="Times New Roman" w:cs="Times New Roman"/>
          <w:color w:val="auto"/>
        </w:rPr>
      </w:pPr>
      <w:r>
        <w:rPr>
          <w:rFonts w:hint="default" w:ascii="Times New Roman" w:hAnsi="Times New Roman" w:eastAsia="宋体" w:cs="Times New Roman"/>
          <w:color w:val="auto"/>
          <w:u w:val="single"/>
          <w:lang w:val="en-US" w:eastAsia="zh-CN"/>
        </w:rPr>
        <w:t xml:space="preserve">           </w:t>
      </w:r>
      <w:r>
        <w:rPr>
          <w:rFonts w:hint="eastAsia" w:ascii="Times New Roman" w:hAnsi="Times New Roman" w:cs="Times New Roman"/>
          <w:color w:val="auto"/>
          <w:lang w:val="en-US" w:eastAsia="zh-CN"/>
        </w:rPr>
        <w:t>镇（街道）</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u w:val="none"/>
          <w:lang w:val="en-US" w:eastAsia="zh-CN"/>
        </w:rPr>
        <w:t>年    月    日</w:t>
      </w:r>
      <w:r>
        <w:rPr>
          <w:rFonts w:hint="default" w:ascii="Times New Roman" w:hAnsi="Times New Roman" w:cs="Times New Roman"/>
          <w:sz w:val="32"/>
          <w:szCs w:val="32"/>
        </w:rPr>
        <w:t xml:space="preserve"> </w:t>
      </w:r>
    </w:p>
    <w:tbl>
      <w:tblPr>
        <w:tblStyle w:val="11"/>
        <w:tblW w:w="14079" w:type="dxa"/>
        <w:jc w:val="center"/>
        <w:tblLayout w:type="fixed"/>
        <w:tblCellMar>
          <w:top w:w="0" w:type="dxa"/>
          <w:left w:w="10" w:type="dxa"/>
          <w:bottom w:w="0" w:type="dxa"/>
          <w:right w:w="10" w:type="dxa"/>
        </w:tblCellMar>
      </w:tblPr>
      <w:tblGrid>
        <w:gridCol w:w="1417"/>
        <w:gridCol w:w="1407"/>
        <w:gridCol w:w="1402"/>
        <w:gridCol w:w="1402"/>
        <w:gridCol w:w="1407"/>
        <w:gridCol w:w="1393"/>
        <w:gridCol w:w="1407"/>
        <w:gridCol w:w="1402"/>
        <w:gridCol w:w="1417"/>
        <w:gridCol w:w="1425"/>
      </w:tblGrid>
      <w:tr>
        <w:tblPrEx>
          <w:tblCellMar>
            <w:top w:w="0" w:type="dxa"/>
            <w:left w:w="10" w:type="dxa"/>
            <w:bottom w:w="0" w:type="dxa"/>
            <w:right w:w="10" w:type="dxa"/>
          </w:tblCellMar>
        </w:tblPrEx>
        <w:trPr>
          <w:trHeight w:val="948" w:hRule="exact"/>
          <w:jc w:val="center"/>
        </w:trPr>
        <w:tc>
          <w:tcPr>
            <w:vMerge w:val="restart"/>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问题类型</w:t>
            </w:r>
          </w:p>
        </w:tc>
        <w:tc>
          <w:tcPr>
            <w:vMerge w:val="restart"/>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核查项目</w:t>
            </w:r>
          </w:p>
          <w:p>
            <w:pPr>
              <w:jc w:val="center"/>
              <w:rPr>
                <w:rFonts w:hint="default" w:ascii="Times New Roman" w:hAnsi="Times New Roman" w:cs="Times New Roman"/>
                <w:color w:val="auto"/>
              </w:rPr>
            </w:pPr>
            <w:r>
              <w:rPr>
                <w:rFonts w:hint="default" w:ascii="Times New Roman" w:hAnsi="Times New Roman" w:cs="Times New Roman"/>
                <w:color w:val="auto"/>
              </w:rPr>
              <w:t>主体总数</w:t>
            </w:r>
          </w:p>
          <w:p>
            <w:pPr>
              <w:jc w:val="center"/>
              <w:rPr>
                <w:rFonts w:hint="default" w:ascii="Times New Roman" w:hAnsi="Times New Roman" w:cs="Times New Roman"/>
                <w:color w:val="auto"/>
              </w:rPr>
            </w:pPr>
            <w:r>
              <w:rPr>
                <w:rFonts w:hint="default" w:ascii="Times New Roman" w:hAnsi="Times New Roman" w:cs="Times New Roman"/>
                <w:color w:val="auto"/>
              </w:rPr>
              <w:t>(个）</w:t>
            </w:r>
          </w:p>
        </w:tc>
        <w:tc>
          <w:tcPr>
            <w:gridSpan w:val="8"/>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其中“回头看”发现问题类型及数量</w:t>
            </w:r>
          </w:p>
        </w:tc>
      </w:tr>
      <w:tr>
        <w:tblPrEx>
          <w:tblCellMar>
            <w:top w:w="0" w:type="dxa"/>
            <w:left w:w="10" w:type="dxa"/>
            <w:bottom w:w="0" w:type="dxa"/>
            <w:right w:w="10" w:type="dxa"/>
          </w:tblCellMar>
        </w:tblPrEx>
        <w:trPr>
          <w:trHeight w:val="1114" w:hRule="exact"/>
          <w:jc w:val="center"/>
        </w:trPr>
        <w:tc>
          <w:tcPr>
            <w:vMerge w:val="continue"/>
            <w:tcBorders>
              <w:left w:val="single" w:color="auto" w:sz="4" w:space="0"/>
            </w:tcBorders>
            <w:shd w:val="clear" w:color="auto" w:fill="FFFFFF"/>
            <w:vAlign w:val="center"/>
          </w:tcPr>
          <w:p>
            <w:pPr>
              <w:jc w:val="center"/>
              <w:rPr>
                <w:rFonts w:hint="default" w:ascii="Times New Roman" w:hAnsi="Times New Roman"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cs="Times New Roman"/>
                <w:color w:val="auto"/>
              </w:rPr>
            </w:pPr>
          </w:p>
        </w:tc>
        <w:tc>
          <w:tcPr>
            <w:gridSpan w:val="2"/>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小计</w:t>
            </w:r>
          </w:p>
        </w:tc>
        <w:tc>
          <w:tcPr>
            <w:gridSpan w:val="2"/>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遗留未整改到位问题</w:t>
            </w:r>
          </w:p>
        </w:tc>
        <w:tc>
          <w:tcPr>
            <w:gridSpan w:val="2"/>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已整改到位 改扩建反弹问题</w:t>
            </w:r>
          </w:p>
        </w:tc>
        <w:tc>
          <w:tcPr>
            <w:gridSpan w:val="2"/>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新建违规问题</w:t>
            </w:r>
          </w:p>
        </w:tc>
      </w:tr>
      <w:tr>
        <w:tblPrEx>
          <w:tblCellMar>
            <w:top w:w="0" w:type="dxa"/>
            <w:left w:w="10" w:type="dxa"/>
            <w:bottom w:w="0" w:type="dxa"/>
            <w:right w:w="10" w:type="dxa"/>
          </w:tblCellMar>
        </w:tblPrEx>
        <w:trPr>
          <w:trHeight w:val="770" w:hRule="exact"/>
          <w:jc w:val="center"/>
        </w:trPr>
        <w:tc>
          <w:tcPr>
            <w:vMerge w:val="continue"/>
            <w:tcBorders>
              <w:left w:val="single" w:color="auto" w:sz="4" w:space="0"/>
            </w:tcBorders>
            <w:shd w:val="clear" w:color="auto" w:fill="FFFFFF"/>
            <w:vAlign w:val="center"/>
          </w:tcPr>
          <w:p>
            <w:pPr>
              <w:jc w:val="center"/>
              <w:rPr>
                <w:rFonts w:hint="default" w:ascii="Times New Roman" w:hAnsi="Times New Roman" w:cs="Times New Roman"/>
                <w:color w:val="auto"/>
              </w:rPr>
            </w:pPr>
          </w:p>
        </w:tc>
        <w:tc>
          <w:tcPr>
            <w:vMerge w:val="continue"/>
            <w:tcBorders>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个数</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面积（亩）</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个数</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面积（亩）</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个数</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面积（亩）</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个数</w:t>
            </w:r>
          </w:p>
        </w:tc>
        <w:tc>
          <w:tcPr>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面积（亩）</w:t>
            </w:r>
          </w:p>
        </w:tc>
      </w:tr>
      <w:tr>
        <w:tblPrEx>
          <w:tblCellMar>
            <w:top w:w="0" w:type="dxa"/>
            <w:left w:w="10" w:type="dxa"/>
            <w:bottom w:w="0" w:type="dxa"/>
            <w:right w:w="10" w:type="dxa"/>
          </w:tblCellMar>
        </w:tblPrEx>
        <w:trPr>
          <w:trHeight w:val="745" w:hRule="exact"/>
          <w:jc w:val="center"/>
        </w:trPr>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一</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p>
        </w:tc>
      </w:tr>
      <w:tr>
        <w:tblPrEx>
          <w:tblCellMar>
            <w:top w:w="0" w:type="dxa"/>
            <w:left w:w="10" w:type="dxa"/>
            <w:bottom w:w="0" w:type="dxa"/>
            <w:right w:w="10" w:type="dxa"/>
          </w:tblCellMar>
        </w:tblPrEx>
        <w:trPr>
          <w:trHeight w:val="668" w:hRule="exact"/>
          <w:jc w:val="center"/>
        </w:trPr>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二</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p>
        </w:tc>
      </w:tr>
      <w:tr>
        <w:tblPrEx>
          <w:tblCellMar>
            <w:top w:w="0" w:type="dxa"/>
            <w:left w:w="10" w:type="dxa"/>
            <w:bottom w:w="0" w:type="dxa"/>
            <w:right w:w="10" w:type="dxa"/>
          </w:tblCellMar>
        </w:tblPrEx>
        <w:trPr>
          <w:trHeight w:val="650" w:hRule="exact"/>
          <w:jc w:val="center"/>
        </w:trPr>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三</w:t>
            </w: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p>
        </w:tc>
      </w:tr>
      <w:tr>
        <w:tblPrEx>
          <w:tblCellMar>
            <w:top w:w="0" w:type="dxa"/>
            <w:left w:w="10" w:type="dxa"/>
            <w:bottom w:w="0" w:type="dxa"/>
            <w:right w:w="10" w:type="dxa"/>
          </w:tblCellMar>
        </w:tblPrEx>
        <w:trPr>
          <w:trHeight w:val="700" w:hRule="exact"/>
          <w:jc w:val="center"/>
        </w:trPr>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总计</w:t>
            </w: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color w:val="auto"/>
              </w:rPr>
            </w:pPr>
          </w:p>
        </w:tc>
        <w:tc>
          <w:tcPr>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cs="Times New Roman"/>
                <w:color w:val="auto"/>
              </w:rPr>
            </w:pPr>
          </w:p>
        </w:tc>
      </w:tr>
    </w:tbl>
    <w:p>
      <w:pPr>
        <w:rPr>
          <w:rFonts w:hint="default" w:ascii="Times New Roman" w:hAnsi="Times New Roman" w:cs="Times New Roman"/>
          <w:color w:val="auto"/>
        </w:rPr>
      </w:pPr>
    </w:p>
    <w:sectPr>
      <w:headerReference r:id="rId9" w:type="default"/>
      <w:footerReference r:id="rId10"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8"/>
        <w:szCs w:val="28"/>
      </w:rPr>
    </w:pPr>
    <w:r>
      <w:rPr>
        <w:rStyle w:val="15"/>
        <w:sz w:val="28"/>
        <w:szCs w:val="28"/>
      </w:rPr>
      <w:t>—</w:t>
    </w: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2</w:t>
    </w:r>
    <w:r>
      <w:rPr>
        <w:rStyle w:val="15"/>
        <w:sz w:val="28"/>
        <w:szCs w:val="28"/>
      </w:rPr>
      <w:fldChar w:fldCharType="end"/>
    </w:r>
    <w:r>
      <w:rPr>
        <w:rStyle w:val="15"/>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11 -</w:t>
    </w:r>
    <w:r>
      <w:rPr>
        <w:sz w:val="28"/>
        <w:szCs w:val="28"/>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E09EE"/>
    <w:multiLevelType w:val="singleLevel"/>
    <w:tmpl w:val="3BDE09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02F"/>
    <w:rsid w:val="00016660"/>
    <w:rsid w:val="00061199"/>
    <w:rsid w:val="000656F7"/>
    <w:rsid w:val="000A1A95"/>
    <w:rsid w:val="001B7959"/>
    <w:rsid w:val="002877A3"/>
    <w:rsid w:val="002A6EE0"/>
    <w:rsid w:val="002E65D7"/>
    <w:rsid w:val="003552F4"/>
    <w:rsid w:val="004429A7"/>
    <w:rsid w:val="004C17D0"/>
    <w:rsid w:val="005B78C3"/>
    <w:rsid w:val="00616EA5"/>
    <w:rsid w:val="00743E11"/>
    <w:rsid w:val="00744496"/>
    <w:rsid w:val="00760CBA"/>
    <w:rsid w:val="007B3D13"/>
    <w:rsid w:val="00832B3E"/>
    <w:rsid w:val="008D002F"/>
    <w:rsid w:val="008D7F0B"/>
    <w:rsid w:val="009079B2"/>
    <w:rsid w:val="00A70682"/>
    <w:rsid w:val="00AA2028"/>
    <w:rsid w:val="00AB1DD3"/>
    <w:rsid w:val="00BF1D2D"/>
    <w:rsid w:val="00C4233F"/>
    <w:rsid w:val="00C9645F"/>
    <w:rsid w:val="00DA71E5"/>
    <w:rsid w:val="00DB392F"/>
    <w:rsid w:val="00DC17CE"/>
    <w:rsid w:val="00DE501A"/>
    <w:rsid w:val="00DE63DC"/>
    <w:rsid w:val="00E34E08"/>
    <w:rsid w:val="00E54BFB"/>
    <w:rsid w:val="00E60801"/>
    <w:rsid w:val="00F21D11"/>
    <w:rsid w:val="00F44A8E"/>
    <w:rsid w:val="00F53AD7"/>
    <w:rsid w:val="0232315B"/>
    <w:rsid w:val="02C340A7"/>
    <w:rsid w:val="05983AF7"/>
    <w:rsid w:val="05A53EE3"/>
    <w:rsid w:val="082E738F"/>
    <w:rsid w:val="0D503A1E"/>
    <w:rsid w:val="119E3208"/>
    <w:rsid w:val="1CC15CE8"/>
    <w:rsid w:val="1FAE37D0"/>
    <w:rsid w:val="1FE50539"/>
    <w:rsid w:val="20631F0C"/>
    <w:rsid w:val="22915E6B"/>
    <w:rsid w:val="22950AAE"/>
    <w:rsid w:val="2537474D"/>
    <w:rsid w:val="270A42DF"/>
    <w:rsid w:val="27910AFE"/>
    <w:rsid w:val="2A682E24"/>
    <w:rsid w:val="2AD33035"/>
    <w:rsid w:val="2CB72948"/>
    <w:rsid w:val="2D3B7425"/>
    <w:rsid w:val="30284E85"/>
    <w:rsid w:val="319E20EB"/>
    <w:rsid w:val="3A191D4E"/>
    <w:rsid w:val="3B376E1A"/>
    <w:rsid w:val="3BE6112B"/>
    <w:rsid w:val="43B82690"/>
    <w:rsid w:val="442101EC"/>
    <w:rsid w:val="48A51E3C"/>
    <w:rsid w:val="49C372F4"/>
    <w:rsid w:val="4BD62E05"/>
    <w:rsid w:val="4D9B26ED"/>
    <w:rsid w:val="4DAE0AD2"/>
    <w:rsid w:val="4E16682A"/>
    <w:rsid w:val="4E3039D8"/>
    <w:rsid w:val="528050DC"/>
    <w:rsid w:val="58AC2446"/>
    <w:rsid w:val="5B660141"/>
    <w:rsid w:val="5F6A2B95"/>
    <w:rsid w:val="620E30DA"/>
    <w:rsid w:val="64875AEB"/>
    <w:rsid w:val="688A68E6"/>
    <w:rsid w:val="68AC6EEA"/>
    <w:rsid w:val="71BE287A"/>
    <w:rsid w:val="71F0588B"/>
    <w:rsid w:val="763B2FBB"/>
    <w:rsid w:val="77FC30D6"/>
    <w:rsid w:val="7867602E"/>
    <w:rsid w:val="78A82975"/>
    <w:rsid w:val="7A0568F1"/>
    <w:rsid w:val="7DC964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keepNext/>
      <w:keepLines/>
      <w:spacing w:line="760" w:lineRule="exact"/>
      <w:jc w:val="center"/>
      <w:outlineLvl w:val="0"/>
    </w:pPr>
    <w:rPr>
      <w:rFonts w:eastAsia="方正小标宋简体"/>
      <w:bCs/>
      <w:kern w:val="44"/>
      <w:sz w:val="44"/>
      <w:szCs w:val="44"/>
    </w:rPr>
  </w:style>
  <w:style w:type="paragraph" w:styleId="4">
    <w:name w:val="heading 2"/>
    <w:basedOn w:val="1"/>
    <w:next w:val="1"/>
    <w:link w:val="17"/>
    <w:qFormat/>
    <w:uiPriority w:val="99"/>
    <w:pPr>
      <w:keepNext/>
      <w:keepLines/>
      <w:outlineLvl w:val="1"/>
    </w:pPr>
    <w:rPr>
      <w:rFonts w:ascii="Times New Roman" w:hAnsi="Times New Roman" w:eastAsia="黑体"/>
      <w:bCs/>
      <w:kern w:val="0"/>
      <w:sz w:val="20"/>
      <w:szCs w:val="32"/>
    </w:rPr>
  </w:style>
  <w:style w:type="paragraph" w:styleId="5">
    <w:name w:val="heading 4"/>
    <w:basedOn w:val="1"/>
    <w:next w:val="1"/>
    <w:link w:val="18"/>
    <w:qFormat/>
    <w:uiPriority w:val="99"/>
    <w:pPr>
      <w:outlineLvl w:val="3"/>
    </w:pPr>
    <w:rPr>
      <w:bCs/>
      <w:szCs w:val="28"/>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6">
    <w:name w:val="index 8"/>
    <w:basedOn w:val="1"/>
    <w:next w:val="1"/>
    <w:unhideWhenUsed/>
    <w:qFormat/>
    <w:uiPriority w:val="99"/>
    <w:pPr>
      <w:spacing w:line="520" w:lineRule="exact"/>
      <w:ind w:firstLine="643" w:firstLineChars="200"/>
      <w:jc w:val="left"/>
    </w:pPr>
    <w:rPr>
      <w:rFonts w:ascii="宋体" w:hAnsi="宋体"/>
      <w:b/>
      <w:bCs/>
      <w:sz w:val="32"/>
      <w:szCs w:val="32"/>
      <w:shd w:val="clear" w:color="auto" w:fill="FFFFFF"/>
    </w:rPr>
  </w:style>
  <w:style w:type="paragraph" w:styleId="7">
    <w:name w:val="Body Text 3"/>
    <w:basedOn w:val="1"/>
    <w:link w:val="19"/>
    <w:qFormat/>
    <w:uiPriority w:val="99"/>
    <w:pPr>
      <w:spacing w:after="120"/>
    </w:pPr>
    <w:rPr>
      <w:sz w:val="16"/>
      <w:szCs w:val="16"/>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bCs/>
    </w:rPr>
  </w:style>
  <w:style w:type="character" w:styleId="15">
    <w:name w:val="page number"/>
    <w:basedOn w:val="13"/>
    <w:qFormat/>
    <w:uiPriority w:val="99"/>
    <w:rPr>
      <w:rFonts w:cs="Times New Roman"/>
    </w:rPr>
  </w:style>
  <w:style w:type="character" w:customStyle="1" w:styleId="16">
    <w:name w:val="Heading 1 Char"/>
    <w:basedOn w:val="13"/>
    <w:link w:val="3"/>
    <w:qFormat/>
    <w:uiPriority w:val="9"/>
    <w:rPr>
      <w:rFonts w:ascii="Calibri" w:hAnsi="Calibri"/>
      <w:b/>
      <w:bCs/>
      <w:kern w:val="44"/>
      <w:sz w:val="44"/>
      <w:szCs w:val="44"/>
    </w:rPr>
  </w:style>
  <w:style w:type="character" w:customStyle="1" w:styleId="17">
    <w:name w:val="Heading 2 Char"/>
    <w:basedOn w:val="13"/>
    <w:link w:val="4"/>
    <w:qFormat/>
    <w:locked/>
    <w:uiPriority w:val="99"/>
    <w:rPr>
      <w:rFonts w:eastAsia="黑体"/>
      <w:sz w:val="32"/>
    </w:rPr>
  </w:style>
  <w:style w:type="character" w:customStyle="1" w:styleId="18">
    <w:name w:val="Heading 4 Char"/>
    <w:basedOn w:val="13"/>
    <w:link w:val="5"/>
    <w:semiHidden/>
    <w:qFormat/>
    <w:uiPriority w:val="9"/>
    <w:rPr>
      <w:rFonts w:asciiTheme="majorHAnsi" w:hAnsiTheme="majorHAnsi" w:eastAsiaTheme="majorEastAsia" w:cstheme="majorBidi"/>
      <w:b/>
      <w:bCs/>
      <w:sz w:val="28"/>
      <w:szCs w:val="28"/>
    </w:rPr>
  </w:style>
  <w:style w:type="character" w:customStyle="1" w:styleId="19">
    <w:name w:val="Body Text 3 Char"/>
    <w:basedOn w:val="13"/>
    <w:link w:val="7"/>
    <w:semiHidden/>
    <w:qFormat/>
    <w:uiPriority w:val="99"/>
    <w:rPr>
      <w:rFonts w:ascii="Calibri" w:hAnsi="Calibri"/>
      <w:sz w:val="16"/>
      <w:szCs w:val="16"/>
    </w:rPr>
  </w:style>
  <w:style w:type="character" w:customStyle="1" w:styleId="20">
    <w:name w:val="Footer Char"/>
    <w:basedOn w:val="13"/>
    <w:link w:val="8"/>
    <w:qFormat/>
    <w:locked/>
    <w:uiPriority w:val="99"/>
    <w:rPr>
      <w:rFonts w:cs="Times New Roman"/>
      <w:sz w:val="18"/>
      <w:szCs w:val="18"/>
    </w:rPr>
  </w:style>
  <w:style w:type="character" w:customStyle="1" w:styleId="21">
    <w:name w:val="Header Char"/>
    <w:basedOn w:val="13"/>
    <w:link w:val="9"/>
    <w:qFormat/>
    <w:locked/>
    <w:uiPriority w:val="99"/>
    <w:rPr>
      <w:rFonts w:cs="Times New Roman"/>
      <w:sz w:val="18"/>
      <w:szCs w:val="18"/>
    </w:rPr>
  </w:style>
  <w:style w:type="paragraph" w:customStyle="1" w:styleId="22">
    <w:name w:val="列出段落1"/>
    <w:basedOn w:val="1"/>
    <w:qFormat/>
    <w:uiPriority w:val="99"/>
    <w:pPr>
      <w:ind w:firstLine="420"/>
    </w:pPr>
    <w:rPr>
      <w:szCs w:val="21"/>
    </w:rPr>
  </w:style>
  <w:style w:type="character" w:customStyle="1" w:styleId="23">
    <w:name w:val="bsharetex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722</Words>
  <Characters>4117</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2018-10-08T07:32:00Z</dcterms:created>
  <dc:creator>msmsmsvip</dc:creator>
  <cp:lastModifiedBy>禾白少二每文迁</cp:lastModifiedBy>
  <cp:lastPrinted>2021-05-28T03:36:00Z</cp:lastPrinted>
  <dcterms:modified xsi:type="dcterms:W3CDTF">2021-05-28T08:41:31Z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F35051E981494F9696E823779C4695BC</vt:lpwstr>
  </property>
</Properties>
</file>