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关于醴陵市绿色种养循环农业试点项目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第三方服务组织遴选结果的公示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根据《湖南省农业农村厅、湖南省财政厅关于印发2021年湖南省绿色种养循环农业试点项目实施方案的通知》（湘农联〔2021〕50号）等有关文件精神，为加快畜禽粪污资源化利用，打通种养循环堵点，促进粪肥还田，推动农业绿色高质量发展，经请示市人民政府同意，醴陵市农业农村局于近期组织开展了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绿色种养循环农业试点项目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第三方服务组织遴选工作。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遴选工作全程坚持“公开、公平、公正”的原则，采取发布通知、自愿申报、现场考核、集中评审的基本程序择优选择。通过在对申报的第三方单位进行条件筛选、资质审核、现场调研的基础上，于2021年8月11日组织财政、生态环境、畜牧、农业等多个部门的专家代表对符合条件的8家单位召开了遴选评审会，专家组通过现场质询和资料审查等方式，综合评定遴选出7家单位承担醴陵市绿色种养循环农业试点任务。现将具体名单公示如下（排名不分先后顺序）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承担试点任务的第三方服务组织名单</w:t>
      </w:r>
    </w:p>
    <w:tbl>
      <w:tblPr>
        <w:tblStyle w:val="4"/>
        <w:tblW w:w="8533" w:type="dxa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2833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第三方服务组织名单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服务区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综合得分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湖南阳东生物洁能科技有限公司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东富镇、孙家湾镇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98.2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湖南吉泰农牧股份有限公司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明月镇、嘉树镇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醴陵市宜帆农牧发展有限公司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船湾镇、泗汾镇、沈潭镇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湖南拥民农业综合开发有限公司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均楚镇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93.8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醴陵泰河种养农民专业合作社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李畋镇、白兔潭镇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醴陵市浦缘农机服务农民专业合作社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浦口镇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96.1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醴陵市荣和种植农民专业合作社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王仙镇、沩山镇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87.4</w:t>
            </w:r>
          </w:p>
        </w:tc>
      </w:tr>
    </w:tbl>
    <w:p>
      <w:pPr>
        <w:spacing w:line="340" w:lineRule="exact"/>
        <w:ind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评委名单</w:t>
      </w:r>
    </w:p>
    <w:tbl>
      <w:tblPr>
        <w:tblStyle w:val="4"/>
        <w:tblW w:w="8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374"/>
        <w:gridCol w:w="2214"/>
        <w:gridCol w:w="2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工 作 单 位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评委姓名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</w:t>
            </w:r>
          </w:p>
        </w:tc>
        <w:tc>
          <w:tcPr>
            <w:tcW w:w="3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醴陵市财政局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肖艳辉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</w:t>
            </w:r>
          </w:p>
        </w:tc>
        <w:tc>
          <w:tcPr>
            <w:tcW w:w="3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株洲市生态环境局醴陵分局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幸利红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股长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</w:t>
            </w:r>
          </w:p>
        </w:tc>
        <w:tc>
          <w:tcPr>
            <w:tcW w:w="3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醴陵市畜牧水产事务中心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刘碧涛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</w:t>
            </w:r>
          </w:p>
        </w:tc>
        <w:tc>
          <w:tcPr>
            <w:tcW w:w="3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醴陵市农业农村局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丁秋凡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站长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高级农艺师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3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醴陵市农技推广中心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董煌林</w:t>
            </w:r>
          </w:p>
        </w:tc>
        <w:tc>
          <w:tcPr>
            <w:tcW w:w="22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农艺师</w:t>
            </w:r>
          </w:p>
        </w:tc>
      </w:tr>
    </w:tbl>
    <w:p>
      <w:pPr>
        <w:pStyle w:val="7"/>
        <w:rPr>
          <w:rFonts w:hint="eastAsia" w:cs="宋体"/>
        </w:rPr>
      </w:pPr>
    </w:p>
    <w:p>
      <w:pPr>
        <w:pStyle w:val="7"/>
        <w:ind w:firstLine="640" w:firstLineChars="200"/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  <w:t>监督人员：唐哲明       业主代表：李江林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  <w:t>公示时间：2021年8月11日至8月15日。公示期内，如有异议，请实名向醴陵市农业农村局反映。联系电话：0731-23059336。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20" w:afterAutospacing="0" w:line="27" w:lineRule="atLeast"/>
        <w:ind w:right="405" w:firstLine="640" w:firstLineChars="200"/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  <w:t>特此公示。</w:t>
      </w:r>
    </w:p>
    <w:p>
      <w:pPr>
        <w:pStyle w:val="7"/>
        <w:jc w:val="right"/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  <w:t>醴陵市农业农村局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pacing w:val="0"/>
          <w:kern w:val="2"/>
          <w:sz w:val="32"/>
          <w:szCs w:val="32"/>
          <w:u w:val="none"/>
          <w:lang w:val="en-US" w:eastAsia="zh-CN" w:bidi="ar-SA"/>
        </w:rPr>
        <w:t>2021年8月11日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D63DD"/>
    <w:rsid w:val="0C8D63DD"/>
    <w:rsid w:val="155C34F8"/>
    <w:rsid w:val="2763303A"/>
    <w:rsid w:val="2FA65B44"/>
    <w:rsid w:val="39502C3D"/>
    <w:rsid w:val="3CC508AC"/>
    <w:rsid w:val="47FD46CD"/>
    <w:rsid w:val="4E79558D"/>
    <w:rsid w:val="52122851"/>
    <w:rsid w:val="57714407"/>
    <w:rsid w:val="5BFA1D4A"/>
    <w:rsid w:val="606C0D0E"/>
    <w:rsid w:val="70A07071"/>
    <w:rsid w:val="792F6E04"/>
    <w:rsid w:val="7BE02D06"/>
    <w:rsid w:val="7F2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2021-07-20T08:58:00Z</dcterms:created>
  <dc:creator>WPS_1617934856</dc:creator>
  <cp:lastModifiedBy>龙之佑</cp:lastModifiedBy>
  <cp:lastPrinted>2021-08-10T07:04:00Z</cp:lastPrinted>
  <dcterms:modified xsi:type="dcterms:W3CDTF">2021-08-11T07:27:21Z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B422FAF42986454E9B23293FDD68B44C</vt:lpwstr>
  </property>
</Properties>
</file>