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asciiTheme="majorEastAsia" w:hAnsiTheme="majorEastAsia" w:eastAsiaTheme="majorEastAsia" w:cstheme="majorEastAsia"/>
          <w:b/>
          <w:color w:val="auto"/>
          <w:sz w:val="72"/>
          <w:szCs w:val="72"/>
        </w:rPr>
      </w:pPr>
    </w:p>
    <w:p>
      <w:pPr>
        <w:pStyle w:val="11"/>
        <w:adjustRightInd w:val="0"/>
        <w:snapToGrid w:val="0"/>
        <w:spacing w:line="360" w:lineRule="auto"/>
        <w:jc w:val="center"/>
        <w:rPr>
          <w:rFonts w:hint="eastAsia" w:asciiTheme="majorEastAsia" w:hAnsiTheme="majorEastAsia" w:eastAsiaTheme="majorEastAsia" w:cstheme="majorEastAsia"/>
          <w:b/>
          <w:color w:val="auto"/>
          <w:sz w:val="84"/>
          <w:szCs w:val="84"/>
        </w:rPr>
      </w:pPr>
      <w:r>
        <w:rPr>
          <w:rFonts w:hint="eastAsia" w:asciiTheme="majorEastAsia" w:hAnsiTheme="majorEastAsia" w:eastAsiaTheme="majorEastAsia" w:cstheme="majorEastAsia"/>
          <w:b/>
          <w:color w:val="auto"/>
          <w:sz w:val="84"/>
          <w:szCs w:val="84"/>
        </w:rPr>
        <w:t>政府采购</w:t>
      </w:r>
    </w:p>
    <w:p>
      <w:pPr>
        <w:pStyle w:val="11"/>
        <w:tabs>
          <w:tab w:val="left" w:pos="7140"/>
        </w:tabs>
        <w:adjustRightInd w:val="0"/>
        <w:snapToGrid w:val="0"/>
        <w:spacing w:line="360" w:lineRule="auto"/>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84"/>
          <w:szCs w:val="84"/>
        </w:rPr>
        <w:t>竞争性磋商文件</w:t>
      </w:r>
    </w:p>
    <w:p>
      <w:pPr>
        <w:pStyle w:val="11"/>
        <w:adjustRightInd w:val="0"/>
        <w:snapToGrid w:val="0"/>
        <w:spacing w:before="120" w:beforeLines="50" w:line="360" w:lineRule="auto"/>
        <w:jc w:val="center"/>
        <w:rPr>
          <w:rFonts w:hint="eastAsia" w:asciiTheme="majorEastAsia" w:hAnsiTheme="majorEastAsia" w:eastAsiaTheme="majorEastAsia" w:cstheme="majorEastAsia"/>
          <w:b/>
          <w:color w:val="auto"/>
          <w:sz w:val="32"/>
          <w:szCs w:val="32"/>
        </w:rPr>
      </w:pPr>
    </w:p>
    <w:p>
      <w:pPr>
        <w:pStyle w:val="11"/>
        <w:adjustRightInd w:val="0"/>
        <w:snapToGrid w:val="0"/>
        <w:spacing w:before="120" w:beforeLines="50" w:line="360" w:lineRule="auto"/>
        <w:jc w:val="center"/>
        <w:rPr>
          <w:rFonts w:hint="eastAsia" w:asciiTheme="majorEastAsia" w:hAnsiTheme="majorEastAsia" w:eastAsiaTheme="majorEastAsia" w:cstheme="majorEastAsia"/>
          <w:b/>
          <w:color w:val="auto"/>
          <w:sz w:val="32"/>
          <w:szCs w:val="32"/>
        </w:rPr>
      </w:pPr>
    </w:p>
    <w:p>
      <w:pPr>
        <w:pStyle w:val="11"/>
        <w:adjustRightInd w:val="0"/>
        <w:snapToGrid w:val="0"/>
        <w:spacing w:line="480" w:lineRule="auto"/>
        <w:ind w:left="2278" w:leftChars="85" w:hanging="2100" w:hangingChars="700"/>
        <w:rPr>
          <w:rFonts w:hint="eastAsia" w:asciiTheme="majorEastAsia" w:hAnsiTheme="majorEastAsia" w:eastAsiaTheme="majorEastAsia" w:cstheme="majorEastAsia"/>
          <w:snapToGrid w:val="0"/>
          <w:color w:val="auto"/>
          <w:sz w:val="30"/>
          <w:szCs w:val="30"/>
          <w:u w:val="single"/>
          <w:lang w:val="en-US" w:eastAsia="zh-CN"/>
        </w:rPr>
      </w:pPr>
      <w:r>
        <w:rPr>
          <w:rFonts w:hint="eastAsia" w:asciiTheme="majorEastAsia" w:hAnsiTheme="majorEastAsia" w:eastAsiaTheme="majorEastAsia" w:cstheme="majorEastAsia"/>
          <w:snapToGrid w:val="0"/>
          <w:color w:val="auto"/>
          <w:sz w:val="30"/>
          <w:szCs w:val="30"/>
          <w:u w:val="none"/>
          <w:lang w:eastAsia="zh-CN"/>
        </w:rPr>
        <w:t>采购项目名称</w:t>
      </w:r>
      <w:r>
        <w:rPr>
          <w:rFonts w:hint="eastAsia" w:asciiTheme="majorEastAsia" w:hAnsiTheme="majorEastAsia" w:eastAsiaTheme="majorEastAsia" w:cstheme="majorEastAsia"/>
          <w:color w:val="auto"/>
          <w:sz w:val="30"/>
          <w:szCs w:val="30"/>
          <w:lang w:eastAsia="zh-CN"/>
        </w:rPr>
        <w:t>：</w:t>
      </w:r>
      <w:r>
        <w:rPr>
          <w:rFonts w:hint="eastAsia" w:asciiTheme="majorEastAsia" w:hAnsiTheme="majorEastAsia" w:eastAsiaTheme="majorEastAsia" w:cstheme="majorEastAsia"/>
          <w:snapToGrid w:val="0"/>
          <w:color w:val="auto"/>
          <w:sz w:val="30"/>
          <w:szCs w:val="30"/>
          <w:u w:val="single"/>
          <w:lang w:val="en-US" w:eastAsia="zh-CN"/>
        </w:rPr>
        <w:t>茶陵县湖口镇梅林村古柏桥危桥改造工程</w:t>
      </w:r>
    </w:p>
    <w:p>
      <w:pPr>
        <w:pStyle w:val="11"/>
        <w:adjustRightInd w:val="0"/>
        <w:snapToGrid w:val="0"/>
        <w:spacing w:line="480" w:lineRule="auto"/>
        <w:ind w:left="178" w:leftChars="85"/>
        <w:rPr>
          <w:rFonts w:hint="eastAsia" w:asciiTheme="majorEastAsia" w:hAnsiTheme="majorEastAsia" w:eastAsiaTheme="majorEastAsia" w:cstheme="majorEastAsia"/>
          <w:snapToGrid w:val="0"/>
          <w:color w:val="auto"/>
          <w:sz w:val="30"/>
          <w:szCs w:val="30"/>
          <w:u w:val="single"/>
          <w:lang w:eastAsia="zh-CN"/>
        </w:rPr>
      </w:pPr>
      <w:r>
        <w:rPr>
          <w:rFonts w:hint="eastAsia" w:asciiTheme="majorEastAsia" w:hAnsiTheme="majorEastAsia" w:eastAsiaTheme="majorEastAsia" w:cstheme="majorEastAsia"/>
          <w:snapToGrid w:val="0"/>
          <w:color w:val="auto"/>
          <w:sz w:val="30"/>
          <w:szCs w:val="30"/>
          <w:u w:val="none"/>
          <w:lang w:eastAsia="zh-CN"/>
        </w:rPr>
        <w:t>采   购   人</w:t>
      </w:r>
      <w:r>
        <w:rPr>
          <w:rFonts w:hint="eastAsia" w:asciiTheme="majorEastAsia" w:hAnsiTheme="majorEastAsia" w:eastAsiaTheme="majorEastAsia" w:cstheme="majorEastAsia"/>
          <w:color w:val="auto"/>
          <w:sz w:val="30"/>
          <w:szCs w:val="30"/>
          <w:lang w:eastAsia="zh-CN"/>
        </w:rPr>
        <w:t>：</w:t>
      </w:r>
      <w:r>
        <w:rPr>
          <w:rFonts w:hint="eastAsia" w:asciiTheme="majorEastAsia" w:hAnsiTheme="majorEastAsia" w:eastAsiaTheme="majorEastAsia" w:cstheme="majorEastAsia"/>
          <w:color w:val="auto"/>
          <w:sz w:val="30"/>
          <w:szCs w:val="30"/>
          <w:u w:val="single"/>
          <w:lang w:val="en-US" w:eastAsia="zh-CN"/>
        </w:rPr>
        <w:t>湖南省茶陵县湖口镇梅林村村民委员会</w:t>
      </w:r>
    </w:p>
    <w:p>
      <w:pPr>
        <w:pStyle w:val="11"/>
        <w:adjustRightInd w:val="0"/>
        <w:snapToGrid w:val="0"/>
        <w:spacing w:line="480" w:lineRule="auto"/>
        <w:ind w:left="178" w:leftChars="85"/>
        <w:rPr>
          <w:rFonts w:hint="eastAsia" w:asciiTheme="majorEastAsia" w:hAnsiTheme="majorEastAsia" w:eastAsiaTheme="majorEastAsia" w:cstheme="majorEastAsia"/>
          <w:color w:val="auto"/>
          <w:sz w:val="30"/>
          <w:szCs w:val="30"/>
          <w:lang w:eastAsia="zh-CN"/>
        </w:rPr>
      </w:pPr>
      <w:r>
        <w:rPr>
          <w:rFonts w:hint="eastAsia" w:asciiTheme="majorEastAsia" w:hAnsiTheme="majorEastAsia" w:eastAsiaTheme="majorEastAsia" w:cstheme="majorEastAsia"/>
          <w:color w:val="auto"/>
          <w:sz w:val="30"/>
          <w:szCs w:val="30"/>
        </w:rPr>
        <w:t>委托代理编号:</w:t>
      </w:r>
      <w:r>
        <w:rPr>
          <w:rFonts w:hint="eastAsia" w:asciiTheme="majorEastAsia" w:hAnsiTheme="majorEastAsia" w:eastAsiaTheme="majorEastAsia" w:cstheme="majorEastAsia"/>
          <w:color w:val="auto"/>
          <w:sz w:val="30"/>
          <w:szCs w:val="30"/>
          <w:lang w:eastAsia="zh-CN"/>
        </w:rPr>
        <w:t xml:space="preserve"> HNFD-CLCG-2021-008</w:t>
      </w:r>
    </w:p>
    <w:p>
      <w:pPr>
        <w:pStyle w:val="11"/>
        <w:adjustRightInd w:val="0"/>
        <w:snapToGrid w:val="0"/>
        <w:spacing w:line="480" w:lineRule="auto"/>
        <w:ind w:left="178" w:leftChars="85"/>
        <w:rPr>
          <w:rFonts w:hint="eastAsia" w:asciiTheme="majorEastAsia" w:hAnsiTheme="majorEastAsia" w:eastAsiaTheme="majorEastAsia" w:cstheme="majorEastAsia"/>
          <w:color w:val="auto"/>
          <w:sz w:val="30"/>
          <w:szCs w:val="30"/>
          <w:lang w:val="en-US" w:eastAsia="zh-CN"/>
        </w:rPr>
      </w:pPr>
      <w:r>
        <w:rPr>
          <w:rFonts w:hint="eastAsia" w:asciiTheme="majorEastAsia" w:hAnsiTheme="majorEastAsia" w:eastAsiaTheme="majorEastAsia" w:cstheme="majorEastAsia"/>
          <w:color w:val="auto"/>
          <w:sz w:val="30"/>
          <w:szCs w:val="30"/>
        </w:rPr>
        <w:t>采购代理机构:</w:t>
      </w:r>
      <w:r>
        <w:rPr>
          <w:rFonts w:hint="eastAsia" w:asciiTheme="majorEastAsia" w:hAnsiTheme="majorEastAsia" w:eastAsiaTheme="majorEastAsia" w:cstheme="majorEastAsia"/>
          <w:color w:val="auto"/>
          <w:sz w:val="30"/>
          <w:szCs w:val="30"/>
          <w:u w:val="none"/>
        </w:rPr>
        <w:t xml:space="preserve"> </w:t>
      </w:r>
      <w:r>
        <w:rPr>
          <w:rFonts w:hint="eastAsia" w:asciiTheme="majorEastAsia" w:hAnsiTheme="majorEastAsia" w:eastAsiaTheme="majorEastAsia" w:cstheme="majorEastAsia"/>
          <w:color w:val="auto"/>
          <w:sz w:val="30"/>
          <w:szCs w:val="30"/>
          <w:u w:val="single"/>
          <w:lang w:val="en-US" w:eastAsia="zh-CN"/>
        </w:rPr>
        <w:t>湖南飞达项目管理有限责任公司</w:t>
      </w:r>
    </w:p>
    <w:p>
      <w:pPr>
        <w:pStyle w:val="11"/>
        <w:adjustRightInd w:val="0"/>
        <w:snapToGrid w:val="0"/>
        <w:spacing w:line="360" w:lineRule="auto"/>
        <w:rPr>
          <w:rFonts w:hint="eastAsia" w:asciiTheme="majorEastAsia" w:hAnsiTheme="majorEastAsia" w:eastAsiaTheme="majorEastAsia" w:cstheme="majorEastAsia"/>
          <w:b/>
          <w:color w:val="auto"/>
          <w:sz w:val="32"/>
        </w:rPr>
      </w:pPr>
    </w:p>
    <w:p>
      <w:pPr>
        <w:pStyle w:val="11"/>
        <w:adjustRightInd w:val="0"/>
        <w:snapToGrid w:val="0"/>
        <w:spacing w:line="360" w:lineRule="auto"/>
        <w:jc w:val="center"/>
        <w:rPr>
          <w:rFonts w:hint="eastAsia" w:asciiTheme="majorEastAsia" w:hAnsiTheme="majorEastAsia" w:eastAsiaTheme="majorEastAsia" w:cstheme="majorEastAsia"/>
          <w:b/>
          <w:color w:val="auto"/>
          <w:sz w:val="32"/>
        </w:rPr>
      </w:pPr>
    </w:p>
    <w:p>
      <w:pPr>
        <w:pStyle w:val="11"/>
        <w:adjustRightInd w:val="0"/>
        <w:snapToGrid w:val="0"/>
        <w:spacing w:line="360" w:lineRule="auto"/>
        <w:jc w:val="center"/>
        <w:rPr>
          <w:rFonts w:hint="eastAsia" w:asciiTheme="majorEastAsia" w:hAnsiTheme="majorEastAsia" w:eastAsiaTheme="majorEastAsia" w:cstheme="majorEastAsia"/>
          <w:b/>
          <w:color w:val="auto"/>
          <w:sz w:val="32"/>
        </w:rPr>
      </w:pPr>
    </w:p>
    <w:p>
      <w:pPr>
        <w:pStyle w:val="11"/>
        <w:adjustRightInd w:val="0"/>
        <w:snapToGrid w:val="0"/>
        <w:spacing w:line="360" w:lineRule="auto"/>
        <w:jc w:val="center"/>
        <w:rPr>
          <w:rFonts w:hint="eastAsia" w:asciiTheme="majorEastAsia" w:hAnsiTheme="majorEastAsia" w:eastAsiaTheme="majorEastAsia" w:cstheme="majorEastAsia"/>
          <w:b/>
          <w:color w:val="auto"/>
          <w:sz w:val="32"/>
        </w:rPr>
        <w:sectPr>
          <w:footerReference r:id="rId3" w:type="first"/>
          <w:pgSz w:w="11906" w:h="16838"/>
          <w:pgMar w:top="1474" w:right="1531" w:bottom="1474" w:left="1531" w:header="851" w:footer="992" w:gutter="0"/>
          <w:pgNumType w:fmt="decimal" w:start="1"/>
          <w:cols w:space="720" w:num="1"/>
          <w:titlePg/>
          <w:docGrid w:linePitch="312" w:charSpace="0"/>
        </w:sectPr>
      </w:pPr>
      <w:r>
        <w:rPr>
          <w:rFonts w:hint="eastAsia" w:asciiTheme="majorEastAsia" w:hAnsiTheme="majorEastAsia" w:eastAsiaTheme="majorEastAsia" w:cstheme="majorEastAsia"/>
          <w:b/>
          <w:color w:val="auto"/>
          <w:sz w:val="32"/>
        </w:rPr>
        <w:t>20</w:t>
      </w:r>
      <w:r>
        <w:rPr>
          <w:rFonts w:hint="eastAsia" w:asciiTheme="majorEastAsia" w:hAnsiTheme="majorEastAsia" w:eastAsiaTheme="majorEastAsia" w:cstheme="majorEastAsia"/>
          <w:b/>
          <w:color w:val="auto"/>
          <w:sz w:val="32"/>
          <w:lang w:val="en-US" w:eastAsia="zh-CN"/>
        </w:rPr>
        <w:t>21</w:t>
      </w:r>
      <w:r>
        <w:rPr>
          <w:rFonts w:hint="eastAsia" w:asciiTheme="majorEastAsia" w:hAnsiTheme="majorEastAsia" w:eastAsiaTheme="majorEastAsia" w:cstheme="majorEastAsia"/>
          <w:b/>
          <w:color w:val="auto"/>
          <w:sz w:val="32"/>
        </w:rPr>
        <w:t>年</w:t>
      </w:r>
      <w:r>
        <w:rPr>
          <w:rFonts w:hint="eastAsia" w:asciiTheme="majorEastAsia" w:hAnsiTheme="majorEastAsia" w:eastAsiaTheme="majorEastAsia" w:cstheme="majorEastAsia"/>
          <w:b/>
          <w:color w:val="auto"/>
          <w:sz w:val="32"/>
          <w:lang w:val="en-US" w:eastAsia="zh-CN"/>
        </w:rPr>
        <w:t>7月</w:t>
      </w:r>
    </w:p>
    <w:p>
      <w:pPr>
        <w:pStyle w:val="11"/>
        <w:adjustRightInd w:val="0"/>
        <w:snapToGrid w:val="0"/>
        <w:spacing w:line="360" w:lineRule="auto"/>
        <w:jc w:val="center"/>
        <w:rPr>
          <w:rFonts w:hint="eastAsia" w:asciiTheme="majorEastAsia" w:hAnsiTheme="majorEastAsia" w:eastAsiaTheme="majorEastAsia" w:cstheme="majorEastAsia"/>
          <w:b/>
          <w:color w:val="auto"/>
          <w:sz w:val="32"/>
        </w:rPr>
        <w:sectPr>
          <w:footerReference r:id="rId5" w:type="first"/>
          <w:footerReference r:id="rId4" w:type="default"/>
          <w:pgSz w:w="11906" w:h="16838"/>
          <w:pgMar w:top="1474" w:right="1531" w:bottom="1474" w:left="1531" w:header="851" w:footer="992" w:gutter="0"/>
          <w:pgNumType w:fmt="decimal" w:start="1"/>
          <w:cols w:space="720" w:num="1"/>
          <w:titlePg/>
          <w:docGrid w:linePitch="312" w:charSpace="0"/>
        </w:sectPr>
      </w:pPr>
    </w:p>
    <w:p>
      <w:pPr>
        <w:spacing w:line="360" w:lineRule="exact"/>
        <w:rPr>
          <w:rFonts w:hint="eastAsia" w:asciiTheme="majorEastAsia" w:hAnsiTheme="majorEastAsia" w:eastAsiaTheme="majorEastAsia" w:cstheme="majorEastAsia"/>
          <w:b/>
          <w:color w:val="auto"/>
          <w:sz w:val="24"/>
        </w:rPr>
      </w:pPr>
    </w:p>
    <w:sdt>
      <w:sdtPr>
        <w:rPr>
          <w:rFonts w:ascii="宋体" w:hAnsi="宋体" w:eastAsia="宋体" w:cs="Times New Roman"/>
          <w:kern w:val="2"/>
          <w:sz w:val="21"/>
          <w:szCs w:val="24"/>
          <w:lang w:val="en-US" w:eastAsia="zh-CN" w:bidi="ar-SA"/>
        </w:rPr>
        <w:id w:val="147466035"/>
        <w15:color w:val="DBDBDB"/>
        <w:docPartObj>
          <w:docPartGallery w:val="Table of Contents"/>
          <w:docPartUnique/>
        </w:docPartObj>
      </w:sdtPr>
      <w:sdtEndPr>
        <w:rPr>
          <w:rFonts w:hint="eastAsia" w:asciiTheme="majorEastAsia" w:hAnsiTheme="majorEastAsia" w:eastAsiaTheme="majorEastAsia" w:cstheme="majorEastAsia"/>
          <w:b/>
          <w:color w:val="auto"/>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24"/>
              <w:szCs w:val="24"/>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15"/>
            <w:tabs>
              <w:tab w:val="right" w:leader="dot" w:pos="8844"/>
            </w:tabs>
          </w:pPr>
          <w:r>
            <w:rPr>
              <w:rFonts w:hint="eastAsia" w:asciiTheme="majorEastAsia" w:hAnsiTheme="majorEastAsia" w:eastAsiaTheme="majorEastAsia" w:cstheme="majorEastAsia"/>
              <w:b/>
              <w:color w:val="auto"/>
              <w:sz w:val="24"/>
              <w:szCs w:val="24"/>
            </w:rPr>
            <w:fldChar w:fldCharType="begin"/>
          </w:r>
          <w:r>
            <w:rPr>
              <w:rFonts w:hint="eastAsia" w:asciiTheme="majorEastAsia" w:hAnsiTheme="majorEastAsia" w:eastAsiaTheme="majorEastAsia" w:cstheme="majorEastAsia"/>
              <w:b/>
              <w:color w:val="auto"/>
              <w:sz w:val="24"/>
              <w:szCs w:val="24"/>
            </w:rPr>
            <w:instrText xml:space="preserve">TOC \o "1-2" \h \u </w:instrText>
          </w:r>
          <w:r>
            <w:rPr>
              <w:rFonts w:hint="eastAsia" w:asciiTheme="majorEastAsia" w:hAnsiTheme="majorEastAsia" w:eastAsiaTheme="majorEastAsia" w:cstheme="majorEastAsia"/>
              <w:b/>
              <w:color w:val="auto"/>
              <w:sz w:val="24"/>
              <w:szCs w:val="24"/>
            </w:rPr>
            <w:fldChar w:fldCharType="separate"/>
          </w: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_Toc26027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32"/>
              <w:lang w:eastAsia="zh-CN"/>
            </w:rPr>
            <w:t>第一章</w:t>
          </w:r>
          <w:r>
            <w:rPr>
              <w:rFonts w:hint="eastAsia" w:asciiTheme="majorEastAsia" w:hAnsiTheme="majorEastAsia" w:eastAsiaTheme="majorEastAsia" w:cstheme="majorEastAsia"/>
              <w:szCs w:val="32"/>
            </w:rPr>
            <w:t xml:space="preserve">  磋商通知</w:t>
          </w:r>
          <w:r>
            <w:tab/>
          </w:r>
          <w:r>
            <w:fldChar w:fldCharType="begin"/>
          </w:r>
          <w:r>
            <w:instrText xml:space="preserve"> PAGEREF _Toc26027 \h </w:instrText>
          </w:r>
          <w:r>
            <w:fldChar w:fldCharType="separate"/>
          </w:r>
          <w:r>
            <w:t>1</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_Toc14229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一、项目概况</w:t>
          </w:r>
          <w:r>
            <w:tab/>
          </w:r>
          <w:r>
            <w:fldChar w:fldCharType="begin"/>
          </w:r>
          <w:r>
            <w:instrText xml:space="preserve"> PAGEREF _Toc14229 \h </w:instrText>
          </w:r>
          <w:r>
            <w:fldChar w:fldCharType="separate"/>
          </w:r>
          <w:r>
            <w:t>1</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_Toc11688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二、采购项目标的、数量及预算</w:t>
          </w:r>
          <w:r>
            <w:tab/>
          </w:r>
          <w:r>
            <w:fldChar w:fldCharType="begin"/>
          </w:r>
          <w:r>
            <w:instrText xml:space="preserve"> PAGEREF _Toc11688 \h </w:instrText>
          </w:r>
          <w:r>
            <w:fldChar w:fldCharType="separate"/>
          </w:r>
          <w:r>
            <w:t>1</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_Toc13743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三、供应商资质要求</w:t>
          </w:r>
          <w:r>
            <w:tab/>
          </w:r>
          <w:r>
            <w:fldChar w:fldCharType="begin"/>
          </w:r>
          <w:r>
            <w:instrText xml:space="preserve"> PAGEREF _Toc13743 \h </w:instrText>
          </w:r>
          <w:r>
            <w:fldChar w:fldCharType="separate"/>
          </w:r>
          <w:r>
            <w:t>1</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_Toc5575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四、获取磋商文件的时间、地点及方式</w:t>
          </w:r>
          <w:r>
            <w:tab/>
          </w:r>
          <w:r>
            <w:fldChar w:fldCharType="begin"/>
          </w:r>
          <w:r>
            <w:instrText xml:space="preserve"> PAGEREF _Toc5575 \h </w:instrText>
          </w:r>
          <w:r>
            <w:fldChar w:fldCharType="separate"/>
          </w:r>
          <w:r>
            <w:t>2</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_Toc10281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五、响应文件提交的截止时间、开启时间及地点</w:t>
          </w:r>
          <w:r>
            <w:tab/>
          </w:r>
          <w:r>
            <w:fldChar w:fldCharType="begin"/>
          </w:r>
          <w:r>
            <w:instrText xml:space="preserve"> PAGEREF _Toc10281 \h </w:instrText>
          </w:r>
          <w:r>
            <w:fldChar w:fldCharType="separate"/>
          </w:r>
          <w:r>
            <w:t>2</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_Toc18295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六、公告期限</w:t>
          </w:r>
          <w:r>
            <w:tab/>
          </w:r>
          <w:r>
            <w:fldChar w:fldCharType="begin"/>
          </w:r>
          <w:r>
            <w:instrText xml:space="preserve"> PAGEREF _Toc18295 \h </w:instrText>
          </w:r>
          <w:r>
            <w:fldChar w:fldCharType="separate"/>
          </w:r>
          <w:r>
            <w:t>2</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_Toc23260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七、疑问及质疑</w:t>
          </w:r>
          <w:r>
            <w:tab/>
          </w:r>
          <w:r>
            <w:fldChar w:fldCharType="begin"/>
          </w:r>
          <w:r>
            <w:instrText xml:space="preserve"> PAGEREF _Toc23260 \h </w:instrText>
          </w:r>
          <w:r>
            <w:fldChar w:fldCharType="separate"/>
          </w:r>
          <w:r>
            <w:t>3</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_Toc11950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八、联系方式</w:t>
          </w:r>
          <w:r>
            <w:tab/>
          </w:r>
          <w:r>
            <w:fldChar w:fldCharType="begin"/>
          </w:r>
          <w:r>
            <w:instrText xml:space="preserve"> PAGEREF _Toc11950 \h </w:instrText>
          </w:r>
          <w:r>
            <w:fldChar w:fldCharType="separate"/>
          </w:r>
          <w:r>
            <w:t>3</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_Toc9063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九、其他补充事项</w:t>
          </w:r>
          <w:r>
            <w:tab/>
          </w:r>
          <w:r>
            <w:fldChar w:fldCharType="begin"/>
          </w:r>
          <w:r>
            <w:instrText xml:space="preserve"> PAGEREF _Toc9063 \h </w:instrText>
          </w:r>
          <w:r>
            <w:fldChar w:fldCharType="separate"/>
          </w:r>
          <w:r>
            <w:t>3</w:t>
          </w:r>
          <w:r>
            <w:fldChar w:fldCharType="end"/>
          </w:r>
          <w:r>
            <w:rPr>
              <w:rFonts w:hint="eastAsia" w:asciiTheme="majorEastAsia" w:hAnsiTheme="majorEastAsia" w:eastAsiaTheme="majorEastAsia" w:cstheme="majorEastAsia"/>
              <w:color w:val="auto"/>
              <w:szCs w:val="24"/>
            </w:rPr>
            <w:fldChar w:fldCharType="end"/>
          </w:r>
        </w:p>
        <w:p>
          <w:pPr>
            <w:pStyle w:val="15"/>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_Toc26147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32"/>
            </w:rPr>
            <w:t>第二章 磋商须知</w:t>
          </w:r>
          <w:r>
            <w:tab/>
          </w:r>
          <w:r>
            <w:fldChar w:fldCharType="begin"/>
          </w:r>
          <w:r>
            <w:instrText xml:space="preserve"> PAGEREF _Toc26147 \h </w:instrText>
          </w:r>
          <w:r>
            <w:fldChar w:fldCharType="separate"/>
          </w:r>
          <w:r>
            <w:t>4</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_Toc9960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4"/>
            </w:rPr>
            <w:t>磋商须知前附表</w:t>
          </w:r>
          <w:r>
            <w:tab/>
          </w:r>
          <w:r>
            <w:fldChar w:fldCharType="begin"/>
          </w:r>
          <w:r>
            <w:instrText xml:space="preserve"> PAGEREF _Toc9960 \h </w:instrText>
          </w:r>
          <w:r>
            <w:fldChar w:fldCharType="separate"/>
          </w:r>
          <w:r>
            <w:t>4</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_Toc18075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8"/>
            </w:rPr>
            <w:t>磋商须知正文</w:t>
          </w:r>
          <w:r>
            <w:tab/>
          </w:r>
          <w:r>
            <w:fldChar w:fldCharType="begin"/>
          </w:r>
          <w:r>
            <w:instrText xml:space="preserve"> PAGEREF _Toc18075 \h </w:instrText>
          </w:r>
          <w:r>
            <w:fldChar w:fldCharType="separate"/>
          </w:r>
          <w:r>
            <w:t>21</w:t>
          </w:r>
          <w:r>
            <w:fldChar w:fldCharType="end"/>
          </w:r>
          <w:r>
            <w:rPr>
              <w:rFonts w:hint="eastAsia" w:asciiTheme="majorEastAsia" w:hAnsiTheme="majorEastAsia" w:eastAsiaTheme="majorEastAsia" w:cstheme="majorEastAsia"/>
              <w:color w:val="auto"/>
              <w:szCs w:val="24"/>
            </w:rPr>
            <w:fldChar w:fldCharType="end"/>
          </w:r>
        </w:p>
        <w:p>
          <w:pPr>
            <w:pStyle w:val="15"/>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_Toc2736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32"/>
              <w:lang w:val="en-US" w:eastAsia="zh-CN"/>
            </w:rPr>
            <w:t>第三章 资格审查</w:t>
          </w:r>
          <w:r>
            <w:tab/>
          </w:r>
          <w:r>
            <w:fldChar w:fldCharType="begin"/>
          </w:r>
          <w:r>
            <w:instrText xml:space="preserve"> PAGEREF _Toc2736 \h </w:instrText>
          </w:r>
          <w:r>
            <w:fldChar w:fldCharType="separate"/>
          </w:r>
          <w:r>
            <w:t>33</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_Toc14676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1.</w:t>
          </w:r>
          <w:r>
            <w:rPr>
              <w:rFonts w:hint="eastAsia" w:asciiTheme="majorEastAsia" w:hAnsiTheme="majorEastAsia" w:eastAsiaTheme="majorEastAsia" w:cstheme="majorEastAsia"/>
              <w:bCs/>
              <w:lang w:eastAsia="zh-CN"/>
            </w:rPr>
            <w:t>资格审查主体</w:t>
          </w:r>
          <w:r>
            <w:tab/>
          </w:r>
          <w:r>
            <w:fldChar w:fldCharType="begin"/>
          </w:r>
          <w:r>
            <w:instrText xml:space="preserve"> PAGEREF _Toc14676 \h </w:instrText>
          </w:r>
          <w:r>
            <w:fldChar w:fldCharType="separate"/>
          </w:r>
          <w:r>
            <w:t>33</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_Toc20330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2.</w:t>
          </w:r>
          <w:r>
            <w:rPr>
              <w:rFonts w:hint="eastAsia" w:asciiTheme="majorEastAsia" w:hAnsiTheme="majorEastAsia" w:eastAsiaTheme="majorEastAsia" w:cstheme="majorEastAsia"/>
              <w:bCs/>
            </w:rPr>
            <w:t>资格审查</w:t>
          </w:r>
          <w:r>
            <w:tab/>
          </w:r>
          <w:r>
            <w:fldChar w:fldCharType="begin"/>
          </w:r>
          <w:r>
            <w:instrText xml:space="preserve"> PAGEREF _Toc20330 \h </w:instrText>
          </w:r>
          <w:r>
            <w:fldChar w:fldCharType="separate"/>
          </w:r>
          <w:r>
            <w:t>33</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_Toc12052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3.资格审查结果</w:t>
          </w:r>
          <w:r>
            <w:tab/>
          </w:r>
          <w:r>
            <w:fldChar w:fldCharType="begin"/>
          </w:r>
          <w:r>
            <w:instrText xml:space="preserve"> PAGEREF _Toc12052 \h </w:instrText>
          </w:r>
          <w:r>
            <w:fldChar w:fldCharType="separate"/>
          </w:r>
          <w:r>
            <w:t>33</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_Toc21121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4.其他</w:t>
          </w:r>
          <w:r>
            <w:tab/>
          </w:r>
          <w:r>
            <w:fldChar w:fldCharType="begin"/>
          </w:r>
          <w:r>
            <w:instrText xml:space="preserve"> PAGEREF _Toc21121 \h </w:instrText>
          </w:r>
          <w:r>
            <w:fldChar w:fldCharType="separate"/>
          </w:r>
          <w:r>
            <w:t>33</w:t>
          </w:r>
          <w:r>
            <w:fldChar w:fldCharType="end"/>
          </w:r>
          <w:r>
            <w:rPr>
              <w:rFonts w:hint="eastAsia" w:asciiTheme="majorEastAsia" w:hAnsiTheme="majorEastAsia" w:eastAsiaTheme="majorEastAsia" w:cstheme="majorEastAsia"/>
              <w:color w:val="auto"/>
              <w:szCs w:val="24"/>
            </w:rPr>
            <w:fldChar w:fldCharType="end"/>
          </w:r>
        </w:p>
        <w:p>
          <w:pPr>
            <w:pStyle w:val="15"/>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_Toc26729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32"/>
            </w:rPr>
            <w:t>第</w:t>
          </w:r>
          <w:r>
            <w:rPr>
              <w:rFonts w:hint="eastAsia" w:asciiTheme="majorEastAsia" w:hAnsiTheme="majorEastAsia" w:eastAsiaTheme="majorEastAsia" w:cstheme="majorEastAsia"/>
              <w:bCs/>
              <w:szCs w:val="32"/>
              <w:lang w:eastAsia="zh-CN"/>
            </w:rPr>
            <w:t>四</w:t>
          </w:r>
          <w:r>
            <w:rPr>
              <w:rFonts w:hint="eastAsia" w:asciiTheme="majorEastAsia" w:hAnsiTheme="majorEastAsia" w:eastAsiaTheme="majorEastAsia" w:cstheme="majorEastAsia"/>
              <w:bCs/>
              <w:szCs w:val="32"/>
            </w:rPr>
            <w:t>章 评审办法及标准</w:t>
          </w:r>
          <w:r>
            <w:tab/>
          </w:r>
          <w:r>
            <w:fldChar w:fldCharType="begin"/>
          </w:r>
          <w:r>
            <w:instrText xml:space="preserve"> PAGEREF _Toc26729 \h </w:instrText>
          </w:r>
          <w:r>
            <w:fldChar w:fldCharType="separate"/>
          </w:r>
          <w:r>
            <w:t>37</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_Toc4054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1"/>
            </w:rPr>
            <w:t>1.磋商小组</w:t>
          </w:r>
          <w:r>
            <w:tab/>
          </w:r>
          <w:r>
            <w:fldChar w:fldCharType="begin"/>
          </w:r>
          <w:r>
            <w:instrText xml:space="preserve"> PAGEREF _Toc4054 \h </w:instrText>
          </w:r>
          <w:r>
            <w:fldChar w:fldCharType="separate"/>
          </w:r>
          <w:r>
            <w:t>37</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_Toc24851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rPr>
            <w:t>2.</w:t>
          </w:r>
          <w:r>
            <w:rPr>
              <w:rFonts w:hint="eastAsia" w:asciiTheme="majorEastAsia" w:hAnsiTheme="majorEastAsia" w:eastAsiaTheme="majorEastAsia" w:cstheme="majorEastAsia"/>
              <w:szCs w:val="21"/>
            </w:rPr>
            <w:t>评审方法</w:t>
          </w:r>
          <w:r>
            <w:tab/>
          </w:r>
          <w:r>
            <w:fldChar w:fldCharType="begin"/>
          </w:r>
          <w:r>
            <w:instrText xml:space="preserve"> PAGEREF _Toc24851 \h </w:instrText>
          </w:r>
          <w:r>
            <w:fldChar w:fldCharType="separate"/>
          </w:r>
          <w:r>
            <w:t>37</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_Toc19968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rPr>
            <w:t>3.比较与评价</w:t>
          </w:r>
          <w:r>
            <w:tab/>
          </w:r>
          <w:r>
            <w:fldChar w:fldCharType="begin"/>
          </w:r>
          <w:r>
            <w:instrText xml:space="preserve"> PAGEREF _Toc19968 \h </w:instrText>
          </w:r>
          <w:r>
            <w:fldChar w:fldCharType="separate"/>
          </w:r>
          <w:r>
            <w:t>37</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_Toc32700 </w:instrText>
          </w:r>
          <w:r>
            <w:rPr>
              <w:rFonts w:hint="eastAsia" w:asciiTheme="majorEastAsia" w:hAnsiTheme="majorEastAsia" w:eastAsiaTheme="majorEastAsia" w:cstheme="majorEastAsia"/>
              <w:szCs w:val="24"/>
            </w:rPr>
            <w:fldChar w:fldCharType="separate"/>
          </w:r>
          <w:r>
            <w:rPr>
              <w:rFonts w:hint="eastAsia" w:ascii="宋体" w:hAnsi="宋体" w:eastAsia="宋体" w:cs="宋体"/>
              <w:szCs w:val="20"/>
            </w:rPr>
            <w:t>4.推荐成交候选人名单</w:t>
          </w:r>
          <w:r>
            <w:tab/>
          </w:r>
          <w:r>
            <w:fldChar w:fldCharType="begin"/>
          </w:r>
          <w:r>
            <w:instrText xml:space="preserve"> PAGEREF _Toc32700 \h </w:instrText>
          </w:r>
          <w:r>
            <w:fldChar w:fldCharType="separate"/>
          </w:r>
          <w:r>
            <w:t>39</w:t>
          </w:r>
          <w:r>
            <w:fldChar w:fldCharType="end"/>
          </w:r>
          <w:r>
            <w:rPr>
              <w:rFonts w:hint="eastAsia" w:asciiTheme="majorEastAsia" w:hAnsiTheme="majorEastAsia" w:eastAsiaTheme="majorEastAsia" w:cstheme="majorEastAsia"/>
              <w:color w:val="auto"/>
              <w:szCs w:val="24"/>
            </w:rPr>
            <w:fldChar w:fldCharType="end"/>
          </w:r>
        </w:p>
        <w:p>
          <w:pPr>
            <w:pStyle w:val="15"/>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_Toc29100 </w:instrText>
          </w:r>
          <w:r>
            <w:rPr>
              <w:rFonts w:hint="eastAsia" w:asciiTheme="majorEastAsia" w:hAnsiTheme="majorEastAsia" w:eastAsiaTheme="majorEastAsia" w:cstheme="majorEastAsia"/>
              <w:szCs w:val="24"/>
            </w:rPr>
            <w:fldChar w:fldCharType="separate"/>
          </w:r>
          <w:r>
            <w:rPr>
              <w:rFonts w:hint="eastAsia" w:ascii="宋体" w:hAnsi="宋体" w:eastAsia="宋体" w:cs="宋体"/>
              <w:szCs w:val="32"/>
              <w:lang w:eastAsia="zh-CN"/>
            </w:rPr>
            <w:t>第五章</w:t>
          </w:r>
          <w:r>
            <w:rPr>
              <w:rFonts w:hint="eastAsia" w:ascii="宋体" w:hAnsi="宋体" w:eastAsia="宋体" w:cs="宋体"/>
              <w:szCs w:val="32"/>
              <w:lang w:val="en-US" w:eastAsia="zh-CN"/>
            </w:rPr>
            <w:t xml:space="preserve">  </w:t>
          </w:r>
          <w:r>
            <w:rPr>
              <w:rFonts w:hint="eastAsia" w:ascii="宋体" w:hAnsi="宋体" w:eastAsia="宋体" w:cs="宋体"/>
              <w:szCs w:val="32"/>
              <w:lang w:eastAsia="zh-CN"/>
            </w:rPr>
            <w:t>政府采购合同格式</w:t>
          </w:r>
          <w:r>
            <w:tab/>
          </w:r>
          <w:r>
            <w:fldChar w:fldCharType="begin"/>
          </w:r>
          <w:r>
            <w:instrText xml:space="preserve"> PAGEREF _Toc29100 \h </w:instrText>
          </w:r>
          <w:r>
            <w:fldChar w:fldCharType="separate"/>
          </w:r>
          <w:r>
            <w:t>42</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_Toc29796 </w:instrText>
          </w:r>
          <w:r>
            <w:rPr>
              <w:rFonts w:hint="eastAsia" w:asciiTheme="majorEastAsia" w:hAnsiTheme="majorEastAsia" w:eastAsiaTheme="majorEastAsia" w:cstheme="majorEastAsia"/>
              <w:szCs w:val="24"/>
            </w:rPr>
            <w:fldChar w:fldCharType="separate"/>
          </w:r>
          <w:r>
            <w:rPr>
              <w:rFonts w:hint="eastAsia" w:ascii="宋体" w:hAnsi="宋体" w:cs="宋体"/>
              <w:szCs w:val="32"/>
              <w:lang w:eastAsia="zh-CN"/>
            </w:rPr>
            <w:t>第一节</w:t>
          </w:r>
          <w:r>
            <w:rPr>
              <w:rFonts w:hint="eastAsia" w:ascii="宋体" w:hAnsi="宋体" w:cs="宋体"/>
              <w:szCs w:val="32"/>
              <w:lang w:val="en-US" w:eastAsia="zh-CN"/>
            </w:rPr>
            <w:t xml:space="preserve"> </w:t>
          </w:r>
          <w:r>
            <w:rPr>
              <w:rFonts w:hint="eastAsia" w:ascii="宋体" w:hAnsi="宋体" w:cs="宋体"/>
              <w:szCs w:val="32"/>
            </w:rPr>
            <w:t>政府采购合同协议书</w:t>
          </w:r>
          <w:r>
            <w:tab/>
          </w:r>
          <w:r>
            <w:fldChar w:fldCharType="begin"/>
          </w:r>
          <w:r>
            <w:instrText xml:space="preserve"> PAGEREF _Toc29796 \h </w:instrText>
          </w:r>
          <w:r>
            <w:fldChar w:fldCharType="separate"/>
          </w:r>
          <w:r>
            <w:t>42</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_Toc22741 </w:instrText>
          </w:r>
          <w:r>
            <w:rPr>
              <w:rFonts w:hint="eastAsia" w:asciiTheme="majorEastAsia" w:hAnsiTheme="majorEastAsia" w:eastAsiaTheme="majorEastAsia" w:cstheme="majorEastAsia"/>
              <w:szCs w:val="24"/>
            </w:rPr>
            <w:fldChar w:fldCharType="separate"/>
          </w:r>
          <w:r>
            <w:rPr>
              <w:rFonts w:hint="eastAsia" w:ascii="宋体" w:hAnsi="宋体" w:cs="宋体"/>
              <w:szCs w:val="32"/>
              <w:lang w:eastAsia="zh-CN"/>
            </w:rPr>
            <w:t>第二节</w:t>
          </w:r>
          <w:r>
            <w:rPr>
              <w:rFonts w:hint="eastAsia" w:ascii="宋体" w:hAnsi="宋体" w:cs="宋体"/>
              <w:szCs w:val="32"/>
              <w:lang w:val="en-US" w:eastAsia="zh-CN"/>
            </w:rPr>
            <w:t xml:space="preserve"> </w:t>
          </w:r>
          <w:r>
            <w:rPr>
              <w:rFonts w:hint="eastAsia" w:ascii="宋体" w:hAnsi="宋体" w:eastAsia="宋体" w:cs="宋体"/>
              <w:szCs w:val="32"/>
              <w:lang w:eastAsia="zh-CN"/>
            </w:rPr>
            <w:t>合同</w:t>
          </w:r>
          <w:r>
            <w:rPr>
              <w:rFonts w:hint="eastAsia" w:ascii="宋体" w:hAnsi="宋体" w:eastAsia="宋体" w:cs="宋体"/>
              <w:szCs w:val="32"/>
            </w:rPr>
            <w:t>条款</w:t>
          </w:r>
          <w:r>
            <w:tab/>
          </w:r>
          <w:r>
            <w:fldChar w:fldCharType="begin"/>
          </w:r>
          <w:r>
            <w:instrText xml:space="preserve"> PAGEREF _Toc22741 \h </w:instrText>
          </w:r>
          <w:r>
            <w:fldChar w:fldCharType="separate"/>
          </w:r>
          <w:r>
            <w:t>44</w:t>
          </w:r>
          <w:r>
            <w:fldChar w:fldCharType="end"/>
          </w:r>
          <w:r>
            <w:rPr>
              <w:rFonts w:hint="eastAsia" w:asciiTheme="majorEastAsia" w:hAnsiTheme="majorEastAsia" w:eastAsiaTheme="majorEastAsia" w:cstheme="majorEastAsia"/>
              <w:color w:val="auto"/>
              <w:szCs w:val="24"/>
            </w:rPr>
            <w:fldChar w:fldCharType="end"/>
          </w:r>
        </w:p>
        <w:p>
          <w:pPr>
            <w:pStyle w:val="15"/>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_Toc17191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32"/>
              <w:lang w:eastAsia="zh-CN"/>
            </w:rPr>
            <w:t>第六章</w:t>
          </w:r>
          <w:r>
            <w:rPr>
              <w:rFonts w:hint="eastAsia" w:asciiTheme="majorEastAsia" w:hAnsiTheme="majorEastAsia" w:eastAsiaTheme="majorEastAsia" w:cstheme="majorEastAsia"/>
              <w:szCs w:val="32"/>
              <w:lang w:val="en-US" w:eastAsia="zh-CN"/>
            </w:rPr>
            <w:t xml:space="preserve"> </w:t>
          </w:r>
          <w:r>
            <w:rPr>
              <w:rFonts w:hint="eastAsia" w:asciiTheme="majorEastAsia" w:hAnsiTheme="majorEastAsia" w:eastAsiaTheme="majorEastAsia" w:cstheme="majorEastAsia"/>
              <w:szCs w:val="32"/>
            </w:rPr>
            <w:t>采购需求</w:t>
          </w:r>
          <w:r>
            <w:tab/>
          </w:r>
          <w:r>
            <w:fldChar w:fldCharType="begin"/>
          </w:r>
          <w:r>
            <w:instrText xml:space="preserve"> PAGEREF _Toc17191 \h </w:instrText>
          </w:r>
          <w:r>
            <w:fldChar w:fldCharType="separate"/>
          </w:r>
          <w:r>
            <w:t>45</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_Toc25839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rPr>
            <w:t>一、项目概况</w:t>
          </w:r>
          <w:r>
            <w:tab/>
          </w:r>
          <w:r>
            <w:fldChar w:fldCharType="begin"/>
          </w:r>
          <w:r>
            <w:instrText xml:space="preserve"> PAGEREF _Toc25839 \h </w:instrText>
          </w:r>
          <w:r>
            <w:fldChar w:fldCharType="separate"/>
          </w:r>
          <w:r>
            <w:t>45</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_Toc9806 </w:instrText>
          </w:r>
          <w:r>
            <w:rPr>
              <w:rFonts w:hint="eastAsia" w:asciiTheme="majorEastAsia" w:hAnsiTheme="majorEastAsia" w:eastAsiaTheme="majorEastAsia" w:cstheme="majorEastAsia"/>
              <w:szCs w:val="24"/>
            </w:rPr>
            <w:fldChar w:fldCharType="separate"/>
          </w:r>
          <w:r>
            <w:rPr>
              <w:rFonts w:hint="eastAsia" w:ascii="宋体" w:hAnsi="宋体" w:eastAsia="宋体" w:cs="宋体"/>
              <w:bCs/>
              <w:szCs w:val="21"/>
              <w:highlight w:val="none"/>
              <w:lang w:eastAsia="zh-CN"/>
            </w:rPr>
            <w:t>二、实施要求</w:t>
          </w:r>
          <w:r>
            <w:tab/>
          </w:r>
          <w:r>
            <w:fldChar w:fldCharType="begin"/>
          </w:r>
          <w:r>
            <w:instrText xml:space="preserve"> PAGEREF _Toc9806 \h </w:instrText>
          </w:r>
          <w:r>
            <w:fldChar w:fldCharType="separate"/>
          </w:r>
          <w:r>
            <w:t>45</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_Toc21307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lang w:eastAsia="zh-CN"/>
            </w:rPr>
            <w:t>三</w:t>
          </w:r>
          <w:r>
            <w:rPr>
              <w:rFonts w:hint="eastAsia" w:asciiTheme="majorEastAsia" w:hAnsiTheme="majorEastAsia" w:eastAsiaTheme="majorEastAsia" w:cstheme="majorEastAsia"/>
              <w:bCs/>
              <w:szCs w:val="21"/>
            </w:rPr>
            <w:t>、投标报价说明</w:t>
          </w:r>
          <w:r>
            <w:tab/>
          </w:r>
          <w:r>
            <w:fldChar w:fldCharType="begin"/>
          </w:r>
          <w:r>
            <w:instrText xml:space="preserve"> PAGEREF _Toc21307 \h </w:instrText>
          </w:r>
          <w:r>
            <w:fldChar w:fldCharType="separate"/>
          </w:r>
          <w:r>
            <w:t>45</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_Toc2503 </w:instrText>
          </w:r>
          <w:r>
            <w:rPr>
              <w:rFonts w:hint="eastAsia" w:asciiTheme="majorEastAsia" w:hAnsiTheme="majorEastAsia" w:eastAsiaTheme="majorEastAsia" w:cstheme="majorEastAsia"/>
              <w:szCs w:val="24"/>
            </w:rPr>
            <w:fldChar w:fldCharType="separate"/>
          </w:r>
          <w:r>
            <w:rPr>
              <w:rFonts w:hint="eastAsia" w:ascii="宋体" w:hAnsi="宋体"/>
              <w:bCs/>
              <w:szCs w:val="21"/>
              <w:highlight w:val="none"/>
              <w:lang w:val="en-US" w:eastAsia="zh-CN"/>
            </w:rPr>
            <w:t>四、工程量清单</w:t>
          </w:r>
          <w:r>
            <w:tab/>
          </w:r>
          <w:r>
            <w:fldChar w:fldCharType="begin"/>
          </w:r>
          <w:r>
            <w:instrText xml:space="preserve"> PAGEREF _Toc2503 \h </w:instrText>
          </w:r>
          <w:r>
            <w:fldChar w:fldCharType="separate"/>
          </w:r>
          <w:r>
            <w:t>47</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_Toc15577 </w:instrText>
          </w:r>
          <w:r>
            <w:rPr>
              <w:rFonts w:hint="eastAsia" w:asciiTheme="majorEastAsia" w:hAnsiTheme="majorEastAsia" w:eastAsiaTheme="majorEastAsia" w:cstheme="majorEastAsia"/>
              <w:szCs w:val="24"/>
            </w:rPr>
            <w:fldChar w:fldCharType="separate"/>
          </w:r>
          <w:r>
            <w:rPr>
              <w:rFonts w:hint="eastAsia" w:ascii="宋体" w:hAnsi="宋体"/>
              <w:bCs/>
              <w:szCs w:val="21"/>
              <w:highlight w:val="none"/>
              <w:lang w:val="en-US" w:eastAsia="zh-CN"/>
            </w:rPr>
            <w:t>五、其他规定</w:t>
          </w:r>
          <w:r>
            <w:tab/>
          </w:r>
          <w:r>
            <w:fldChar w:fldCharType="begin"/>
          </w:r>
          <w:r>
            <w:instrText xml:space="preserve"> PAGEREF _Toc15577 \h </w:instrText>
          </w:r>
          <w:r>
            <w:fldChar w:fldCharType="separate"/>
          </w:r>
          <w:r>
            <w:t>54</w:t>
          </w:r>
          <w:r>
            <w:fldChar w:fldCharType="end"/>
          </w:r>
          <w:r>
            <w:rPr>
              <w:rFonts w:hint="eastAsia" w:asciiTheme="majorEastAsia" w:hAnsiTheme="majorEastAsia" w:eastAsiaTheme="majorEastAsia" w:cstheme="majorEastAsia"/>
              <w:color w:val="auto"/>
              <w:szCs w:val="24"/>
            </w:rPr>
            <w:fldChar w:fldCharType="end"/>
          </w:r>
        </w:p>
        <w:p>
          <w:pPr>
            <w:pStyle w:val="15"/>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_Toc13173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32"/>
            </w:rPr>
            <w:t>第</w:t>
          </w:r>
          <w:r>
            <w:rPr>
              <w:rFonts w:hint="eastAsia" w:asciiTheme="majorEastAsia" w:hAnsiTheme="majorEastAsia" w:eastAsiaTheme="majorEastAsia" w:cstheme="majorEastAsia"/>
              <w:szCs w:val="32"/>
              <w:lang w:eastAsia="zh-CN"/>
            </w:rPr>
            <w:t>七</w:t>
          </w:r>
          <w:r>
            <w:rPr>
              <w:rFonts w:hint="eastAsia" w:asciiTheme="majorEastAsia" w:hAnsiTheme="majorEastAsia" w:eastAsiaTheme="majorEastAsia" w:cstheme="majorEastAsia"/>
              <w:szCs w:val="32"/>
            </w:rPr>
            <w:t>章 响应文件组成</w:t>
          </w:r>
          <w:r>
            <w:tab/>
          </w:r>
          <w:r>
            <w:fldChar w:fldCharType="begin"/>
          </w:r>
          <w:r>
            <w:instrText xml:space="preserve"> PAGEREF _Toc13173 \h </w:instrText>
          </w:r>
          <w:r>
            <w:fldChar w:fldCharType="separate"/>
          </w:r>
          <w:r>
            <w:t>55</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_Toc9303 </w:instrText>
          </w:r>
          <w:r>
            <w:rPr>
              <w:rFonts w:hint="eastAsia" w:asciiTheme="majorEastAsia" w:hAnsiTheme="majorEastAsia" w:eastAsiaTheme="majorEastAsia" w:cstheme="majorEastAsia"/>
              <w:szCs w:val="24"/>
            </w:rPr>
            <w:fldChar w:fldCharType="separate"/>
          </w:r>
          <w:r>
            <w:rPr>
              <w:rFonts w:hint="eastAsia" w:ascii="黑体" w:eastAsia="黑体"/>
              <w:spacing w:val="-3"/>
            </w:rPr>
            <w:t>第一部分 资格证明文件</w:t>
          </w:r>
          <w:r>
            <w:tab/>
          </w:r>
          <w:r>
            <w:fldChar w:fldCharType="begin"/>
          </w:r>
          <w:r>
            <w:instrText xml:space="preserve"> PAGEREF _Toc9303 \h </w:instrText>
          </w:r>
          <w:r>
            <w:fldChar w:fldCharType="separate"/>
          </w:r>
          <w:r>
            <w:t>56</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_Toc1791 </w:instrText>
          </w:r>
          <w:r>
            <w:rPr>
              <w:rFonts w:hint="eastAsia" w:asciiTheme="majorEastAsia" w:hAnsiTheme="majorEastAsia" w:eastAsiaTheme="majorEastAsia" w:cstheme="majorEastAsia"/>
              <w:szCs w:val="24"/>
            </w:rPr>
            <w:fldChar w:fldCharType="separate"/>
          </w:r>
          <w:r>
            <w:rPr>
              <w:rFonts w:hint="eastAsia" w:ascii="黑体" w:hAnsi="黑体" w:eastAsia="黑体"/>
              <w:szCs w:val="44"/>
            </w:rPr>
            <w:t>第二部分 商务技术文件</w:t>
          </w:r>
          <w:r>
            <w:tab/>
          </w:r>
          <w:r>
            <w:fldChar w:fldCharType="begin"/>
          </w:r>
          <w:r>
            <w:instrText xml:space="preserve"> PAGEREF _Toc1791 \h </w:instrText>
          </w:r>
          <w:r>
            <w:fldChar w:fldCharType="separate"/>
          </w:r>
          <w:r>
            <w:t>71</w:t>
          </w:r>
          <w:r>
            <w:fldChar w:fldCharType="end"/>
          </w:r>
          <w:r>
            <w:rPr>
              <w:rFonts w:hint="eastAsia" w:asciiTheme="majorEastAsia" w:hAnsiTheme="majorEastAsia" w:eastAsiaTheme="majorEastAsia" w:cstheme="majorEastAsia"/>
              <w:color w:val="auto"/>
              <w:szCs w:val="24"/>
            </w:rPr>
            <w:fldChar w:fldCharType="end"/>
          </w:r>
        </w:p>
        <w:p>
          <w:pPr>
            <w:numPr>
              <w:ilvl w:val="0"/>
              <w:numId w:val="0"/>
            </w:numPr>
            <w:spacing w:before="240" w:beforeLines="100" w:after="120" w:afterLines="50" w:line="360" w:lineRule="exact"/>
            <w:jc w:val="both"/>
            <w:rPr>
              <w:rFonts w:hint="eastAsia" w:asciiTheme="majorEastAsia" w:hAnsiTheme="majorEastAsia" w:eastAsiaTheme="majorEastAsia" w:cstheme="majorEastAsia"/>
              <w:b/>
              <w:color w:val="auto"/>
              <w:sz w:val="32"/>
              <w:szCs w:val="32"/>
            </w:rPr>
            <w:sectPr>
              <w:footerReference r:id="rId6" w:type="default"/>
              <w:pgSz w:w="11906" w:h="16838"/>
              <w:pgMar w:top="1474" w:right="1531" w:bottom="1474" w:left="1531" w:header="851" w:footer="992" w:gutter="0"/>
              <w:pgNumType w:fmt="decimal" w:start="1"/>
              <w:cols w:space="720" w:num="1"/>
              <w:docGrid w:linePitch="312" w:charSpace="0"/>
            </w:sectPr>
          </w:pPr>
          <w:r>
            <w:rPr>
              <w:rFonts w:hint="eastAsia" w:asciiTheme="majorEastAsia" w:hAnsiTheme="majorEastAsia" w:eastAsiaTheme="majorEastAsia" w:cstheme="majorEastAsia"/>
              <w:color w:val="auto"/>
              <w:szCs w:val="24"/>
            </w:rPr>
            <w:fldChar w:fldCharType="end"/>
          </w:r>
        </w:p>
      </w:sdtContent>
    </w:sdt>
    <w:p>
      <w:pPr>
        <w:numPr>
          <w:ilvl w:val="0"/>
          <w:numId w:val="0"/>
        </w:numPr>
        <w:spacing w:before="240" w:beforeLines="100" w:after="120" w:afterLines="50" w:line="360" w:lineRule="exact"/>
        <w:jc w:val="center"/>
        <w:outlineLvl w:val="0"/>
        <w:rPr>
          <w:rFonts w:hint="eastAsia" w:asciiTheme="majorEastAsia" w:hAnsiTheme="majorEastAsia" w:eastAsiaTheme="majorEastAsia" w:cstheme="majorEastAsia"/>
          <w:b/>
          <w:color w:val="auto"/>
          <w:sz w:val="32"/>
          <w:szCs w:val="32"/>
          <w:lang w:eastAsia="zh-CN"/>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numPr>
          <w:ilvl w:val="0"/>
          <w:numId w:val="0"/>
        </w:numPr>
        <w:spacing w:before="240" w:beforeLines="100" w:after="120" w:afterLines="50" w:line="360" w:lineRule="exact"/>
        <w:jc w:val="center"/>
        <w:outlineLvl w:val="0"/>
        <w:rPr>
          <w:rFonts w:hint="eastAsia" w:asciiTheme="majorEastAsia" w:hAnsiTheme="majorEastAsia" w:eastAsiaTheme="majorEastAsia" w:cstheme="majorEastAsia"/>
          <w:b/>
          <w:color w:val="auto"/>
          <w:sz w:val="32"/>
          <w:szCs w:val="32"/>
        </w:rPr>
      </w:pPr>
      <w:bookmarkStart w:id="0" w:name="_Toc26027"/>
      <w:r>
        <w:rPr>
          <w:rFonts w:hint="eastAsia" w:asciiTheme="majorEastAsia" w:hAnsiTheme="majorEastAsia" w:eastAsiaTheme="majorEastAsia" w:cstheme="majorEastAsia"/>
          <w:b/>
          <w:color w:val="auto"/>
          <w:sz w:val="32"/>
          <w:szCs w:val="32"/>
          <w:lang w:eastAsia="zh-CN"/>
        </w:rPr>
        <w:t>第一章</w:t>
      </w:r>
      <w:r>
        <w:rPr>
          <w:rFonts w:hint="eastAsia" w:asciiTheme="majorEastAsia" w:hAnsiTheme="majorEastAsia" w:eastAsiaTheme="majorEastAsia" w:cstheme="majorEastAsia"/>
          <w:b/>
          <w:color w:val="auto"/>
          <w:sz w:val="32"/>
          <w:szCs w:val="32"/>
        </w:rPr>
        <w:t xml:space="preserve">  磋商通知</w:t>
      </w:r>
      <w:bookmarkEnd w:id="0"/>
    </w:p>
    <w:p>
      <w:pPr>
        <w:pStyle w:val="19"/>
        <w:numPr>
          <w:ilvl w:val="0"/>
          <w:numId w:val="0"/>
        </w:numPr>
        <w:ind w:leftChars="400"/>
        <w:rPr>
          <w:rFonts w:hint="eastAsia" w:asciiTheme="majorEastAsia" w:hAnsiTheme="majorEastAsia" w:eastAsiaTheme="majorEastAsia" w:cstheme="majorEastAsia"/>
          <w:color w:val="auto"/>
        </w:rPr>
      </w:pP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bookmarkStart w:id="1" w:name="_Toc18907"/>
      <w:r>
        <w:rPr>
          <w:rFonts w:hint="eastAsia" w:asciiTheme="majorEastAsia" w:hAnsiTheme="majorEastAsia" w:eastAsiaTheme="majorEastAsia" w:cstheme="majorEastAsia"/>
          <w:color w:val="auto"/>
          <w:lang w:val="en-US" w:eastAsia="zh-CN"/>
        </w:rPr>
        <w:t>湖南省茶陵县湖口镇梅林村村民委员会的茶陵县湖口镇梅林村古柏桥危桥改造工程进行竞争性磋商采购，现采用发布公告方式，邀请符合资格条件的供应商参与竞争性磋商采购活动。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2" w:name="_Toc14229"/>
      <w:r>
        <w:rPr>
          <w:rFonts w:hint="eastAsia" w:asciiTheme="majorEastAsia" w:hAnsiTheme="majorEastAsia" w:eastAsiaTheme="majorEastAsia" w:cstheme="majorEastAsia"/>
          <w:b/>
          <w:bCs/>
          <w:color w:val="auto"/>
          <w:lang w:val="en-US" w:eastAsia="zh-CN"/>
        </w:rPr>
        <w:t>一、项目概况</w:t>
      </w:r>
      <w:bookmarkEnd w:id="2"/>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1、采购项目名称：茶陵县湖口镇梅林村古柏桥危桥改造工程</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2、采购代理编号： HNFD-CLCG-2021-008</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3" w:name="_Toc11688"/>
      <w:r>
        <w:rPr>
          <w:rFonts w:hint="eastAsia" w:asciiTheme="majorEastAsia" w:hAnsiTheme="majorEastAsia" w:eastAsiaTheme="majorEastAsia" w:cstheme="majorEastAsia"/>
          <w:b/>
          <w:bCs/>
          <w:color w:val="auto"/>
          <w:lang w:val="en-US" w:eastAsia="zh-CN"/>
        </w:rPr>
        <w:t>二、采购项目标的、数量及预算</w:t>
      </w:r>
      <w:bookmarkEnd w:id="3"/>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25"/>
        <w:gridCol w:w="1830"/>
        <w:gridCol w:w="870"/>
        <w:gridCol w:w="1920"/>
        <w:gridCol w:w="178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序号</w:t>
            </w:r>
          </w:p>
        </w:tc>
        <w:tc>
          <w:tcPr>
            <w:tcW w:w="183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包名称</w:t>
            </w:r>
          </w:p>
        </w:tc>
        <w:tc>
          <w:tcPr>
            <w:tcW w:w="8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数量</w:t>
            </w:r>
          </w:p>
        </w:tc>
        <w:tc>
          <w:tcPr>
            <w:tcW w:w="192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采购项目预算</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（元人民币）</w:t>
            </w:r>
          </w:p>
        </w:tc>
        <w:tc>
          <w:tcPr>
            <w:tcW w:w="178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最高限价</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（元人民币）</w:t>
            </w:r>
          </w:p>
        </w:tc>
        <w:tc>
          <w:tcPr>
            <w:tcW w:w="17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代理服务收费最高限价(元）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44" w:hRule="atLeast"/>
          <w:jc w:val="center"/>
        </w:trPr>
        <w:tc>
          <w:tcPr>
            <w:tcW w:w="82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01</w:t>
            </w:r>
          </w:p>
        </w:tc>
        <w:tc>
          <w:tcPr>
            <w:tcW w:w="183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茶陵县湖口镇梅林村古柏桥危桥改造工程</w:t>
            </w:r>
          </w:p>
        </w:tc>
        <w:tc>
          <w:tcPr>
            <w:tcW w:w="8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1项</w:t>
            </w:r>
          </w:p>
        </w:tc>
        <w:tc>
          <w:tcPr>
            <w:tcW w:w="192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677572.74</w:t>
            </w:r>
          </w:p>
        </w:tc>
        <w:tc>
          <w:tcPr>
            <w:tcW w:w="178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643694.10</w:t>
            </w:r>
          </w:p>
        </w:tc>
        <w:tc>
          <w:tcPr>
            <w:tcW w:w="17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10000.00</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1、采购项目需要落实的政府采购政</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（1）预留采购份额：本项目为专门面向中小企业。</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（2）价格评审优惠：政府采购促进中小企业发展（包括政府采购支持监狱企业发展、政府采购促进残疾人就业）。</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4" w:name="_Toc13743"/>
      <w:r>
        <w:rPr>
          <w:rFonts w:hint="eastAsia" w:asciiTheme="majorEastAsia" w:hAnsiTheme="majorEastAsia" w:eastAsiaTheme="majorEastAsia" w:cstheme="majorEastAsia"/>
          <w:b/>
          <w:bCs/>
          <w:color w:val="auto"/>
          <w:lang w:val="en-US" w:eastAsia="zh-CN"/>
        </w:rPr>
        <w:t>三、供应商资质要求</w:t>
      </w:r>
      <w:bookmarkEnd w:id="4"/>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1、供应商的基本资格条件：供应商必须是在中华人民共和国境内注册登记的法人、其他组织或者自然人，且应当符合《政府采购法》第二十二条的规定，即： </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2、采购项目的特定资格条件：</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宋体" w:hAnsi="宋体" w:cs="Times New Roman"/>
          <w:color w:val="auto"/>
          <w:szCs w:val="21"/>
          <w:lang w:val="zh-CN" w:eastAsia="zh-CN"/>
        </w:rPr>
        <w:t>（</w:t>
      </w:r>
      <w:r>
        <w:rPr>
          <w:rFonts w:hint="eastAsia" w:ascii="宋体" w:hAnsi="宋体" w:cs="Times New Roman"/>
          <w:color w:val="auto"/>
          <w:szCs w:val="21"/>
          <w:lang w:val="en-US" w:eastAsia="zh-CN"/>
        </w:rPr>
        <w:t>1</w:t>
      </w:r>
      <w:r>
        <w:rPr>
          <w:rFonts w:hint="eastAsia" w:ascii="宋体" w:hAnsi="宋体" w:cs="Times New Roman"/>
          <w:color w:val="auto"/>
          <w:szCs w:val="21"/>
          <w:lang w:val="zh-CN" w:eastAsia="zh-CN"/>
        </w:rPr>
        <w:t>）投标人须具备建设</w:t>
      </w:r>
      <w:r>
        <w:rPr>
          <w:rFonts w:hint="eastAsia" w:asciiTheme="majorEastAsia" w:hAnsiTheme="majorEastAsia" w:eastAsiaTheme="majorEastAsia" w:cstheme="majorEastAsia"/>
          <w:color w:val="auto"/>
          <w:lang w:val="en-US" w:eastAsia="zh-CN"/>
        </w:rPr>
        <w:t>行政</w:t>
      </w:r>
      <w:r>
        <w:rPr>
          <w:rFonts w:hint="eastAsia" w:ascii="宋体" w:hAnsi="宋体" w:cs="Times New Roman"/>
          <w:color w:val="auto"/>
          <w:szCs w:val="21"/>
          <w:lang w:val="zh-CN" w:eastAsia="zh-CN"/>
        </w:rPr>
        <w:t>主管部门颁发的</w:t>
      </w:r>
      <w:r>
        <w:rPr>
          <w:rFonts w:hint="eastAsia" w:ascii="宋体" w:hAnsi="宋体" w:cs="Times New Roman"/>
          <w:b/>
          <w:bCs/>
          <w:color w:val="auto"/>
          <w:szCs w:val="21"/>
          <w:lang w:val="zh-CN" w:eastAsia="zh-CN"/>
        </w:rPr>
        <w:t>公路工程施工总承包叁级及以上资质</w:t>
      </w:r>
      <w:r>
        <w:rPr>
          <w:rFonts w:hint="eastAsia" w:ascii="宋体" w:hAnsi="宋体" w:cs="Times New Roman"/>
          <w:color w:val="auto"/>
          <w:szCs w:val="21"/>
          <w:lang w:val="zh-CN" w:eastAsia="zh-CN"/>
        </w:rPr>
        <w:t>；</w:t>
      </w:r>
      <w:r>
        <w:rPr>
          <w:rFonts w:hint="eastAsia" w:ascii="宋体" w:hAnsi="宋体" w:cs="Times New Roman"/>
          <w:color w:val="auto"/>
          <w:szCs w:val="21"/>
          <w:lang w:val="en-US" w:eastAsia="zh-CN"/>
        </w:rPr>
        <w:t>安全生产许可证处于有效期</w:t>
      </w:r>
      <w:r>
        <w:rPr>
          <w:rFonts w:hint="eastAsia" w:ascii="宋体" w:hAnsi="宋体" w:cs="Times New Roman"/>
          <w:color w:val="auto"/>
          <w:szCs w:val="21"/>
          <w:lang w:eastAsia="zh-CN"/>
        </w:rPr>
        <w:t>；</w:t>
      </w:r>
      <w:r>
        <w:rPr>
          <w:rFonts w:hint="eastAsia" w:asciiTheme="majorEastAsia" w:hAnsiTheme="majorEastAsia" w:eastAsiaTheme="majorEastAsia" w:cstheme="majorEastAsia"/>
          <w:color w:val="auto"/>
          <w:lang w:val="en-US" w:eastAsia="zh-CN"/>
        </w:rPr>
        <w:t>并在人员、设备、资金等方面具有承担本项目施工的能力，信誉良好、无不良记录的企业；湖南省外企业须具有入湘施工登记证（处于有效期内）或按照湘建【2015】190号文件要求办理省外入湘企业基本情况登记（以“湖南省住房和城乡建设网”查询为准）；</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tabs>
          <w:tab w:val="center" w:pos="4252"/>
        </w:tabs>
        <w:bidi w:val="0"/>
        <w:jc w:val="left"/>
        <w:rPr>
          <w:rFonts w:hint="eastAsia"/>
          <w:lang w:val="en-US" w:eastAsia="zh-CN"/>
        </w:rPr>
        <w:sectPr>
          <w:footerReference r:id="rId8" w:type="default"/>
          <w:pgSz w:w="11906" w:h="16838"/>
          <w:pgMar w:top="1440" w:right="1701" w:bottom="1440" w:left="1701"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left"/>
        <w:textAlignment w:val="auto"/>
        <w:rPr>
          <w:rFonts w:hint="eastAsia" w:asciiTheme="majorEastAsia" w:hAnsiTheme="majorEastAsia" w:eastAsiaTheme="majorEastAsia" w:cstheme="majorEastAsia"/>
          <w:color w:val="auto"/>
          <w:lang w:val="en-US" w:eastAsia="zh-CN"/>
        </w:rPr>
      </w:pPr>
      <w:bookmarkStart w:id="106" w:name="_GoBack"/>
      <w:bookmarkEnd w:id="106"/>
      <w:r>
        <w:rPr>
          <w:rFonts w:hint="eastAsia" w:asciiTheme="majorEastAsia" w:hAnsiTheme="majorEastAsia" w:eastAsiaTheme="majorEastAsia" w:cstheme="majorEastAsia"/>
          <w:color w:val="auto"/>
          <w:lang w:val="en-US" w:eastAsia="zh-CN"/>
        </w:rPr>
        <w:t>（2)</w:t>
      </w:r>
      <w:r>
        <w:rPr>
          <w:rFonts w:hint="eastAsia" w:ascii="宋体" w:hAnsi="宋体" w:eastAsia="宋体" w:cs="宋体"/>
          <w:sz w:val="21"/>
          <w:szCs w:val="21"/>
        </w:rPr>
        <w:t>拟任项目负责人须具有公路工程专业贰级及以上注册建造师证书及有效的交通运输行政主管部门颁发的B类安全生产考核合格证；</w:t>
      </w:r>
      <w:r>
        <w:rPr>
          <w:rFonts w:hint="eastAsia" w:ascii="宋体" w:hAnsi="宋体" w:eastAsia="宋体" w:cs="宋体"/>
          <w:color w:val="auto"/>
          <w:sz w:val="21"/>
          <w:szCs w:val="21"/>
        </w:rPr>
        <w:t>施工员应具有</w:t>
      </w:r>
      <w:r>
        <w:rPr>
          <w:rFonts w:hint="eastAsia" w:ascii="宋体" w:hAnsi="宋体" w:eastAsia="宋体" w:cs="宋体"/>
          <w:color w:val="auto"/>
          <w:szCs w:val="21"/>
        </w:rPr>
        <w:t>岗位资格证书</w:t>
      </w:r>
      <w:r>
        <w:rPr>
          <w:rFonts w:hint="eastAsia" w:ascii="宋体" w:hAnsi="宋体" w:eastAsia="宋体" w:cs="宋体"/>
          <w:color w:val="auto"/>
          <w:szCs w:val="21"/>
          <w:lang w:eastAsia="zh-CN"/>
        </w:rPr>
        <w:t>；</w:t>
      </w:r>
      <w:r>
        <w:rPr>
          <w:rFonts w:hint="eastAsia" w:ascii="宋体" w:hAnsi="宋体" w:eastAsia="宋体" w:cs="宋体"/>
          <w:sz w:val="21"/>
          <w:szCs w:val="21"/>
        </w:rPr>
        <w:t>专职安全员具有交通运输行政主管部门颁发或核准的C类安全生产考核合格证书；施工项目部关键岗位人员配备标准：项目负责人1人、施工员1人、安全员1人。</w:t>
      </w:r>
      <w:r>
        <w:rPr>
          <w:rFonts w:hint="eastAsia" w:asciiTheme="majorEastAsia" w:hAnsiTheme="majorEastAsia" w:eastAsiaTheme="majorEastAsia" w:cstheme="majorEastAsia"/>
          <w:color w:val="auto"/>
          <w:lang w:val="en-US" w:eastAsia="zh-CN"/>
        </w:rPr>
        <w:t>拟任施工项目部关键岗位人员具体要求详见本蹉商文件第二章投标人须知前附表第3.1款要求。</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3、提供施工项目部关键岗位人员无在建工程承诺书。</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4、供应商需提供2020年度经会计师事务所审计的财务报告或银行出具的资信证明。</w:t>
      </w:r>
    </w:p>
    <w:p>
      <w:pPr>
        <w:keepNext w:val="0"/>
        <w:keepLines w:val="0"/>
        <w:pageBreakBefore w:val="0"/>
        <w:widowControl w:val="0"/>
        <w:shd w:val="clear" w:color="auto" w:fill="auto"/>
        <w:kinsoku/>
        <w:overflowPunct/>
        <w:topLinePunct w:val="0"/>
        <w:autoSpaceDE/>
        <w:autoSpaceDN/>
        <w:bidi w:val="0"/>
        <w:adjustRightInd w:val="0"/>
        <w:snapToGrid w:val="0"/>
        <w:spacing w:line="360"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5、</w:t>
      </w:r>
      <w:r>
        <w:rPr>
          <w:rFonts w:hint="eastAsia"/>
          <w:color w:val="auto"/>
          <w:lang w:val="en-US" w:eastAsia="zh-CN"/>
        </w:rPr>
        <w:t>投标人通过“信用中国”网站（www.creditchina.gov.cn）和中国政府采购网（www.ccgp.gov.cn）、查询投标人主体的信用记录的截图的复印件</w:t>
      </w:r>
      <w:r>
        <w:rPr>
          <w:rFonts w:hint="eastAsia" w:asciiTheme="majorEastAsia" w:hAnsiTheme="majorEastAsia" w:eastAsiaTheme="majorEastAsia" w:cstheme="majorEastAsia"/>
          <w:color w:val="auto"/>
          <w:lang w:val="en-US" w:eastAsia="zh-CN"/>
        </w:rPr>
        <w:t>。</w:t>
      </w:r>
    </w:p>
    <w:p>
      <w:pPr>
        <w:keepNext w:val="0"/>
        <w:keepLines w:val="0"/>
        <w:pageBreakBefore w:val="0"/>
        <w:widowControl w:val="0"/>
        <w:shd w:val="clear" w:color="auto" w:fill="auto"/>
        <w:kinsoku/>
        <w:overflowPunct/>
        <w:topLinePunct w:val="0"/>
        <w:autoSpaceDE/>
        <w:autoSpaceDN/>
        <w:bidi w:val="0"/>
        <w:adjustRightInd w:val="0"/>
        <w:snapToGrid w:val="0"/>
        <w:spacing w:line="360"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w:t>
      </w:r>
      <w:r>
        <w:rPr>
          <w:rFonts w:hint="eastAsia" w:ascii="Times New Roman" w:hAnsi="Times New Roman" w:cs="Times New Roman"/>
          <w:color w:val="auto"/>
          <w:highlight w:val="none"/>
          <w:lang w:val="en-US" w:eastAsia="zh-CN"/>
        </w:rPr>
        <w:t>施工项目部关键岗位人员必须是投标单位在职人员，年龄不超过60周岁（提供劳动保障部门出具的近一年内连续6个月企业为其缴纳社会养老保险的证明材料），且无在建工程，</w:t>
      </w:r>
      <w:r>
        <w:rPr>
          <w:rFonts w:hint="eastAsia" w:ascii="Times New Roman" w:hAnsi="Times New Roman" w:cs="Times New Roman"/>
          <w:color w:val="auto"/>
          <w:highlight w:val="none"/>
          <w:lang w:eastAsia="zh-CN"/>
        </w:rPr>
        <w:t>提供施工项目部关键岗位人员无在建承诺书。</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7、单位负责人为同一人或者存在直接控股、管理关系的不同投标人，不得参加同一合同项下的政府采购活动。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8、为本采购项目提供整体设计、规范编制或者项目管理、监理、检测等服务的，不得再参加此项目的其他政府采购活动。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9、列入失信被执行人、重大税收违法案件当事人名单，列入政府采购严重违法失信行为记录名单的，拒绝其参与政府采购活动。</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10、本次采购</w:t>
      </w:r>
      <w:r>
        <w:rPr>
          <w:rFonts w:hint="eastAsia" w:asciiTheme="majorEastAsia" w:hAnsiTheme="majorEastAsia" w:eastAsiaTheme="majorEastAsia" w:cstheme="majorEastAsia"/>
          <w:color w:val="auto"/>
          <w:u w:val="none"/>
          <w:lang w:val="en-US" w:eastAsia="zh-CN"/>
        </w:rPr>
        <w:t>不接受</w:t>
      </w:r>
      <w:r>
        <w:rPr>
          <w:rFonts w:hint="eastAsia" w:asciiTheme="majorEastAsia" w:hAnsiTheme="majorEastAsia" w:eastAsiaTheme="majorEastAsia" w:cstheme="majorEastAsia"/>
          <w:color w:val="auto"/>
          <w:lang w:val="en-US" w:eastAsia="zh-CN"/>
        </w:rPr>
        <w:t>联合体形式。</w:t>
      </w:r>
      <w:r>
        <w:rPr>
          <w:rFonts w:hint="eastAsia" w:ascii="宋体" w:hAnsi="宋体" w:cs="宋体"/>
          <w:color w:val="auto"/>
          <w:kern w:val="0"/>
          <w:szCs w:val="21"/>
          <w:highlight w:val="none"/>
          <w:lang w:eastAsia="zh-CN" w:bidi="ar"/>
        </w:rPr>
        <w:t>供应商</w:t>
      </w:r>
      <w:r>
        <w:rPr>
          <w:rFonts w:hint="eastAsia" w:ascii="宋体" w:hAnsi="宋体" w:eastAsia="宋体" w:cs="宋体"/>
          <w:color w:val="auto"/>
          <w:kern w:val="0"/>
          <w:szCs w:val="21"/>
          <w:highlight w:val="none"/>
          <w:lang w:bidi="ar"/>
        </w:rPr>
        <w:t>能满足本项目《磋商文件》规定的各项要求，以及法律、行政法规规定的其他条件。</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5" w:name="_Toc5575"/>
      <w:r>
        <w:rPr>
          <w:rFonts w:hint="eastAsia" w:asciiTheme="majorEastAsia" w:hAnsiTheme="majorEastAsia" w:eastAsiaTheme="majorEastAsia" w:cstheme="majorEastAsia"/>
          <w:b/>
          <w:bCs/>
          <w:color w:val="auto"/>
          <w:lang w:val="en-US" w:eastAsia="zh-CN"/>
        </w:rPr>
        <w:t>四、获取磋商文件的时间、地点及方式</w:t>
      </w:r>
      <w:bookmarkEnd w:id="5"/>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1、凡符合资格要求并有意参加投标者，请从</w:t>
      </w:r>
      <w:r>
        <w:rPr>
          <w:rFonts w:hint="eastAsia" w:asciiTheme="majorEastAsia" w:hAnsiTheme="majorEastAsia" w:eastAsiaTheme="majorEastAsia" w:cstheme="majorEastAsia"/>
          <w:b/>
          <w:bCs/>
          <w:color w:val="auto"/>
          <w:lang w:val="en-US" w:eastAsia="zh-CN"/>
        </w:rPr>
        <w:t>2021年7月30日至2021年8月5日</w:t>
      </w:r>
      <w:r>
        <w:rPr>
          <w:rFonts w:hint="eastAsia" w:asciiTheme="majorEastAsia" w:hAnsiTheme="majorEastAsia" w:eastAsiaTheme="majorEastAsia" w:cstheme="majorEastAsia"/>
          <w:color w:val="auto"/>
          <w:lang w:val="en-US" w:eastAsia="zh-CN"/>
        </w:rPr>
        <w:t>（北京时间，下同）登录</w:t>
      </w:r>
      <w:r>
        <w:rPr>
          <w:rFonts w:hint="eastAsia" w:ascii="宋体" w:hAnsi="宋体" w:eastAsia="宋体" w:cs="宋体"/>
          <w:b w:val="0"/>
          <w:i w:val="0"/>
          <w:caps w:val="0"/>
          <w:color w:val="auto"/>
          <w:spacing w:val="0"/>
          <w:sz w:val="21"/>
          <w:szCs w:val="21"/>
          <w:u w:val="none"/>
        </w:rPr>
        <w:t>茶陵县</w:t>
      </w:r>
      <w:r>
        <w:rPr>
          <w:rFonts w:hint="eastAsia" w:eastAsia="宋体" w:cs="宋体"/>
          <w:b w:val="0"/>
          <w:i w:val="0"/>
          <w:caps w:val="0"/>
          <w:color w:val="auto"/>
          <w:spacing w:val="0"/>
          <w:sz w:val="21"/>
          <w:szCs w:val="21"/>
          <w:u w:val="none"/>
          <w:lang w:eastAsia="zh-CN"/>
        </w:rPr>
        <w:t>人民政府网（http://www.chaling.gov.cn/）</w:t>
      </w:r>
      <w:r>
        <w:rPr>
          <w:rFonts w:hint="eastAsia" w:ascii="宋体" w:hAnsi="宋体" w:cs="宋体"/>
        </w:rPr>
        <w:t>或</w:t>
      </w:r>
      <w:r>
        <w:rPr>
          <w:rFonts w:hint="eastAsia" w:ascii="宋体" w:hAnsi="宋体" w:cs="宋体"/>
          <w:lang w:eastAsia="zh-CN"/>
        </w:rPr>
        <w:t>茶陵县发展和改革局（http://www.chaling.gov.cn/c11425/index.html）网上</w:t>
      </w:r>
      <w:r>
        <w:rPr>
          <w:rFonts w:hint="eastAsia" w:asciiTheme="majorEastAsia" w:hAnsiTheme="majorEastAsia" w:eastAsiaTheme="majorEastAsia" w:cstheme="majorEastAsia"/>
          <w:color w:val="auto"/>
          <w:lang w:val="en-US" w:eastAsia="zh-CN"/>
        </w:rPr>
        <w:t>下载/获取磋商文件及相关附件，通过网络下载的磋商文件资料与书面磋商文件资料具有同等法律效力。</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2、磋商文件售价400元/份，递交响应文件时缴纳(供应商需以现金形式缴纳，代理机构不接受其它任何形式缴纳的费用），售后不退。</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3、磋商文件及澄清答疑采用网上发布方式。采购人对磋商文件、磋商文件的澄清答疑均采用在</w:t>
      </w:r>
      <w:r>
        <w:rPr>
          <w:rFonts w:hint="eastAsia" w:ascii="宋体" w:hAnsi="宋体" w:eastAsia="宋体" w:cs="宋体"/>
          <w:b w:val="0"/>
          <w:i w:val="0"/>
          <w:caps w:val="0"/>
          <w:color w:val="auto"/>
          <w:spacing w:val="0"/>
          <w:sz w:val="21"/>
          <w:szCs w:val="21"/>
          <w:u w:val="none"/>
        </w:rPr>
        <w:t>茶陵县</w:t>
      </w:r>
      <w:r>
        <w:rPr>
          <w:rFonts w:hint="eastAsia" w:eastAsia="宋体" w:cs="宋体"/>
          <w:b w:val="0"/>
          <w:i w:val="0"/>
          <w:caps w:val="0"/>
          <w:color w:val="auto"/>
          <w:spacing w:val="0"/>
          <w:sz w:val="21"/>
          <w:szCs w:val="21"/>
          <w:u w:val="none"/>
          <w:lang w:eastAsia="zh-CN"/>
        </w:rPr>
        <w:t>人民政府网</w:t>
      </w:r>
      <w:r>
        <w:rPr>
          <w:rFonts w:hint="eastAsia" w:ascii="宋体" w:hAnsi="宋体" w:cs="宋体"/>
        </w:rPr>
        <w:t>或</w:t>
      </w:r>
      <w:r>
        <w:rPr>
          <w:rFonts w:hint="eastAsia" w:ascii="宋体" w:hAnsi="宋体" w:cs="宋体"/>
          <w:lang w:eastAsia="zh-CN"/>
        </w:rPr>
        <w:t>茶陵县发展和改革局网上</w:t>
      </w:r>
      <w:r>
        <w:rPr>
          <w:rFonts w:hint="eastAsia" w:asciiTheme="majorEastAsia" w:hAnsiTheme="majorEastAsia" w:eastAsiaTheme="majorEastAsia" w:cstheme="majorEastAsia"/>
          <w:color w:val="auto"/>
          <w:lang w:val="en-US" w:eastAsia="zh-CN"/>
        </w:rPr>
        <w:t>发布，供应商自行下载。供应商应及时关注网上相关招标信息，如有遗漏（包括但不限于文件未下载或下载不完整），所造成的投标失败或损失由供应商自行负责。</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4、本项目采购文件公告期限为五个工作日，即</w:t>
      </w:r>
      <w:r>
        <w:rPr>
          <w:rFonts w:hint="eastAsia" w:asciiTheme="majorEastAsia" w:hAnsiTheme="majorEastAsia" w:eastAsiaTheme="majorEastAsia" w:cstheme="majorEastAsia"/>
          <w:b/>
          <w:bCs/>
          <w:color w:val="auto"/>
          <w:lang w:val="en-US" w:eastAsia="zh-CN"/>
        </w:rPr>
        <w:t>2021年7月30日至2021年8月5日</w:t>
      </w:r>
      <w:r>
        <w:rPr>
          <w:rFonts w:hint="eastAsia" w:asciiTheme="majorEastAsia" w:hAnsiTheme="majorEastAsia" w:eastAsiaTheme="majorEastAsia" w:cstheme="maj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6" w:name="_Toc10281"/>
      <w:r>
        <w:rPr>
          <w:rFonts w:hint="eastAsia" w:asciiTheme="majorEastAsia" w:hAnsiTheme="majorEastAsia" w:eastAsiaTheme="majorEastAsia" w:cstheme="majorEastAsia"/>
          <w:b/>
          <w:bCs/>
          <w:color w:val="auto"/>
          <w:lang w:val="en-US" w:eastAsia="zh-CN"/>
        </w:rPr>
        <w:t>五、响应文件提交的截止时间、开启时间及地点</w:t>
      </w:r>
      <w:bookmarkEnd w:id="6"/>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color w:val="auto"/>
          <w:lang w:val="en-US" w:eastAsia="zh-CN"/>
        </w:rPr>
        <w:t>1、首次响应文件的提交截止时间：</w:t>
      </w:r>
      <w:r>
        <w:rPr>
          <w:rFonts w:hint="eastAsia" w:asciiTheme="majorEastAsia" w:hAnsiTheme="majorEastAsia" w:eastAsiaTheme="majorEastAsia" w:cstheme="majorEastAsia"/>
          <w:b/>
          <w:bCs/>
          <w:color w:val="auto"/>
          <w:lang w:val="en-US" w:eastAsia="zh-CN"/>
        </w:rPr>
        <w:t>2021年8月10日上午</w:t>
      </w:r>
      <w:r>
        <w:rPr>
          <w:rFonts w:hint="eastAsia" w:ascii="宋体" w:hAnsi="宋体" w:cs="宋体"/>
          <w:b/>
          <w:bCs/>
          <w:color w:val="auto"/>
          <w:lang w:val="en-US" w:eastAsia="zh-CN"/>
        </w:rPr>
        <w:t>09</w:t>
      </w:r>
      <w:r>
        <w:rPr>
          <w:rFonts w:hint="eastAsia" w:cs="Times New Roman"/>
          <w:b/>
          <w:bCs/>
          <w:color w:val="auto"/>
          <w:kern w:val="2"/>
          <w:sz w:val="21"/>
          <w:szCs w:val="21"/>
        </w:rPr>
        <w:t>时</w:t>
      </w:r>
      <w:r>
        <w:rPr>
          <w:rFonts w:hint="eastAsia" w:cs="Times New Roman"/>
          <w:b/>
          <w:bCs/>
          <w:color w:val="auto"/>
          <w:kern w:val="2"/>
          <w:sz w:val="21"/>
          <w:szCs w:val="21"/>
          <w:lang w:val="en-US" w:eastAsia="zh-CN"/>
        </w:rPr>
        <w:t>00</w:t>
      </w:r>
      <w:r>
        <w:rPr>
          <w:rFonts w:hint="eastAsia" w:cs="Times New Roman"/>
          <w:b/>
          <w:bCs/>
          <w:color w:val="auto"/>
          <w:kern w:val="2"/>
          <w:sz w:val="21"/>
          <w:szCs w:val="21"/>
        </w:rPr>
        <w:t>分</w:t>
      </w:r>
      <w:r>
        <w:rPr>
          <w:rFonts w:hint="eastAsia" w:asciiTheme="majorEastAsia" w:hAnsiTheme="majorEastAsia" w:eastAsiaTheme="majorEastAsia" w:cstheme="majorEastAsia"/>
          <w:b/>
          <w:bCs/>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630" w:firstLineChars="300"/>
        <w:jc w:val="left"/>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color w:val="auto"/>
          <w:lang w:val="en-US" w:eastAsia="zh-CN"/>
        </w:rPr>
        <w:t>首次响应文件的开启时间：</w:t>
      </w:r>
      <w:r>
        <w:rPr>
          <w:rFonts w:hint="eastAsia" w:asciiTheme="majorEastAsia" w:hAnsiTheme="majorEastAsia" w:eastAsiaTheme="majorEastAsia" w:cstheme="majorEastAsia"/>
          <w:b/>
          <w:bCs/>
          <w:color w:val="auto"/>
          <w:lang w:val="en-US" w:eastAsia="zh-CN"/>
        </w:rPr>
        <w:t>2021年8月10日上午09</w:t>
      </w:r>
      <w:r>
        <w:rPr>
          <w:rFonts w:hint="eastAsia" w:ascii="宋体" w:hAnsi="宋体" w:eastAsia="宋体" w:cs="宋体"/>
          <w:b/>
          <w:bCs/>
          <w:color w:val="auto"/>
          <w:lang w:val="en-US" w:eastAsia="zh-CN"/>
        </w:rPr>
        <w:t xml:space="preserve"> </w:t>
      </w:r>
      <w:r>
        <w:rPr>
          <w:rFonts w:hint="eastAsia" w:cs="Times New Roman"/>
          <w:b/>
          <w:bCs/>
          <w:color w:val="auto"/>
          <w:kern w:val="2"/>
          <w:sz w:val="21"/>
          <w:szCs w:val="21"/>
        </w:rPr>
        <w:t>时</w:t>
      </w:r>
      <w:r>
        <w:rPr>
          <w:rFonts w:hint="eastAsia" w:cs="Times New Roman"/>
          <w:b/>
          <w:bCs/>
          <w:color w:val="auto"/>
          <w:kern w:val="2"/>
          <w:sz w:val="21"/>
          <w:szCs w:val="21"/>
          <w:lang w:val="en-US" w:eastAsia="zh-CN"/>
        </w:rPr>
        <w:t>00</w:t>
      </w:r>
      <w:r>
        <w:rPr>
          <w:rFonts w:hint="eastAsia" w:cs="Times New Roman"/>
          <w:b/>
          <w:bCs/>
          <w:color w:val="auto"/>
          <w:kern w:val="2"/>
          <w:sz w:val="21"/>
          <w:szCs w:val="21"/>
        </w:rPr>
        <w:t>分</w:t>
      </w:r>
      <w:r>
        <w:rPr>
          <w:rFonts w:hint="eastAsia" w:asciiTheme="majorEastAsia" w:hAnsiTheme="majorEastAsia" w:eastAsiaTheme="majorEastAsia" w:cstheme="majorEastAsia"/>
          <w:b/>
          <w:bCs/>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kern w:val="0"/>
          <w:sz w:val="21"/>
          <w:szCs w:val="21"/>
          <w:u w:val="none"/>
          <w:shd w:val="clear" w:color="auto" w:fill="FFFFFF"/>
          <w:lang w:val="en-US" w:eastAsia="zh-CN" w:bidi="ar"/>
        </w:rPr>
      </w:pPr>
      <w:r>
        <w:rPr>
          <w:rFonts w:hint="eastAsia" w:asciiTheme="majorEastAsia" w:hAnsiTheme="majorEastAsia" w:eastAsiaTheme="majorEastAsia" w:cstheme="majorEastAsia"/>
          <w:color w:val="auto"/>
          <w:lang w:val="ru-RU" w:eastAsia="zh-CN"/>
        </w:rPr>
        <w:t>开标地点：</w:t>
      </w:r>
      <w:r>
        <w:rPr>
          <w:rFonts w:hint="eastAsia" w:ascii="宋体" w:hAnsi="宋体" w:eastAsia="宋体" w:cs="宋体"/>
          <w:b/>
          <w:bCs/>
          <w:kern w:val="0"/>
          <w:sz w:val="21"/>
          <w:szCs w:val="21"/>
          <w:u w:val="none"/>
          <w:shd w:val="clear" w:color="auto" w:fill="FFFFFF"/>
          <w:lang w:val="en-US" w:eastAsia="zh-CN" w:bidi="ar"/>
        </w:rPr>
        <w:t>茶陵县公共资源交易管理委员会办公室四楼开标室</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2、逾期送达的或者未送达指定地点或未按要求密封的响应文件，或供应商未按本项目磋商通知第三款规定获取磋商文件的，采购人将不予受理。</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7" w:name="_Toc18295"/>
      <w:r>
        <w:rPr>
          <w:rFonts w:hint="eastAsia" w:asciiTheme="majorEastAsia" w:hAnsiTheme="majorEastAsia" w:eastAsiaTheme="majorEastAsia" w:cstheme="majorEastAsia"/>
          <w:b/>
          <w:bCs/>
          <w:color w:val="auto"/>
          <w:lang w:val="en-US" w:eastAsia="zh-CN"/>
        </w:rPr>
        <w:t>六、公告期限</w:t>
      </w:r>
      <w:bookmarkEnd w:id="7"/>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1、本招标公告在</w:t>
      </w:r>
      <w:r>
        <w:rPr>
          <w:rFonts w:hint="eastAsia" w:ascii="宋体" w:hAnsi="宋体" w:eastAsia="宋体" w:cs="宋体"/>
          <w:b w:val="0"/>
          <w:i w:val="0"/>
          <w:caps w:val="0"/>
          <w:color w:val="auto"/>
          <w:spacing w:val="0"/>
          <w:sz w:val="21"/>
          <w:szCs w:val="21"/>
          <w:u w:val="none"/>
        </w:rPr>
        <w:t>茶陵县</w:t>
      </w:r>
      <w:r>
        <w:rPr>
          <w:rFonts w:hint="eastAsia" w:eastAsia="宋体" w:cs="宋体"/>
          <w:b w:val="0"/>
          <w:i w:val="0"/>
          <w:caps w:val="0"/>
          <w:color w:val="auto"/>
          <w:spacing w:val="0"/>
          <w:sz w:val="21"/>
          <w:szCs w:val="21"/>
          <w:u w:val="none"/>
          <w:lang w:eastAsia="zh-CN"/>
        </w:rPr>
        <w:t>人民政府网</w:t>
      </w:r>
      <w:r>
        <w:rPr>
          <w:rFonts w:hint="eastAsia" w:ascii="宋体" w:hAnsi="宋体" w:cs="宋体"/>
        </w:rPr>
        <w:t>或</w:t>
      </w:r>
      <w:r>
        <w:rPr>
          <w:rFonts w:hint="eastAsia" w:ascii="宋体" w:hAnsi="宋体" w:cs="宋体"/>
          <w:lang w:eastAsia="zh-CN"/>
        </w:rPr>
        <w:t>茶陵县发展和改革局网上</w:t>
      </w:r>
      <w:r>
        <w:rPr>
          <w:rFonts w:hint="eastAsia" w:asciiTheme="majorEastAsia" w:hAnsiTheme="majorEastAsia" w:eastAsiaTheme="majorEastAsia" w:cstheme="majorEastAsia"/>
          <w:color w:val="auto"/>
          <w:lang w:val="en-US" w:eastAsia="zh-CN"/>
        </w:rPr>
        <w:t>发布。公告期限从本招标公告发布之日起5个工作日。</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2、在其他媒体发布的招标公告，公告内容以本招标公告指定媒体发布的公告为准；公告期限自本招标公告指定媒体最先发布公告之日起算。</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8" w:name="_Toc23260"/>
      <w:r>
        <w:rPr>
          <w:rFonts w:hint="eastAsia" w:asciiTheme="majorEastAsia" w:hAnsiTheme="majorEastAsia" w:eastAsiaTheme="majorEastAsia" w:cstheme="majorEastAsia"/>
          <w:b/>
          <w:bCs/>
          <w:color w:val="auto"/>
          <w:lang w:val="en-US" w:eastAsia="zh-CN"/>
        </w:rPr>
        <w:t>七、疑问及质疑</w:t>
      </w:r>
      <w:bookmarkEnd w:id="8"/>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1、潜在供应商对政府采购活动事项如有疑问的，可以向采购人或采购代理机构提出询问。采购人或采购代理机构将在3个工作日内作出答复。</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2、潜在供应商认为招标文件或招标公告使自己的合法权益受到损害的，可以在收到招标文件之日或招标公告期限届满之日起7个工作日内，以书面形式向采购人、采购代理机构提出质疑。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9" w:name="_Toc11950"/>
      <w:r>
        <w:rPr>
          <w:rFonts w:hint="eastAsia" w:asciiTheme="majorEastAsia" w:hAnsiTheme="majorEastAsia" w:eastAsiaTheme="majorEastAsia" w:cstheme="majorEastAsia"/>
          <w:b/>
          <w:bCs/>
          <w:color w:val="auto"/>
          <w:lang w:val="en-US" w:eastAsia="zh-CN"/>
        </w:rPr>
        <w:t>八、联系方式</w:t>
      </w:r>
      <w:bookmarkEnd w:id="9"/>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采 购 人：湖南省茶陵县湖口镇梅林村村民委员会</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联 系 人：刘书记                   </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电   话：18975391119</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地   址：茶陵县湖口镇梅林村</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采购代理机构：湖南飞达项目管理有限责任公司</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联 系 人：汤庆庆、左丽菲、朱小龙</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电   话：0731-25696784</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地   址：茶陵县炎帝南路日升大楼四楼</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10" w:name="_Toc9063"/>
      <w:r>
        <w:rPr>
          <w:rFonts w:hint="eastAsia" w:asciiTheme="majorEastAsia" w:hAnsiTheme="majorEastAsia" w:eastAsiaTheme="majorEastAsia" w:cstheme="majorEastAsia"/>
          <w:b/>
          <w:bCs/>
          <w:color w:val="auto"/>
          <w:lang w:val="en-US" w:eastAsia="zh-CN"/>
        </w:rPr>
        <w:t>九、其他补充事项</w:t>
      </w:r>
      <w:bookmarkEnd w:id="10"/>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color w:val="auto"/>
          <w:lang w:val="en-US" w:eastAsia="zh-CN"/>
        </w:rPr>
        <w:t>1、磋商保证金额：人民币</w:t>
      </w:r>
      <w:r>
        <w:rPr>
          <w:rFonts w:hint="eastAsia" w:asciiTheme="majorEastAsia" w:hAnsiTheme="majorEastAsia" w:eastAsiaTheme="majorEastAsia" w:cstheme="majorEastAsia"/>
          <w:b/>
          <w:bCs/>
          <w:color w:val="auto"/>
          <w:lang w:val="en-US" w:eastAsia="zh-CN"/>
        </w:rPr>
        <w:t>壹万元整</w:t>
      </w:r>
    </w:p>
    <w:bookmarkEnd w:id="1"/>
    <w:p>
      <w:pPr>
        <w:keepNext w:val="0"/>
        <w:keepLines w:val="0"/>
        <w:pageBreakBefore w:val="0"/>
        <w:widowControl/>
        <w:kinsoku/>
        <w:wordWrap w:val="0"/>
        <w:overflowPunct/>
        <w:topLinePunct w:val="0"/>
        <w:autoSpaceDE/>
        <w:autoSpaceDN w:val="0"/>
        <w:bidi w:val="0"/>
        <w:spacing w:line="336" w:lineRule="auto"/>
        <w:ind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w:t>
      </w:r>
      <w:r>
        <w:rPr>
          <w:rFonts w:hint="eastAsia" w:ascii="宋体" w:hAnsi="宋体" w:cs="宋体"/>
          <w:color w:val="auto"/>
          <w:szCs w:val="21"/>
          <w:lang w:val="ru-RU" w:eastAsia="zh-CN"/>
        </w:rPr>
        <w:t>响应保证金必须是从投标人的账户转入磋商文件指定账户。采购人不接受以其他方式提交的投标保证金。</w:t>
      </w:r>
      <w:r>
        <w:rPr>
          <w:rFonts w:hint="eastAsia" w:ascii="宋体" w:hAnsi="宋体" w:cs="宋体"/>
          <w:color w:val="auto"/>
          <w:szCs w:val="21"/>
          <w:lang w:val="en-US" w:eastAsia="zh-CN"/>
        </w:rPr>
        <w:t>)</w:t>
      </w:r>
    </w:p>
    <w:p>
      <w:pPr>
        <w:keepNext w:val="0"/>
        <w:keepLines w:val="0"/>
        <w:pageBreakBefore w:val="0"/>
        <w:shd w:val="clear" w:color="auto" w:fill="auto"/>
        <w:kinsoku/>
        <w:overflowPunct/>
        <w:topLinePunct w:val="0"/>
        <w:autoSpaceDE/>
        <w:bidi w:val="0"/>
        <w:adjustRightInd w:val="0"/>
        <w:snapToGrid w:val="0"/>
        <w:spacing w:line="360" w:lineRule="exact"/>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投标保证金缴纳支持以下形式（打“√”项为本项目支持形式）： </w:t>
      </w:r>
    </w:p>
    <w:p>
      <w:pPr>
        <w:keepNext w:val="0"/>
        <w:keepLines w:val="0"/>
        <w:pageBreakBefore w:val="0"/>
        <w:shd w:val="clear" w:color="auto" w:fill="auto"/>
        <w:kinsoku/>
        <w:overflowPunct/>
        <w:topLinePunct w:val="0"/>
        <w:autoSpaceDE/>
        <w:bidi w:val="0"/>
        <w:adjustRightInd w:val="0"/>
        <w:snapToGrid w:val="0"/>
        <w:spacing w:line="360" w:lineRule="exact"/>
        <w:ind w:firstLine="420" w:firstLineChars="200"/>
        <w:textAlignment w:val="auto"/>
        <w:rPr>
          <w:rFonts w:hint="eastAsia"/>
          <w:lang w:val="en-US" w:eastAsia="zh-CN"/>
        </w:rPr>
      </w:pPr>
      <w:r>
        <w:rPr>
          <w:rFonts w:hint="eastAsia" w:ascii="宋体" w:hAnsi="宋体" w:eastAsia="宋体"/>
          <w:color w:val="auto"/>
          <w:szCs w:val="21"/>
          <w:highlight w:val="none"/>
          <w:lang w:val="en-US" w:eastAsia="zh-CN"/>
        </w:rPr>
        <w:t>□电子保函    √转账     □纸质保函    □其他</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开户机构：中国建设银行股份有限公司茶陵支行 </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账户名称：茶陵县发展和改革局公共资源交易保证金专户  </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账号：43050162733600000246</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开户机构号:430627336</w:t>
      </w:r>
    </w:p>
    <w:p>
      <w:pPr>
        <w:keepNext w:val="0"/>
        <w:keepLines w:val="0"/>
        <w:pageBreakBefore w:val="0"/>
        <w:widowControl w:val="0"/>
        <w:kinsoku/>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（请在用途栏中注明“ （项目名称+包号） 投标保证金”。（如“项目名称”字符过多，用途栏处填写不下的，则“取‘项目名称’前面字符”填入。）</w:t>
      </w:r>
    </w:p>
    <w:p/>
    <w:p>
      <w:pPr>
        <w:jc w:val="center"/>
        <w:outlineLvl w:val="0"/>
        <w:rPr>
          <w:rFonts w:hint="eastAsia" w:asciiTheme="majorEastAsia" w:hAnsiTheme="majorEastAsia" w:eastAsiaTheme="majorEastAsia" w:cstheme="majorEastAsia"/>
          <w:b/>
          <w:color w:val="auto"/>
          <w:sz w:val="32"/>
          <w:szCs w:val="32"/>
        </w:rPr>
      </w:pPr>
    </w:p>
    <w:p>
      <w:pPr>
        <w:jc w:val="both"/>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bookmarkStart w:id="11" w:name="_Toc26147"/>
      <w:r>
        <w:rPr>
          <w:rFonts w:hint="eastAsia" w:asciiTheme="majorEastAsia" w:hAnsiTheme="majorEastAsia" w:eastAsiaTheme="majorEastAsia" w:cstheme="majorEastAsia"/>
          <w:b/>
          <w:color w:val="auto"/>
          <w:sz w:val="32"/>
          <w:szCs w:val="32"/>
        </w:rPr>
        <w:t>第二章 磋商须知</w:t>
      </w:r>
      <w:bookmarkEnd w:id="11"/>
    </w:p>
    <w:p>
      <w:pPr>
        <w:pStyle w:val="11"/>
        <w:jc w:val="center"/>
        <w:rPr>
          <w:rFonts w:hint="eastAsia" w:asciiTheme="majorEastAsia" w:hAnsiTheme="majorEastAsia" w:eastAsiaTheme="majorEastAsia" w:cstheme="majorEastAsia"/>
          <w:b/>
          <w:color w:val="auto"/>
          <w:sz w:val="24"/>
          <w:szCs w:val="24"/>
        </w:rPr>
      </w:pPr>
    </w:p>
    <w:p>
      <w:pPr>
        <w:pStyle w:val="11"/>
        <w:jc w:val="center"/>
        <w:outlineLvl w:val="1"/>
        <w:rPr>
          <w:rFonts w:hint="eastAsia" w:asciiTheme="majorEastAsia" w:hAnsiTheme="majorEastAsia" w:eastAsiaTheme="majorEastAsia" w:cstheme="majorEastAsia"/>
          <w:b/>
          <w:color w:val="auto"/>
          <w:sz w:val="24"/>
          <w:szCs w:val="24"/>
        </w:rPr>
      </w:pPr>
      <w:bookmarkStart w:id="12" w:name="_Toc9960"/>
      <w:r>
        <w:rPr>
          <w:rFonts w:hint="eastAsia" w:asciiTheme="majorEastAsia" w:hAnsiTheme="majorEastAsia" w:eastAsiaTheme="majorEastAsia" w:cstheme="majorEastAsia"/>
          <w:b/>
          <w:color w:val="auto"/>
          <w:sz w:val="24"/>
          <w:szCs w:val="24"/>
        </w:rPr>
        <w:t>磋商须知前附表</w:t>
      </w:r>
      <w:bookmarkEnd w:id="12"/>
    </w:p>
    <w:tbl>
      <w:tblPr>
        <w:tblStyle w:val="20"/>
        <w:tblW w:w="96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1"/>
        <w:gridCol w:w="1431"/>
        <w:gridCol w:w="850"/>
        <w:gridCol w:w="1977"/>
        <w:gridCol w:w="1738"/>
        <w:gridCol w:w="18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1811" w:type="dxa"/>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81" w:type="dxa"/>
            <w:gridSpan w:val="2"/>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595" w:type="dxa"/>
            <w:gridSpan w:val="3"/>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9687" w:type="dxa"/>
            <w:gridSpan w:val="6"/>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第二章 磋商须知（前附表）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第1.1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5595" w:type="dxa"/>
            <w:gridSpan w:val="3"/>
            <w:noWrap w:val="0"/>
            <w:vAlign w:val="center"/>
          </w:tcPr>
          <w:p>
            <w:pPr>
              <w:adjustRightInd w:val="0"/>
              <w:snapToGrid w:val="0"/>
              <w:spacing w:beforeLines="50" w:line="360" w:lineRule="auto"/>
              <w:rPr>
                <w:rFonts w:hint="eastAsia" w:ascii="宋体" w:hAnsi="宋体" w:eastAsia="宋体" w:cs="宋体"/>
                <w:color w:val="auto"/>
                <w:szCs w:val="21"/>
                <w:highlight w:val="none"/>
              </w:rPr>
            </w:pPr>
            <w:r>
              <w:rPr>
                <w:rFonts w:hint="eastAsia" w:asciiTheme="majorEastAsia" w:hAnsiTheme="majorEastAsia" w:eastAsiaTheme="majorEastAsia" w:cstheme="majorEastAsia"/>
                <w:color w:val="auto"/>
                <w:lang w:val="en-US" w:eastAsia="zh-CN"/>
              </w:rPr>
              <w:t>茶陵县湖口镇梅林村古柏桥危桥改造工程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采 购 人：湖南省茶陵县湖口镇梅林村村民委员会</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联 系 人：刘书记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电    话：18975391119</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bidi="ar"/>
              </w:rPr>
              <w:t>地    址：茶陵县湖口镇梅林村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采购代理机构：湖南飞达项目管理有限责任公司</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联 系 人：汤庆庆、左丽菲、朱小龙</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电    话：0731-25696784</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bidi="ar"/>
              </w:rPr>
              <w:t>地    址：茶陵县炎帝南路日升大楼四楼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第二章第2.3款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szCs w:val="21"/>
                <w:highlight w:val="none"/>
              </w:rPr>
              <w:t>供应商的</w:t>
            </w:r>
            <w:r>
              <w:rPr>
                <w:rFonts w:hint="eastAsia" w:ascii="宋体" w:hAnsi="宋体" w:eastAsia="宋体" w:cs="宋体"/>
                <w:color w:val="auto"/>
                <w:szCs w:val="21"/>
                <w:highlight w:val="none"/>
              </w:rPr>
              <w:t>邀请方式</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 xml:space="preserve"> </w:t>
            </w:r>
            <w:r>
              <w:rPr>
                <w:rFonts w:hint="eastAsia" w:ascii="宋体" w:hAnsi="宋体"/>
                <w:color w:val="auto"/>
                <w:szCs w:val="21"/>
                <w:highlight w:val="none"/>
              </w:rPr>
              <w:t>发布邀请公告</w:t>
            </w:r>
          </w:p>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 xml:space="preserve"> </w:t>
            </w:r>
            <w:r>
              <w:rPr>
                <w:rFonts w:hint="eastAsia" w:ascii="宋体" w:hAnsi="宋体"/>
                <w:color w:val="auto"/>
                <w:szCs w:val="21"/>
                <w:highlight w:val="none"/>
              </w:rPr>
              <w:t>从省级以上财政部门建立的供应商库中随机抽取</w:t>
            </w:r>
          </w:p>
          <w:p>
            <w:pPr>
              <w:pStyle w:val="18"/>
              <w:keepNext w:val="0"/>
              <w:keepLines w:val="0"/>
              <w:pageBreakBefore w:val="0"/>
              <w:shd w:val="clear" w:color="auto" w:fill="auto"/>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cs="Times New Roman"/>
                <w:color w:val="auto"/>
                <w:sz w:val="21"/>
                <w:szCs w:val="21"/>
                <w:highlight w:val="none"/>
              </w:rPr>
              <w:t>□ 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spacing w:line="320" w:lineRule="exact"/>
              <w:jc w:val="center"/>
              <w:rPr>
                <w:rFonts w:hAnsi="宋体"/>
                <w:color w:val="auto"/>
                <w:szCs w:val="21"/>
                <w:highlight w:val="none"/>
              </w:rPr>
            </w:pPr>
            <w:r>
              <w:rPr>
                <w:rFonts w:hint="eastAsia" w:hAnsi="宋体"/>
                <w:color w:val="auto"/>
                <w:szCs w:val="21"/>
                <w:highlight w:val="none"/>
              </w:rPr>
              <w:t>专门面向中小企业</w:t>
            </w:r>
          </w:p>
          <w:p>
            <w:pPr>
              <w:shd w:val="clear" w:color="auto" w:fill="auto"/>
              <w:adjustRightInd w:val="0"/>
              <w:snapToGrid w:val="0"/>
              <w:jc w:val="center"/>
              <w:rPr>
                <w:rFonts w:hint="eastAsia" w:ascii="宋体" w:hAnsi="宋体" w:eastAsia="宋体" w:cs="宋体"/>
                <w:color w:val="auto"/>
                <w:kern w:val="0"/>
                <w:szCs w:val="21"/>
                <w:highlight w:val="none"/>
              </w:rPr>
            </w:pPr>
            <w:r>
              <w:rPr>
                <w:rFonts w:hint="eastAsia" w:hAnsi="宋体"/>
                <w:color w:val="auto"/>
                <w:szCs w:val="21"/>
                <w:highlight w:val="none"/>
              </w:rPr>
              <w:t>采购</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lang w:eastAsia="zh-CN"/>
              </w:rPr>
              <w:t>本项目为：</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rPr>
              <w:t xml:space="preserve">■ </w:t>
            </w:r>
            <w:r>
              <w:rPr>
                <w:rFonts w:hint="eastAsia"/>
                <w:color w:val="auto"/>
                <w:highlight w:val="none"/>
                <w:lang w:eastAsia="zh-CN"/>
              </w:rPr>
              <w:t>专门面向中小企业或者小型、微型企业采购</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非专门面向中小企业</w:t>
            </w:r>
            <w:r>
              <w:rPr>
                <w:rFonts w:hint="eastAsia"/>
                <w:color w:val="auto"/>
                <w:highlight w:val="none"/>
                <w:lang w:eastAsia="zh-CN"/>
              </w:rPr>
              <w:t>或者小型、微型企业采购：</w:t>
            </w:r>
          </w:p>
          <w:p>
            <w:pPr>
              <w:pStyle w:val="18"/>
              <w:keepNext w:val="0"/>
              <w:keepLines w:val="0"/>
              <w:pageBreakBefore w:val="0"/>
              <w:shd w:val="clear" w:color="auto" w:fill="auto"/>
              <w:kinsoku/>
              <w:wordWrap/>
              <w:overflowPunct/>
              <w:topLinePunct w:val="0"/>
              <w:autoSpaceDE/>
              <w:autoSpaceDN/>
              <w:bidi w:val="0"/>
              <w:adjustRightInd w:val="0"/>
              <w:snapToGrid w:val="0"/>
              <w:spacing w:before="0" w:beforeAutospacing="0" w:after="0" w:afterAutospacing="0" w:line="400" w:lineRule="exact"/>
              <w:textAlignment w:val="auto"/>
              <w:rPr>
                <w:rFonts w:hint="eastAsia" w:cs="Times New Roman"/>
                <w:color w:val="auto"/>
                <w:sz w:val="21"/>
                <w:szCs w:val="21"/>
                <w:highlight w:val="none"/>
              </w:rPr>
            </w:pP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sz w:val="21"/>
                <w:szCs w:val="21"/>
                <w:highlight w:val="none"/>
                <w:u w:val="single"/>
                <w:lang w:val="en-US" w:eastAsia="zh-CN"/>
              </w:rPr>
              <w:t>（预留采购份额）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资格条件</w:t>
            </w:r>
          </w:p>
        </w:tc>
        <w:tc>
          <w:tcPr>
            <w:tcW w:w="5595" w:type="dxa"/>
            <w:gridSpan w:val="3"/>
            <w:noWrap w:val="0"/>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color w:val="auto"/>
                <w:highlight w:val="none"/>
              </w:rPr>
            </w:pPr>
            <w:r>
              <w:rPr>
                <w:rFonts w:hint="eastAsia"/>
                <w:b/>
                <w:bCs/>
                <w:color w:val="auto"/>
                <w:highlight w:val="none"/>
                <w:lang w:val="en-US" w:eastAsia="zh-CN"/>
              </w:rPr>
              <w:t>1、</w:t>
            </w:r>
            <w:r>
              <w:rPr>
                <w:rFonts w:hint="eastAsia"/>
                <w:b/>
                <w:bCs/>
                <w:color w:val="auto"/>
                <w:highlight w:val="none"/>
              </w:rPr>
              <w:t>供应商基本资格条件：</w:t>
            </w:r>
            <w:r>
              <w:rPr>
                <w:rFonts w:hint="eastAsia"/>
                <w:color w:val="auto"/>
                <w:highlight w:val="none"/>
                <w:lang w:val="en-US" w:eastAsia="zh-CN"/>
              </w:rPr>
              <w:t>供应商</w:t>
            </w:r>
            <w:r>
              <w:rPr>
                <w:rFonts w:hint="eastAsia"/>
                <w:color w:val="auto"/>
                <w:highlight w:val="none"/>
              </w:rPr>
              <w:t>必须是在中华人民共和国境内注册登记的法人、非法人组织或者自然人，且应当符合《政府采购法》第二十二条规定的供应商条件，即：</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（1）具有独立承担民事责任的能力；</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（2）具有良好的商业信誉和健全的财务会计制度；</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（3）具有履行合同所必需的设备和专业技术能力；</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（4）有依法缴纳税收和社会保障资金的良好记录；</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（5）参加政府采购活动前三年内，在经营活动中没有重大违法记录；</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（6）法律、行政法规规定的其他条件。</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eastAsia="zh-CN"/>
              </w:rPr>
              <w:t>2、供应商特定资格条件：</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imes New Roman" w:hAnsi="Times New Roman" w:eastAsia="宋体" w:cs="Times New Roman"/>
                <w:color w:val="auto"/>
                <w:highlight w:val="none"/>
                <w:lang w:eastAsia="zh-CN"/>
              </w:rPr>
              <w:t>（1)</w:t>
            </w:r>
            <w:r>
              <w:rPr>
                <w:rFonts w:hint="eastAsia" w:ascii="宋体" w:hAnsi="宋体" w:cs="Times New Roman"/>
                <w:color w:val="auto"/>
                <w:szCs w:val="21"/>
                <w:lang w:val="zh-CN" w:eastAsia="zh-CN"/>
              </w:rPr>
              <w:t>投标人须具备建设</w:t>
            </w:r>
            <w:r>
              <w:rPr>
                <w:rFonts w:hint="eastAsia" w:asciiTheme="majorEastAsia" w:hAnsiTheme="majorEastAsia" w:eastAsiaTheme="majorEastAsia" w:cstheme="majorEastAsia"/>
                <w:color w:val="auto"/>
                <w:lang w:val="en-US" w:eastAsia="zh-CN"/>
              </w:rPr>
              <w:t>行政</w:t>
            </w:r>
            <w:r>
              <w:rPr>
                <w:rFonts w:hint="eastAsia" w:ascii="宋体" w:hAnsi="宋体" w:cs="Times New Roman"/>
                <w:color w:val="auto"/>
                <w:szCs w:val="21"/>
                <w:lang w:val="zh-CN" w:eastAsia="zh-CN"/>
              </w:rPr>
              <w:t>主管部门颁发的</w:t>
            </w:r>
            <w:r>
              <w:rPr>
                <w:rFonts w:hint="eastAsia" w:ascii="宋体" w:hAnsi="宋体" w:cs="Times New Roman"/>
                <w:b/>
                <w:bCs/>
                <w:color w:val="auto"/>
                <w:szCs w:val="21"/>
                <w:lang w:val="zh-CN" w:eastAsia="zh-CN"/>
              </w:rPr>
              <w:t>公路工程施工总承包叁级及以上资质</w:t>
            </w:r>
            <w:r>
              <w:rPr>
                <w:rFonts w:hint="eastAsia" w:ascii="宋体" w:hAnsi="宋体" w:cs="Times New Roman"/>
                <w:color w:val="auto"/>
                <w:szCs w:val="21"/>
                <w:lang w:val="zh-CN" w:eastAsia="zh-CN"/>
              </w:rPr>
              <w:t>；</w:t>
            </w:r>
            <w:r>
              <w:rPr>
                <w:rFonts w:hint="eastAsia" w:ascii="宋体" w:hAnsi="宋体" w:cs="Times New Roman"/>
                <w:color w:val="auto"/>
                <w:szCs w:val="21"/>
                <w:lang w:val="en-US" w:eastAsia="zh-CN"/>
              </w:rPr>
              <w:t>安全生产许可证处于有效期</w:t>
            </w:r>
            <w:r>
              <w:rPr>
                <w:rFonts w:hint="eastAsia" w:ascii="宋体" w:hAnsi="宋体" w:cs="Times New Roman"/>
                <w:color w:val="auto"/>
                <w:szCs w:val="21"/>
                <w:lang w:eastAsia="zh-CN"/>
              </w:rPr>
              <w:t>；</w:t>
            </w:r>
            <w:r>
              <w:rPr>
                <w:rFonts w:hint="eastAsia" w:asciiTheme="majorEastAsia" w:hAnsiTheme="majorEastAsia" w:eastAsiaTheme="majorEastAsia" w:cstheme="majorEastAsia"/>
                <w:color w:val="auto"/>
                <w:lang w:val="en-US" w:eastAsia="zh-CN"/>
              </w:rPr>
              <w:t>并在人员、设备、资金等方面具有承担本项目施工的能力，信誉良好、无不良记录的企业；湖南省外企业须具有入湘施工登记证（处于有效期内）或按照湘建【2015】190号文件要求办理省外入湘企业基本情况登记（以“湖南省住房和城乡建设网”查询为准）；</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（2)本招标项目施工关键</w:t>
            </w:r>
            <w:r>
              <w:rPr>
                <w:rFonts w:hint="eastAsia" w:ascii="宋体" w:hAnsi="宋体" w:eastAsia="宋体" w:cs="宋体"/>
                <w:sz w:val="21"/>
                <w:szCs w:val="21"/>
              </w:rPr>
              <w:t>岗位人员配备标准：</w:t>
            </w:r>
            <w:r>
              <w:rPr>
                <w:rFonts w:hint="eastAsia" w:asciiTheme="majorEastAsia" w:hAnsiTheme="majorEastAsia" w:eastAsiaTheme="majorEastAsia" w:cstheme="majorEastAsia"/>
                <w:color w:val="auto"/>
                <w:lang w:val="en-US" w:eastAsia="zh-CN"/>
              </w:rPr>
              <w:t>施工项目负责人1人、施工员1人、安全员1人。</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default" w:ascii="Calibri" w:hAnsi="Calibri" w:cs="Calibri" w:eastAsiaTheme="majorEastAsia"/>
                <w:color w:val="auto"/>
                <w:lang w:val="en-US" w:eastAsia="zh-CN"/>
              </w:rPr>
              <w:t>①</w:t>
            </w:r>
            <w:r>
              <w:rPr>
                <w:rFonts w:hint="eastAsia" w:asciiTheme="majorEastAsia" w:hAnsiTheme="majorEastAsia" w:eastAsiaTheme="majorEastAsia" w:cstheme="majorEastAsia"/>
                <w:color w:val="auto"/>
                <w:lang w:val="en-US" w:eastAsia="zh-CN"/>
              </w:rPr>
              <w:t>拟任项目负责人须具有公路工程专业贰级及以上注册建造师证书及有效的交通运输行政主管部门颁发的B类安全生产考核合格证，无在建项目；</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asciiTheme="majorEastAsia" w:hAnsiTheme="majorEastAsia" w:eastAsiaTheme="majorEastAsia" w:cstheme="majorEastAsia"/>
                <w:color w:val="auto"/>
                <w:lang w:val="en-US" w:eastAsia="zh-CN"/>
              </w:rPr>
            </w:pPr>
            <w:r>
              <w:rPr>
                <w:rFonts w:hint="default" w:ascii="Calibri" w:hAnsi="Calibri" w:cs="Calibri" w:eastAsiaTheme="majorEastAsia"/>
                <w:color w:val="auto"/>
                <w:lang w:val="en-US" w:eastAsia="zh-CN"/>
              </w:rPr>
              <w:t>②</w:t>
            </w:r>
            <w:r>
              <w:rPr>
                <w:rFonts w:hint="eastAsia" w:ascii="宋体" w:hAnsi="宋体" w:eastAsia="宋体" w:cs="宋体"/>
                <w:color w:val="auto"/>
                <w:sz w:val="21"/>
                <w:szCs w:val="21"/>
              </w:rPr>
              <w:t>施工员应具有</w:t>
            </w:r>
            <w:r>
              <w:rPr>
                <w:rFonts w:hint="eastAsia" w:ascii="宋体" w:hAnsi="宋体" w:eastAsia="宋体" w:cs="宋体"/>
                <w:color w:val="auto"/>
                <w:szCs w:val="21"/>
              </w:rPr>
              <w:t>岗位资格证书</w:t>
            </w:r>
            <w:r>
              <w:rPr>
                <w:rFonts w:hint="eastAsia" w:ascii="宋体" w:hAnsi="宋体" w:eastAsia="宋体" w:cs="宋体"/>
                <w:color w:val="auto"/>
                <w:szCs w:val="21"/>
                <w:lang w:eastAsia="zh-CN"/>
              </w:rPr>
              <w:t>；</w:t>
            </w:r>
            <w:r>
              <w:rPr>
                <w:rFonts w:hint="eastAsia" w:ascii="宋体" w:hAnsi="宋体" w:eastAsia="宋体" w:cs="宋体"/>
                <w:sz w:val="21"/>
                <w:szCs w:val="21"/>
              </w:rPr>
              <w:t>专职安全员具有交通运输行政主管部门颁发或核准的C类安全生产考核合格证书</w:t>
            </w:r>
            <w:r>
              <w:rPr>
                <w:rFonts w:hint="eastAsia" w:ascii="宋体" w:hAnsi="宋体" w:eastAsia="宋体" w:cs="宋体"/>
                <w:sz w:val="21"/>
                <w:szCs w:val="21"/>
                <w:lang w:eastAsia="zh-CN"/>
              </w:rPr>
              <w:t>。</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ascii="Times New Roman" w:hAnsi="Times New Roman" w:cs="Times New Roman"/>
                <w:color w:val="auto"/>
                <w:highlight w:val="none"/>
                <w:lang w:val="en-US" w:eastAsia="zh-CN"/>
              </w:rPr>
            </w:pPr>
            <w:r>
              <w:rPr>
                <w:rFonts w:hint="default" w:ascii="Calibri" w:hAnsi="Calibri" w:cs="Calibri"/>
                <w:color w:val="auto"/>
                <w:highlight w:val="none"/>
                <w:lang w:eastAsia="zh-CN"/>
              </w:rPr>
              <w:t>③</w:t>
            </w:r>
            <w:r>
              <w:rPr>
                <w:rFonts w:hint="eastAsia" w:ascii="Times New Roman" w:hAnsi="Times New Roman" w:cs="Times New Roman"/>
                <w:color w:val="auto"/>
                <w:highlight w:val="none"/>
                <w:lang w:val="en-US" w:eastAsia="zh-CN"/>
              </w:rPr>
              <w:t>施工项目部关键岗位人员必须是投标单位在职人员，年龄不超过60周岁（提供劳动保障部门出具的近一年内连续6个月企业为其缴纳社会养老保险的证明材料），且无在建工程，</w:t>
            </w:r>
            <w:r>
              <w:rPr>
                <w:rFonts w:hint="eastAsia" w:ascii="Times New Roman" w:hAnsi="Times New Roman" w:cs="Times New Roman"/>
                <w:color w:val="auto"/>
                <w:highlight w:val="none"/>
                <w:lang w:eastAsia="zh-CN"/>
              </w:rPr>
              <w:t>提供施工项目部关键岗位人员无在建承诺书。</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w:t>
            </w:r>
            <w:r>
              <w:rPr>
                <w:rFonts w:hint="eastAsia" w:asciiTheme="majorEastAsia" w:hAnsiTheme="majorEastAsia" w:eastAsiaTheme="majorEastAsia" w:cstheme="majorEastAsia"/>
                <w:color w:val="auto"/>
                <w:lang w:val="en-US" w:eastAsia="zh-CN"/>
              </w:rPr>
              <w:t>2020年度经会计师事务所审计的财务报告或银行出具的资信证明</w:t>
            </w:r>
            <w:r>
              <w:rPr>
                <w:rFonts w:hint="eastAsia" w:ascii="Times New Roman" w:hAnsi="Times New Roman" w:cs="Times New Roman"/>
                <w:color w:val="auto"/>
                <w:highlight w:val="none"/>
                <w:lang w:val="en-US" w:eastAsia="zh-CN"/>
              </w:rPr>
              <w:t>。</w:t>
            </w:r>
          </w:p>
          <w:p>
            <w:pPr>
              <w:keepNext w:val="0"/>
              <w:keepLines w:val="0"/>
              <w:pageBreakBefore w:val="0"/>
              <w:widowControl w:val="0"/>
              <w:numPr>
                <w:ilvl w:val="0"/>
                <w:numId w:val="1"/>
              </w:numPr>
              <w:shd w:val="clear" w:color="auto" w:fill="auto"/>
              <w:kinsoku/>
              <w:overflowPunct/>
              <w:topLinePunct w:val="0"/>
              <w:autoSpaceDE/>
              <w:autoSpaceDN/>
              <w:bidi w:val="0"/>
              <w:adjustRightInd w:val="0"/>
              <w:snapToGrid w:val="0"/>
              <w:spacing w:line="360" w:lineRule="exact"/>
              <w:jc w:val="left"/>
              <w:textAlignment w:val="auto"/>
              <w:rPr>
                <w:rFonts w:hint="eastAsia" w:ascii="Times New Roman" w:hAnsi="Times New Roman" w:cs="Times New Roman"/>
                <w:color w:val="auto"/>
                <w:highlight w:val="none"/>
                <w:lang w:val="en-US" w:eastAsia="zh-CN"/>
              </w:rPr>
            </w:pPr>
            <w:r>
              <w:rPr>
                <w:rFonts w:hint="eastAsia"/>
                <w:color w:val="auto"/>
                <w:lang w:val="en-US" w:eastAsia="zh-CN"/>
              </w:rPr>
              <w:t>投标人提供的在招标文件发出后投标截时间前通过“信用中国”网站（www.creditchina.gov.cn）和中国政府采购网（www.ccgp.gov.cn）、查询投标人主体的信用记录的截图的复印件</w:t>
            </w:r>
            <w:r>
              <w:rPr>
                <w:rFonts w:hint="eastAsia" w:asciiTheme="majorEastAsia" w:hAnsiTheme="majorEastAsia" w:eastAsiaTheme="majorEastAsia" w:cstheme="majorEastAsia"/>
                <w:color w:val="auto"/>
                <w:lang w:val="en-US" w:eastAsia="zh-CN"/>
              </w:rPr>
              <w:t>。</w:t>
            </w:r>
          </w:p>
          <w:p>
            <w:pPr>
              <w:keepNext w:val="0"/>
              <w:keepLines w:val="0"/>
              <w:pageBreakBefore w:val="0"/>
              <w:widowControl w:val="0"/>
              <w:numPr>
                <w:ilvl w:val="0"/>
                <w:numId w:val="1"/>
              </w:numPr>
              <w:shd w:val="clear" w:color="auto" w:fill="auto"/>
              <w:kinsoku/>
              <w:overflowPunct/>
              <w:topLinePunct w:val="0"/>
              <w:autoSpaceDE/>
              <w:autoSpaceDN/>
              <w:bidi w:val="0"/>
              <w:adjustRightInd w:val="0"/>
              <w:snapToGrid w:val="0"/>
              <w:spacing w:line="360" w:lineRule="exact"/>
              <w:jc w:val="lef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单位负责人为同一人或者存在直接控股、管理关系的不同投标人，不得参加同一合同项下的政府采购活动。</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6、为本采购项目提供整体设计、规范编制或者项目管理、监理、检测等服务的，不得再参加此项目的其他招标采购活动。</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color w:val="auto"/>
                <w:highlight w:val="none"/>
              </w:rPr>
            </w:pPr>
            <w:r>
              <w:rPr>
                <w:rFonts w:hint="eastAsia" w:ascii="Times New Roman" w:hAnsi="Times New Roman" w:cs="Times New Roman"/>
                <w:color w:val="auto"/>
                <w:highlight w:val="none"/>
                <w:lang w:val="en-US" w:eastAsia="zh-CN"/>
              </w:rPr>
              <w:t>7、列入失信被执行人、重大税收违法案件当事人名单，列入政府采购严重违法失信行为记录名单的，拒绝其参与政府采购活动。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联合体磋商</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不</w:t>
            </w:r>
            <w:r>
              <w:rPr>
                <w:rFonts w:hint="eastAsia" w:ascii="宋体" w:hAnsi="宋体" w:eastAsia="宋体" w:cs="宋体"/>
                <w:color w:val="auto"/>
                <w:szCs w:val="21"/>
                <w:highlight w:val="none"/>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spacing w:line="28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第二章第7.1款</w:t>
            </w:r>
          </w:p>
        </w:tc>
        <w:tc>
          <w:tcPr>
            <w:tcW w:w="2281" w:type="dxa"/>
            <w:gridSpan w:val="2"/>
            <w:noWrap w:val="0"/>
            <w:vAlign w:val="center"/>
          </w:tcPr>
          <w:p>
            <w:pPr>
              <w:shd w:val="clear" w:color="auto" w:fill="auto"/>
              <w:adjustRightInd w:val="0"/>
              <w:snapToGrid w:val="0"/>
              <w:spacing w:line="28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现场勘察</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1、供应商自行组织现场勘察。</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2、勘察现场的费用由供应商自己承担，勘察期间所发生的人身伤害及财产损失由供应商自己负责。</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3、采购人不对供应商据此而做出的推论、理解和结论负责。一旦成交，供应商不得以任何借口，而提出额外补偿，或延长合同期限的要求。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第二章第8.1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采购进口产品</w:t>
            </w:r>
          </w:p>
        </w:tc>
        <w:tc>
          <w:tcPr>
            <w:tcW w:w="5595" w:type="dxa"/>
            <w:gridSpan w:val="3"/>
            <w:noWrap w:val="0"/>
            <w:vAlign w:val="top"/>
          </w:tcPr>
          <w:p>
            <w:pPr>
              <w:shd w:val="clear" w:color="auto" w:fill="auto"/>
              <w:adjustRightInd w:val="0"/>
              <w:snapToGrid w:val="0"/>
              <w:spacing w:line="360" w:lineRule="exact"/>
              <w:rPr>
                <w:rFonts w:hint="eastAsia" w:ascii="宋体" w:hAnsi="宋体" w:eastAsia="宋体" w:cs="宋体"/>
                <w:snapToGrid w:val="0"/>
                <w:color w:val="auto"/>
                <w:kern w:val="0"/>
                <w:szCs w:val="21"/>
                <w:highlight w:val="none"/>
                <w:shd w:val="clear" w:color="auto" w:fill="FFFFFF"/>
              </w:rPr>
            </w:pP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snapToGrid w:val="0"/>
                <w:color w:val="auto"/>
                <w:kern w:val="0"/>
                <w:szCs w:val="21"/>
                <w:highlight w:val="none"/>
                <w:shd w:val="clear" w:color="auto" w:fill="FFFFFF"/>
              </w:rPr>
              <w:t>本采购项目拒绝进口产品参加投标。</w:t>
            </w:r>
          </w:p>
          <w:p>
            <w:pPr>
              <w:shd w:val="clear" w:color="auto" w:fill="auto"/>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shd w:val="clear" w:color="auto" w:fill="FFFFFF"/>
              </w:rPr>
              <w:t>本采购项目已经财政部门审核同意购买进口产品。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.3款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磋商文件的可能实质性变动内容</w:t>
            </w:r>
          </w:p>
        </w:tc>
        <w:tc>
          <w:tcPr>
            <w:tcW w:w="5595" w:type="dxa"/>
            <w:gridSpan w:val="3"/>
            <w:noWrap w:val="0"/>
            <w:vAlign w:val="center"/>
          </w:tcPr>
          <w:p>
            <w:pPr>
              <w:shd w:val="clear" w:color="auto" w:fill="auto"/>
              <w:adjustRightInd w:val="0"/>
              <w:snapToGrid w:val="0"/>
              <w:spacing w:line="280" w:lineRule="exact"/>
              <w:rPr>
                <w:rFonts w:hint="eastAsia" w:ascii="宋体" w:hAnsi="宋体" w:eastAsia="宋体" w:cs="宋体"/>
                <w:color w:val="auto"/>
                <w:szCs w:val="21"/>
                <w:highlight w:val="none"/>
              </w:rPr>
            </w:pPr>
            <w:r>
              <w:rPr>
                <w:rFonts w:hint="eastAsia" w:ascii="宋体" w:hAnsi="宋体"/>
                <w:color w:val="auto"/>
                <w:szCs w:val="21"/>
                <w:highlight w:val="none"/>
              </w:rPr>
              <w:t>1、技术要求；2、服务要求；3、合同条款；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10.1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提交首次响应文件的截止时间</w:t>
            </w:r>
          </w:p>
        </w:tc>
        <w:tc>
          <w:tcPr>
            <w:tcW w:w="5595" w:type="dxa"/>
            <w:gridSpan w:val="3"/>
            <w:noWrap w:val="0"/>
            <w:vAlign w:val="center"/>
          </w:tcPr>
          <w:p>
            <w:pPr>
              <w:shd w:val="clear" w:color="auto" w:fill="auto"/>
              <w:adjustRightInd w:val="0"/>
              <w:snapToGrid w:val="0"/>
              <w:jc w:val="left"/>
              <w:rPr>
                <w:rFonts w:hint="eastAsia" w:ascii="宋体" w:hAnsi="宋体" w:eastAsia="宋体" w:cs="宋体"/>
                <w:b w:val="0"/>
                <w:bCs w:val="0"/>
                <w:color w:val="auto"/>
                <w:szCs w:val="21"/>
                <w:highlight w:val="none"/>
                <w:u w:val="none"/>
              </w:rPr>
            </w:pPr>
            <w:r>
              <w:rPr>
                <w:rFonts w:hint="eastAsia" w:ascii="宋体" w:hAnsi="宋体" w:eastAsia="宋体" w:cs="宋体"/>
                <w:b/>
                <w:bCs/>
                <w:color w:val="auto"/>
                <w:szCs w:val="21"/>
                <w:highlight w:val="none"/>
                <w:u w:val="none"/>
              </w:rPr>
              <w:t>20</w:t>
            </w:r>
            <w:r>
              <w:rPr>
                <w:rFonts w:hint="eastAsia" w:ascii="宋体" w:hAnsi="宋体" w:cs="宋体"/>
                <w:b/>
                <w:bCs/>
                <w:color w:val="auto"/>
                <w:szCs w:val="21"/>
                <w:highlight w:val="none"/>
                <w:u w:val="none"/>
                <w:lang w:val="en-US" w:eastAsia="zh-CN"/>
              </w:rPr>
              <w:t>21</w:t>
            </w:r>
            <w:r>
              <w:rPr>
                <w:rFonts w:hint="eastAsia" w:ascii="宋体" w:hAnsi="宋体" w:eastAsia="宋体" w:cs="宋体"/>
                <w:b/>
                <w:bCs/>
                <w:color w:val="auto"/>
                <w:szCs w:val="21"/>
                <w:highlight w:val="none"/>
                <w:u w:val="none"/>
              </w:rPr>
              <w:t>年</w:t>
            </w:r>
            <w:r>
              <w:rPr>
                <w:rFonts w:hint="eastAsia" w:ascii="宋体" w:hAnsi="宋体" w:cs="宋体"/>
                <w:b/>
                <w:bCs/>
                <w:color w:val="auto"/>
                <w:szCs w:val="21"/>
                <w:highlight w:val="none"/>
                <w:u w:val="none"/>
                <w:lang w:val="en-US" w:eastAsia="zh-CN"/>
              </w:rPr>
              <w:t>8</w:t>
            </w:r>
            <w:r>
              <w:rPr>
                <w:rFonts w:hint="eastAsia" w:ascii="宋体" w:hAnsi="宋体" w:eastAsia="宋体" w:cs="宋体"/>
                <w:b/>
                <w:bCs/>
                <w:color w:val="auto"/>
                <w:szCs w:val="21"/>
                <w:highlight w:val="none"/>
                <w:u w:val="none"/>
              </w:rPr>
              <w:t>月</w:t>
            </w:r>
            <w:r>
              <w:rPr>
                <w:rFonts w:hint="eastAsia" w:ascii="宋体" w:hAnsi="宋体" w:cs="宋体"/>
                <w:b/>
                <w:bCs/>
                <w:color w:val="auto"/>
                <w:szCs w:val="21"/>
                <w:highlight w:val="none"/>
                <w:u w:val="none"/>
                <w:lang w:val="en-US" w:eastAsia="zh-CN"/>
              </w:rPr>
              <w:t xml:space="preserve">10 </w:t>
            </w:r>
            <w:r>
              <w:rPr>
                <w:rFonts w:hint="eastAsia" w:ascii="宋体" w:hAnsi="宋体" w:eastAsia="宋体" w:cs="宋体"/>
                <w:b/>
                <w:bCs/>
                <w:color w:val="auto"/>
                <w:szCs w:val="21"/>
                <w:highlight w:val="none"/>
                <w:u w:val="none"/>
              </w:rPr>
              <w:t>日</w:t>
            </w:r>
            <w:r>
              <w:rPr>
                <w:rFonts w:hint="eastAsia" w:ascii="宋体" w:hAnsi="宋体" w:cs="宋体"/>
                <w:b/>
                <w:bCs/>
                <w:color w:val="auto"/>
                <w:szCs w:val="21"/>
                <w:highlight w:val="none"/>
                <w:u w:val="none"/>
                <w:lang w:val="en-US" w:eastAsia="zh-CN"/>
              </w:rPr>
              <w:t>09</w:t>
            </w:r>
            <w:r>
              <w:rPr>
                <w:rFonts w:hint="eastAsia" w:ascii="宋体" w:hAnsi="宋体" w:eastAsia="宋体" w:cs="宋体"/>
                <w:b/>
                <w:bCs/>
                <w:color w:val="auto"/>
                <w:szCs w:val="21"/>
                <w:highlight w:val="none"/>
                <w:u w:val="none"/>
              </w:rPr>
              <w:t>时</w:t>
            </w:r>
            <w:r>
              <w:rPr>
                <w:rFonts w:hint="eastAsia" w:ascii="宋体" w:hAnsi="宋体" w:cs="宋体"/>
                <w:b/>
                <w:bCs/>
                <w:color w:val="auto"/>
                <w:szCs w:val="21"/>
                <w:highlight w:val="none"/>
                <w:u w:val="none"/>
                <w:lang w:val="en-US" w:eastAsia="zh-CN"/>
              </w:rPr>
              <w:t xml:space="preserve">00 </w:t>
            </w:r>
            <w:r>
              <w:rPr>
                <w:rFonts w:hint="eastAsia" w:ascii="宋体" w:hAnsi="宋体" w:eastAsia="宋体" w:cs="宋体"/>
                <w:b/>
                <w:bCs/>
                <w:color w:val="auto"/>
                <w:szCs w:val="21"/>
                <w:highlight w:val="none"/>
                <w:u w:val="none"/>
              </w:rPr>
              <w:t>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三、响应文件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14.4</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采</w:t>
            </w:r>
            <w:r>
              <w:rPr>
                <w:rFonts w:hint="eastAsia" w:ascii="宋体" w:hAnsi="宋体" w:eastAsia="宋体" w:cs="宋体"/>
                <w:color w:val="auto"/>
                <w:szCs w:val="21"/>
                <w:highlight w:val="none"/>
              </w:rPr>
              <w:t>购项目预算</w:t>
            </w:r>
            <w:r>
              <w:rPr>
                <w:rFonts w:hint="eastAsia" w:ascii="宋体" w:hAnsi="宋体" w:cs="宋体"/>
                <w:color w:val="auto"/>
                <w:szCs w:val="21"/>
                <w:highlight w:val="none"/>
                <w:lang w:val="en-US" w:eastAsia="zh-CN"/>
              </w:rPr>
              <w:t>/最高限价</w:t>
            </w:r>
          </w:p>
        </w:tc>
        <w:tc>
          <w:tcPr>
            <w:tcW w:w="5595" w:type="dxa"/>
            <w:gridSpan w:val="3"/>
            <w:noWrap w:val="0"/>
            <w:vAlign w:val="center"/>
          </w:tcPr>
          <w:p>
            <w:pPr>
              <w:keepNext w:val="0"/>
              <w:keepLines w:val="0"/>
              <w:pageBreakBefore w:val="0"/>
              <w:widowControl w:val="0"/>
              <w:shd w:val="clear" w:color="auto" w:fill="auto"/>
              <w:kinsoku/>
              <w:wordWrap/>
              <w:overflowPunct/>
              <w:topLinePunct w:val="0"/>
              <w:bidi w:val="0"/>
              <w:adjustRightInd w:val="0"/>
              <w:snapToGrid w:val="0"/>
              <w:spacing w:line="360" w:lineRule="exact"/>
              <w:textAlignment w:val="auto"/>
              <w:rPr>
                <w:rFonts w:hint="eastAsia" w:ascii="宋体" w:hAnsi="宋体" w:cs="宋体"/>
                <w:b/>
                <w:bCs/>
                <w:color w:val="auto"/>
                <w:szCs w:val="21"/>
                <w:highlight w:val="none"/>
                <w:lang w:eastAsia="zh-CN"/>
              </w:rPr>
            </w:pPr>
            <w:r>
              <w:rPr>
                <w:rFonts w:hint="eastAsia" w:ascii="宋体" w:hAnsi="宋体" w:cs="宋体"/>
                <w:b w:val="0"/>
                <w:bCs w:val="0"/>
                <w:color w:val="auto"/>
                <w:szCs w:val="21"/>
                <w:highlight w:val="none"/>
                <w:lang w:eastAsia="zh-CN"/>
              </w:rPr>
              <w:t>采购项目预算：</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677572.74元</w:t>
            </w:r>
            <w:r>
              <w:rPr>
                <w:rFonts w:hint="eastAsia" w:ascii="宋体" w:hAnsi="宋体" w:cs="宋体"/>
                <w:b/>
                <w:bCs/>
                <w:color w:val="auto"/>
                <w:szCs w:val="21"/>
                <w:highlight w:val="none"/>
                <w:lang w:eastAsia="zh-CN"/>
              </w:rPr>
              <w:t>；</w:t>
            </w:r>
          </w:p>
          <w:p>
            <w:pPr>
              <w:keepNext w:val="0"/>
              <w:keepLines w:val="0"/>
              <w:pageBreakBefore w:val="0"/>
              <w:widowControl w:val="0"/>
              <w:shd w:val="clear" w:color="auto" w:fill="auto"/>
              <w:kinsoku/>
              <w:wordWrap/>
              <w:overflowPunct/>
              <w:topLinePunct w:val="0"/>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eastAsia="zh-CN"/>
              </w:rPr>
              <w:t>最高限价</w:t>
            </w:r>
            <w:r>
              <w:rPr>
                <w:rFonts w:hint="eastAsia" w:ascii="宋体" w:hAnsi="宋体" w:cs="宋体"/>
                <w:b w:val="0"/>
                <w:bCs w:val="0"/>
                <w:color w:val="auto"/>
                <w:szCs w:val="21"/>
                <w:highlight w:val="none"/>
                <w:lang w:eastAsia="zh-CN"/>
              </w:rPr>
              <w:t>：</w:t>
            </w:r>
            <w:r>
              <w:rPr>
                <w:rFonts w:hint="eastAsia" w:ascii="宋体" w:hAnsi="宋体" w:cs="宋体"/>
                <w:b/>
                <w:bCs/>
                <w:color w:val="auto"/>
                <w:szCs w:val="21"/>
                <w:highlight w:val="none"/>
                <w:lang w:val="en-US" w:eastAsia="zh-CN"/>
              </w:rPr>
              <w:t>￥643694.10元</w:t>
            </w:r>
            <w:r>
              <w:rPr>
                <w:rFonts w:hint="eastAsia" w:ascii="宋体" w:hAnsi="宋体" w:cs="宋体"/>
                <w:b/>
                <w:bCs/>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16.1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rPr>
            </w:pPr>
            <w:r>
              <w:rPr>
                <w:rFonts w:hint="eastAsia"/>
              </w:rPr>
              <w:t>□不要求提供</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b/>
                <w:bCs/>
              </w:rPr>
            </w:pPr>
            <w:r>
              <w:rPr>
                <w:rFonts w:hint="eastAsia"/>
              </w:rPr>
              <w:t>■</w:t>
            </w:r>
            <w:r>
              <w:rPr>
                <w:rFonts w:hint="eastAsia"/>
                <w:lang w:val="en-US" w:eastAsia="zh-CN"/>
              </w:rPr>
              <w:t xml:space="preserve"> </w:t>
            </w:r>
            <w:r>
              <w:rPr>
                <w:rFonts w:hint="eastAsia"/>
              </w:rPr>
              <w:t>要求提供，数额为：</w:t>
            </w:r>
            <w:r>
              <w:rPr>
                <w:rFonts w:hint="eastAsia"/>
                <w:lang w:val="en-US" w:eastAsia="zh-CN"/>
              </w:rPr>
              <w:t>人民币</w:t>
            </w:r>
            <w:r>
              <w:rPr>
                <w:rFonts w:hint="eastAsia"/>
                <w:b/>
                <w:bCs/>
                <w:lang w:val="en-US" w:eastAsia="zh-CN"/>
              </w:rPr>
              <w:t>壹万元整</w:t>
            </w:r>
          </w:p>
          <w:p>
            <w:pPr>
              <w:keepNext w:val="0"/>
              <w:keepLines w:val="0"/>
              <w:pageBreakBefore w:val="0"/>
              <w:widowControl w:val="0"/>
              <w:shd w:val="clear" w:color="auto" w:fill="auto"/>
              <w:tabs>
                <w:tab w:val="left" w:pos="142"/>
              </w:tabs>
              <w:kinsoku/>
              <w:wordWrap/>
              <w:overflowPunct/>
              <w:topLinePunct w:val="0"/>
              <w:bidi w:val="0"/>
              <w:adjustRightInd w:val="0"/>
              <w:snapToGrid w:val="0"/>
              <w:spacing w:line="360" w:lineRule="exact"/>
              <w:textAlignment w:val="auto"/>
              <w:rPr>
                <w:rFonts w:hint="eastAsia"/>
              </w:rPr>
            </w:pPr>
            <w:r>
              <w:rPr>
                <w:rFonts w:hint="eastAsia"/>
              </w:rPr>
              <w:t>递交方式：投标保证金必须从投标人单位</w:t>
            </w:r>
            <w:r>
              <w:rPr>
                <w:rFonts w:hint="eastAsia"/>
                <w:lang w:eastAsia="zh-CN"/>
              </w:rPr>
              <w:t>基本</w:t>
            </w:r>
            <w:r>
              <w:rPr>
                <w:rFonts w:hint="eastAsia"/>
              </w:rPr>
              <w:t>账户转（汇）入投标保证金的托管账户管理，以现金方式和非投标人单位账户提交的投标保证金无效；投标保证金托管账户如下：</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rPr>
            </w:pPr>
            <w:r>
              <w:rPr>
                <w:rFonts w:hint="eastAsia"/>
                <w:b/>
                <w:bCs/>
              </w:rPr>
              <w:t xml:space="preserve">开户机构：中国建设银行股份有限公司茶陵支行 </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rPr>
            </w:pPr>
            <w:r>
              <w:rPr>
                <w:rFonts w:hint="eastAsia"/>
                <w:b/>
                <w:bCs/>
              </w:rPr>
              <w:t xml:space="preserve">账户名称：茶陵县发展和改革局公共资源交易保证金专户  </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rPr>
            </w:pPr>
            <w:r>
              <w:rPr>
                <w:rFonts w:hint="eastAsia"/>
                <w:b/>
                <w:bCs/>
              </w:rPr>
              <w:t>账号：43050162733600000246</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rPr>
            </w:pPr>
            <w:r>
              <w:rPr>
                <w:rFonts w:hint="eastAsia"/>
                <w:b/>
                <w:bCs/>
              </w:rPr>
              <w:t>开户机构号:430627336</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rPr>
            </w:pPr>
            <w:r>
              <w:rPr>
                <w:rFonts w:hint="eastAsia"/>
              </w:rPr>
              <w:t xml:space="preserve">（请在用途栏中注明“ </w:t>
            </w:r>
            <w:r>
              <w:rPr>
                <w:rFonts w:hint="eastAsia"/>
                <w:lang w:val="en-US" w:eastAsia="zh-CN"/>
              </w:rPr>
              <w:t xml:space="preserve">   </w:t>
            </w:r>
            <w:r>
              <w:rPr>
                <w:rFonts w:hint="eastAsia"/>
              </w:rPr>
              <w:t>（</w:t>
            </w:r>
            <w:r>
              <w:rPr>
                <w:rFonts w:hint="eastAsia"/>
                <w:lang w:eastAsia="zh-CN"/>
              </w:rPr>
              <w:t>项</w:t>
            </w:r>
            <w:r>
              <w:rPr>
                <w:rFonts w:hint="eastAsia"/>
              </w:rPr>
              <w:t>目名称</w:t>
            </w:r>
            <w:r>
              <w:rPr>
                <w:rFonts w:hint="eastAsia"/>
                <w:lang w:eastAsia="zh-CN"/>
              </w:rPr>
              <w:t>）</w:t>
            </w:r>
            <w:r>
              <w:rPr>
                <w:rFonts w:hint="eastAsia"/>
                <w:lang w:val="en-US" w:eastAsia="zh-CN"/>
              </w:rPr>
              <w:t xml:space="preserve">  </w:t>
            </w:r>
            <w:r>
              <w:rPr>
                <w:rFonts w:hint="eastAsia"/>
              </w:rPr>
              <w:t xml:space="preserve"> </w:t>
            </w:r>
            <w:r>
              <w:rPr>
                <w:rFonts w:hint="eastAsia"/>
                <w:lang w:eastAsia="zh-CN"/>
              </w:rPr>
              <w:t>磋商保证金</w:t>
            </w:r>
            <w:r>
              <w:rPr>
                <w:rFonts w:hint="eastAsia"/>
              </w:rPr>
              <w:t>”。（如“项目名称”字符过多，用途栏处填写不下的，则“取‘项目名称’前面字符”填入。）</w:t>
            </w:r>
          </w:p>
          <w:p>
            <w:pPr>
              <w:keepNext w:val="0"/>
              <w:keepLines w:val="0"/>
              <w:pageBreakBefore w:val="0"/>
              <w:widowControl w:val="0"/>
              <w:shd w:val="clear" w:color="auto" w:fill="auto"/>
              <w:tabs>
                <w:tab w:val="left" w:pos="142"/>
              </w:tabs>
              <w:kinsoku/>
              <w:wordWrap/>
              <w:overflowPunct/>
              <w:topLinePunct w:val="0"/>
              <w:bidi w:val="0"/>
              <w:adjustRightInd w:val="0"/>
              <w:snapToGrid w:val="0"/>
              <w:spacing w:line="360" w:lineRule="exact"/>
              <w:textAlignment w:val="auto"/>
              <w:rPr>
                <w:rFonts w:hint="eastAsia"/>
              </w:rPr>
            </w:pPr>
            <w:r>
              <w:rPr>
                <w:rFonts w:hint="eastAsia" w:ascii="Times New Roman" w:hAnsi="Times New Roman" w:cs="Times New Roman"/>
                <w:b/>
                <w:bCs/>
                <w:lang w:eastAsia="zh-CN"/>
              </w:rPr>
              <w:t>备注：</w:t>
            </w:r>
            <w:r>
              <w:rPr>
                <w:rFonts w:hint="eastAsia" w:ascii="Times New Roman" w:hAnsi="Times New Roman" w:cs="Times New Roman"/>
                <w:b/>
                <w:bCs/>
              </w:rPr>
              <w:t>退保证金申请书的抬头必须写：致茶陵县发展和改革局；退保证金单位必须核对交保证金和退保证金的公司名称、开户行名称、账号是否一致。若账号或开户行名称有变化必须另外出具证明盖章生效。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17.1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响应文件有效期</w:t>
            </w:r>
          </w:p>
        </w:tc>
        <w:tc>
          <w:tcPr>
            <w:tcW w:w="5595" w:type="dxa"/>
            <w:gridSpan w:val="3"/>
            <w:noWrap w:val="0"/>
            <w:vAlign w:val="center"/>
          </w:tcPr>
          <w:p>
            <w:pPr>
              <w:shd w:val="clear" w:color="auto" w:fill="auto"/>
              <w:adjustRightInd w:val="0"/>
              <w:snapToGrid w:val="0"/>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18.1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cs="宋体"/>
                <w:color w:val="auto"/>
                <w:szCs w:val="21"/>
                <w:highlight w:val="none"/>
                <w:lang w:eastAsia="zh-CN"/>
              </w:rPr>
              <w:t>文件副本</w:t>
            </w:r>
            <w:r>
              <w:rPr>
                <w:rFonts w:hint="eastAsia" w:ascii="宋体" w:hAnsi="宋体" w:eastAsia="宋体" w:cs="宋体"/>
                <w:color w:val="auto"/>
                <w:szCs w:val="21"/>
                <w:highlight w:val="none"/>
              </w:rPr>
              <w:t>份数</w:t>
            </w:r>
          </w:p>
        </w:tc>
        <w:tc>
          <w:tcPr>
            <w:tcW w:w="5595" w:type="dxa"/>
            <w:gridSpan w:val="3"/>
            <w:noWrap w:val="0"/>
            <w:vAlign w:val="center"/>
          </w:tcPr>
          <w:p>
            <w:pPr>
              <w:shd w:val="clear" w:color="auto" w:fill="auto"/>
              <w:adjustRightInd w:val="0"/>
              <w:snapToGrid w:val="0"/>
              <w:spacing w:line="400" w:lineRule="exact"/>
              <w:rPr>
                <w:rFonts w:ascii="宋体" w:hAnsi="宋体" w:eastAsia="宋体"/>
                <w:color w:val="auto"/>
                <w:szCs w:val="21"/>
                <w:highlight w:val="none"/>
              </w:rPr>
            </w:pPr>
            <w:r>
              <w:rPr>
                <w:rFonts w:hint="eastAsia" w:ascii="宋体" w:hAnsi="宋体" w:eastAsia="宋体"/>
                <w:color w:val="auto"/>
                <w:szCs w:val="21"/>
                <w:highlight w:val="none"/>
              </w:rPr>
              <w:t>第</w:t>
            </w:r>
            <w:r>
              <w:rPr>
                <w:rFonts w:hint="eastAsia" w:ascii="宋体" w:hAnsi="宋体" w:eastAsia="宋体"/>
                <w:color w:val="000000" w:themeColor="text1"/>
                <w:szCs w:val="21"/>
                <w:highlight w:val="none"/>
                <w14:textFill>
                  <w14:solidFill>
                    <w14:schemeClr w14:val="tx1"/>
                  </w14:solidFill>
                </w14:textFill>
              </w:rPr>
              <w:t>一部分：资格证明文件</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eastAsia="宋体"/>
                <w:color w:val="000000" w:themeColor="text1"/>
                <w:szCs w:val="21"/>
                <w:highlight w:val="none"/>
                <w14:textFill>
                  <w14:solidFill>
                    <w14:schemeClr w14:val="tx1"/>
                  </w14:solidFill>
                </w14:textFill>
              </w:rPr>
              <w:t>本（即：</w:t>
            </w:r>
            <w:r>
              <w:rPr>
                <w:rFonts w:hint="eastAsia" w:ascii="宋体" w:hAnsi="宋体" w:eastAsia="宋体"/>
                <w:color w:val="000000" w:themeColor="text1"/>
                <w:szCs w:val="21"/>
                <w:highlight w:val="none"/>
                <w:lang w:eastAsia="zh-CN"/>
                <w14:textFill>
                  <w14:solidFill>
                    <w14:schemeClr w14:val="tx1"/>
                  </w14:solidFill>
                </w14:textFill>
              </w:rPr>
              <w:t>一</w:t>
            </w:r>
            <w:r>
              <w:rPr>
                <w:rFonts w:hint="eastAsia" w:ascii="宋体" w:hAnsi="宋体" w:eastAsia="宋体"/>
                <w:color w:val="000000" w:themeColor="text1"/>
                <w:szCs w:val="21"/>
                <w:highlight w:val="none"/>
                <w14:textFill>
                  <w14:solidFill>
                    <w14:schemeClr w14:val="tx1"/>
                  </w14:solidFill>
                </w14:textFill>
              </w:rPr>
              <w:t>正</w:t>
            </w:r>
            <w:r>
              <w:rPr>
                <w:rFonts w:hint="eastAsia" w:ascii="宋体" w:hAnsi="宋体"/>
                <w:color w:val="000000" w:themeColor="text1"/>
                <w:szCs w:val="21"/>
                <w:highlight w:val="none"/>
                <w:lang w:eastAsia="zh-CN"/>
                <w14:textFill>
                  <w14:solidFill>
                    <w14:schemeClr w14:val="tx1"/>
                  </w14:solidFill>
                </w14:textFill>
              </w:rPr>
              <w:t>二</w:t>
            </w:r>
            <w:r>
              <w:rPr>
                <w:rFonts w:hint="eastAsia" w:ascii="宋体" w:hAnsi="宋体" w:eastAsia="宋体"/>
                <w:color w:val="000000" w:themeColor="text1"/>
                <w:szCs w:val="21"/>
                <w:highlight w:val="none"/>
                <w14:textFill>
                  <w14:solidFill>
                    <w14:schemeClr w14:val="tx1"/>
                  </w14:solidFill>
                </w14:textFill>
              </w:rPr>
              <w:t>副）</w:t>
            </w:r>
          </w:p>
          <w:p>
            <w:pPr>
              <w:shd w:val="clear" w:color="auto" w:fill="auto"/>
              <w:adjustRightInd w:val="0"/>
              <w:snapToGrid w:val="0"/>
              <w:spacing w:line="400" w:lineRule="exact"/>
              <w:rPr>
                <w:rFonts w:ascii="宋体" w:hAnsi="宋体" w:eastAsia="宋体"/>
                <w:color w:val="auto"/>
                <w:szCs w:val="21"/>
                <w:highlight w:val="none"/>
              </w:rPr>
            </w:pPr>
            <w:r>
              <w:rPr>
                <w:rFonts w:hint="eastAsia" w:ascii="宋体" w:hAnsi="宋体" w:eastAsia="宋体"/>
                <w:color w:val="auto"/>
                <w:szCs w:val="21"/>
                <w:highlight w:val="none"/>
              </w:rPr>
              <w:t>第二部分：商务技术文件</w:t>
            </w:r>
            <w:r>
              <w:rPr>
                <w:rFonts w:hint="eastAsia" w:ascii="宋体" w:hAnsi="宋体"/>
                <w:color w:val="auto"/>
                <w:szCs w:val="21"/>
                <w:highlight w:val="none"/>
                <w:lang w:val="en-US" w:eastAsia="zh-CN"/>
              </w:rPr>
              <w:t>5</w:t>
            </w:r>
            <w:r>
              <w:rPr>
                <w:rFonts w:hint="eastAsia" w:ascii="宋体" w:hAnsi="宋体" w:eastAsia="宋体"/>
                <w:color w:val="auto"/>
                <w:szCs w:val="21"/>
                <w:highlight w:val="none"/>
              </w:rPr>
              <w:t>本（即：</w:t>
            </w:r>
            <w:r>
              <w:rPr>
                <w:rFonts w:hint="eastAsia" w:ascii="宋体" w:hAnsi="宋体" w:eastAsia="宋体"/>
                <w:color w:val="auto"/>
                <w:szCs w:val="21"/>
                <w:highlight w:val="none"/>
                <w:lang w:eastAsia="zh-CN"/>
              </w:rPr>
              <w:t>一</w:t>
            </w:r>
            <w:r>
              <w:rPr>
                <w:rFonts w:hint="eastAsia" w:ascii="宋体" w:hAnsi="宋体" w:eastAsia="宋体"/>
                <w:color w:val="auto"/>
                <w:szCs w:val="21"/>
                <w:highlight w:val="none"/>
              </w:rPr>
              <w:t>正</w:t>
            </w:r>
            <w:r>
              <w:rPr>
                <w:rFonts w:hint="eastAsia" w:ascii="宋体" w:hAnsi="宋体"/>
                <w:color w:val="auto"/>
                <w:szCs w:val="21"/>
                <w:highlight w:val="none"/>
                <w:lang w:eastAsia="zh-CN"/>
              </w:rPr>
              <w:t>四</w:t>
            </w:r>
            <w:r>
              <w:rPr>
                <w:rFonts w:hint="eastAsia" w:ascii="宋体" w:hAnsi="宋体" w:eastAsia="宋体"/>
                <w:color w:val="auto"/>
                <w:szCs w:val="21"/>
                <w:highlight w:val="none"/>
              </w:rPr>
              <w:t>副）</w:t>
            </w:r>
          </w:p>
          <w:p>
            <w:pPr>
              <w:shd w:val="clear" w:color="auto" w:fill="auto"/>
              <w:adjustRightInd w:val="0"/>
              <w:snapToGrid w:val="0"/>
              <w:rPr>
                <w:rFonts w:hint="eastAsia" w:ascii="宋体" w:hAnsi="宋体" w:eastAsia="宋体" w:cs="宋体"/>
                <w:color w:val="auto"/>
                <w:szCs w:val="21"/>
                <w:highlight w:val="none"/>
                <w:lang w:eastAsia="zh-CN"/>
              </w:rPr>
            </w:pPr>
            <w:r>
              <w:rPr>
                <w:rFonts w:hint="eastAsia" w:ascii="宋体" w:hAnsi="宋体" w:eastAsia="宋体"/>
                <w:b/>
                <w:bCs/>
                <w:color w:val="auto"/>
                <w:szCs w:val="21"/>
                <w:highlight w:val="none"/>
              </w:rPr>
              <w:t>注：</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文件第一部分资格证明文件应单独</w:t>
            </w:r>
            <w:r>
              <w:rPr>
                <w:rFonts w:hint="eastAsia" w:ascii="宋体" w:hAnsi="宋体" w:eastAsia="宋体"/>
                <w:b/>
                <w:bCs/>
                <w:color w:val="auto"/>
                <w:szCs w:val="21"/>
                <w:highlight w:val="none"/>
                <w:lang w:eastAsia="zh-CN"/>
              </w:rPr>
              <w:t>胶装</w:t>
            </w:r>
            <w:r>
              <w:rPr>
                <w:rFonts w:hint="eastAsia" w:ascii="宋体" w:hAnsi="宋体" w:eastAsia="宋体"/>
                <w:b/>
                <w:bCs/>
                <w:color w:val="auto"/>
                <w:szCs w:val="21"/>
                <w:highlight w:val="none"/>
              </w:rPr>
              <w:t>成册，不得混装在第二部分商务技术文件中。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19.</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响应文件的密封</w:t>
            </w:r>
          </w:p>
        </w:tc>
        <w:tc>
          <w:tcPr>
            <w:tcW w:w="5595" w:type="dxa"/>
            <w:gridSpan w:val="3"/>
            <w:noWrap w:val="0"/>
            <w:vAlign w:val="center"/>
          </w:tcPr>
          <w:p>
            <w:pPr>
              <w:shd w:val="clear" w:color="auto" w:fill="auto"/>
              <w:adjustRightInd w:val="0"/>
              <w:snapToGrid w:val="0"/>
              <w:spacing w:line="400" w:lineRule="exact"/>
              <w:rPr>
                <w:color w:val="auto"/>
                <w:highlight w:val="none"/>
              </w:rPr>
            </w:pPr>
            <w:r>
              <w:rPr>
                <w:rFonts w:hint="eastAsia"/>
                <w:color w:val="auto"/>
                <w:highlight w:val="none"/>
              </w:rPr>
              <w:t>（1）第一部分资格证明文件：正本、副本一起密封包装，并在</w:t>
            </w:r>
            <w:r>
              <w:rPr>
                <w:rFonts w:hint="eastAsia"/>
                <w:color w:val="auto"/>
                <w:highlight w:val="none"/>
                <w:lang w:eastAsia="zh-CN"/>
              </w:rPr>
              <w:t>响应</w:t>
            </w:r>
            <w:r>
              <w:rPr>
                <w:rFonts w:hint="eastAsia"/>
                <w:color w:val="auto"/>
                <w:highlight w:val="none"/>
              </w:rPr>
              <w:t>文件密封袋上标明“资格证明文件”字样。</w:t>
            </w:r>
          </w:p>
          <w:p>
            <w:pPr>
              <w:shd w:val="clear" w:color="auto" w:fill="auto"/>
              <w:adjustRightInd w:val="0"/>
              <w:snapToGrid w:val="0"/>
              <w:spacing w:line="400" w:lineRule="exact"/>
              <w:rPr>
                <w:color w:val="auto"/>
                <w:highlight w:val="none"/>
              </w:rPr>
            </w:pPr>
            <w:r>
              <w:rPr>
                <w:rFonts w:hint="eastAsia"/>
                <w:color w:val="auto"/>
                <w:highlight w:val="none"/>
              </w:rPr>
              <w:t>（2）第二部分商务技术文件：正本、副本分别密封包装，并在</w:t>
            </w:r>
            <w:r>
              <w:rPr>
                <w:rFonts w:hint="eastAsia"/>
                <w:color w:val="auto"/>
                <w:highlight w:val="none"/>
                <w:lang w:eastAsia="zh-CN"/>
              </w:rPr>
              <w:t>响应</w:t>
            </w:r>
            <w:r>
              <w:rPr>
                <w:rFonts w:hint="eastAsia"/>
                <w:color w:val="auto"/>
                <w:highlight w:val="none"/>
              </w:rPr>
              <w:t>文件密封袋上标明“商务技术文件”、“正本或副本”字样。</w:t>
            </w:r>
          </w:p>
          <w:p>
            <w:pPr>
              <w:shd w:val="clear" w:color="auto" w:fill="auto"/>
              <w:adjustRightInd w:val="0"/>
              <w:snapToGrid w:val="0"/>
              <w:spacing w:line="400" w:lineRule="exact"/>
              <w:rPr>
                <w:b/>
                <w:bCs/>
                <w:color w:val="auto"/>
                <w:highlight w:val="none"/>
              </w:rPr>
            </w:pPr>
            <w:r>
              <w:rPr>
                <w:rFonts w:hint="eastAsia" w:ascii="宋体" w:hAnsi="宋体" w:eastAsia="宋体"/>
                <w:b/>
                <w:bCs/>
                <w:color w:val="auto"/>
                <w:szCs w:val="21"/>
                <w:highlight w:val="none"/>
              </w:rPr>
              <w:t>（3）</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文件电子文档（U盘）可以单独装入标记为“</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文件电子文档”的密封袋中，也可以装入标记为“</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文件第一部分资格证明文件或者“</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文件第二部分商务和技术文件”的密封袋中进行提交。</w:t>
            </w:r>
          </w:p>
          <w:p>
            <w:pPr>
              <w:numPr>
                <w:ilvl w:val="0"/>
                <w:numId w:val="0"/>
              </w:numPr>
              <w:shd w:val="clear" w:color="auto" w:fill="auto"/>
              <w:ind w:leftChars="0"/>
              <w:rPr>
                <w:rFonts w:hint="eastAsia" w:ascii="宋体" w:hAnsi="宋体" w:eastAsia="宋体" w:cs="宋体"/>
                <w:color w:val="auto"/>
                <w:szCs w:val="21"/>
                <w:highlight w:val="none"/>
              </w:rPr>
            </w:pPr>
            <w:r>
              <w:rPr>
                <w:rFonts w:hint="eastAsia"/>
                <w:b/>
                <w:color w:val="auto"/>
                <w:highlight w:val="none"/>
              </w:rPr>
              <w:t>注：</w:t>
            </w:r>
            <w:r>
              <w:rPr>
                <w:rFonts w:hint="eastAsia" w:ascii="宋体" w:hAnsi="宋体" w:eastAsia="宋体" w:cs="宋体"/>
                <w:b/>
                <w:color w:val="auto"/>
                <w:sz w:val="21"/>
                <w:szCs w:val="21"/>
                <w:highlight w:val="none"/>
              </w:rPr>
              <w:t>未按要求密封的</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文件，采购人、采购代理机构应当拒收。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19.</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响应文件密封袋上应载明的信息</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single"/>
                <w:lang w:eastAsia="zh-CN"/>
              </w:rPr>
              <w:t>资格证明文件</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lang w:eastAsia="zh-CN"/>
              </w:rPr>
              <w:t>商务技术</w:t>
            </w:r>
            <w:r>
              <w:rPr>
                <w:rFonts w:hint="eastAsia" w:ascii="宋体" w:hAnsi="宋体" w:eastAsia="宋体" w:cs="宋体"/>
                <w:color w:val="auto"/>
                <w:szCs w:val="21"/>
                <w:highlight w:val="none"/>
                <w:u w:val="single"/>
              </w:rPr>
              <w:t>文件</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政府采购编号：</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委托代理编号：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分之前不得启封 </w:t>
            </w:r>
          </w:p>
          <w:p>
            <w:pPr>
              <w:keepNext w:val="0"/>
              <w:keepLines w:val="0"/>
              <w:pageBreakBefore w:val="0"/>
              <w:widowControl w:val="0"/>
              <w:numPr>
                <w:ilvl w:val="0"/>
                <w:numId w:val="0"/>
              </w:numPr>
              <w:shd w:val="clear" w:color="auto" w:fill="auto"/>
              <w:kinsoku/>
              <w:wordWrap/>
              <w:overflowPunct/>
              <w:topLinePunct w:val="0"/>
              <w:autoSpaceDE/>
              <w:autoSpaceDN/>
              <w:bidi w:val="0"/>
              <w:spacing w:line="400" w:lineRule="exact"/>
              <w:ind w:leftChars="0"/>
              <w:textAlignment w:val="auto"/>
              <w:rPr>
                <w:rFonts w:hint="eastAsia"/>
                <w:b/>
                <w:color w:val="auto"/>
                <w:highlight w:val="none"/>
              </w:rPr>
            </w:pPr>
            <w:r>
              <w:rPr>
                <w:rFonts w:hint="eastAsia" w:ascii="宋体" w:hAnsi="宋体" w:eastAsia="宋体" w:cs="宋体"/>
                <w:b/>
                <w:bCs/>
                <w:color w:val="auto"/>
                <w:sz w:val="21"/>
                <w:highlight w:val="none"/>
                <w:lang w:eastAsia="zh-CN"/>
              </w:rPr>
              <w:t>密封袋</w:t>
            </w:r>
            <w:r>
              <w:rPr>
                <w:rFonts w:hint="eastAsia" w:ascii="宋体" w:hAnsi="宋体" w:eastAsia="宋体" w:cs="宋体"/>
                <w:b/>
                <w:bCs/>
                <w:color w:val="auto"/>
                <w:sz w:val="21"/>
                <w:highlight w:val="none"/>
              </w:rPr>
              <w:t>的封口处</w:t>
            </w:r>
            <w:r>
              <w:rPr>
                <w:rFonts w:hint="eastAsia" w:ascii="宋体" w:hAnsi="宋体" w:eastAsia="宋体" w:cs="宋体"/>
                <w:b/>
                <w:bCs/>
                <w:color w:val="auto"/>
                <w:sz w:val="21"/>
                <w:highlight w:val="none"/>
                <w:lang w:eastAsia="zh-CN"/>
              </w:rPr>
              <w:t>应</w:t>
            </w:r>
            <w:r>
              <w:rPr>
                <w:rFonts w:hint="eastAsia" w:ascii="宋体" w:hAnsi="宋体" w:eastAsia="宋体" w:cs="宋体"/>
                <w:b/>
                <w:bCs/>
                <w:color w:val="auto"/>
                <w:sz w:val="21"/>
                <w:highlight w:val="none"/>
              </w:rPr>
              <w:t>盖供应商单位</w:t>
            </w:r>
            <w:r>
              <w:rPr>
                <w:rFonts w:hint="eastAsia" w:ascii="宋体" w:hAnsi="宋体" w:eastAsia="宋体" w:cs="宋体"/>
                <w:b/>
                <w:bCs/>
                <w:color w:val="auto"/>
                <w:sz w:val="21"/>
                <w:highlight w:val="none"/>
                <w:lang w:eastAsia="zh-CN"/>
              </w:rPr>
              <w:t>公</w:t>
            </w:r>
            <w:r>
              <w:rPr>
                <w:rFonts w:hint="eastAsia" w:ascii="宋体" w:hAnsi="宋体" w:eastAsia="宋体" w:cs="宋体"/>
                <w:b/>
                <w:bCs/>
                <w:color w:val="auto"/>
                <w:sz w:val="21"/>
                <w:highlight w:val="none"/>
              </w:rPr>
              <w:t>章或者由</w:t>
            </w:r>
            <w:r>
              <w:rPr>
                <w:rFonts w:hint="eastAsia" w:ascii="宋体" w:hAnsi="宋体" w:eastAsia="宋体" w:cs="宋体"/>
                <w:b/>
                <w:bCs/>
                <w:color w:val="auto"/>
                <w:sz w:val="21"/>
                <w:highlight w:val="none"/>
                <w:lang w:eastAsia="zh-CN"/>
              </w:rPr>
              <w:t>供应商的</w:t>
            </w:r>
            <w:r>
              <w:rPr>
                <w:rFonts w:hint="eastAsia" w:ascii="宋体" w:hAnsi="宋体" w:eastAsia="宋体" w:cs="宋体"/>
                <w:b/>
                <w:bCs/>
                <w:color w:val="auto"/>
                <w:sz w:val="21"/>
                <w:highlight w:val="none"/>
              </w:rPr>
              <w:t>法定代表人或其委托代理人签字。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21.1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响应文件的递交地点</w:t>
            </w:r>
          </w:p>
        </w:tc>
        <w:tc>
          <w:tcPr>
            <w:tcW w:w="5595" w:type="dxa"/>
            <w:gridSpan w:val="3"/>
            <w:noWrap w:val="0"/>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240" w:lineRule="auto"/>
              <w:textAlignment w:val="auto"/>
              <w:rPr>
                <w:rFonts w:hint="eastAsia" w:ascii="宋体" w:hAnsi="宋体" w:eastAsia="宋体" w:cs="宋体"/>
                <w:b/>
                <w:bCs/>
                <w:color w:val="auto"/>
                <w:szCs w:val="21"/>
                <w:highlight w:val="none"/>
              </w:rPr>
            </w:pPr>
            <w:r>
              <w:rPr>
                <w:rFonts w:hint="eastAsia" w:ascii="宋体" w:hAnsi="宋体" w:eastAsia="宋体"/>
                <w:b/>
                <w:bCs/>
                <w:color w:val="auto"/>
                <w:szCs w:val="21"/>
                <w:highlight w:val="none"/>
              </w:rPr>
              <w:t>茶陵县公共资源交易管理委员会办公室四楼开标室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687" w:type="dxa"/>
            <w:gridSpan w:val="6"/>
            <w:noWrap w:val="0"/>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Cs w:val="21"/>
                <w:highlight w:val="none"/>
                <w:lang w:eastAsia="zh-CN" w:bidi="ar"/>
              </w:rPr>
            </w:pPr>
            <w:r>
              <w:rPr>
                <w:rFonts w:hint="eastAsia" w:ascii="宋体" w:hAnsi="宋体" w:eastAsia="宋体" w:cs="宋体"/>
                <w:b/>
                <w:color w:val="auto"/>
                <w:szCs w:val="21"/>
                <w:highlight w:val="none"/>
                <w:lang w:eastAsia="zh-CN"/>
              </w:rPr>
              <w:t>五、响应文件的评审与磋商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25.3</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一般条款允许偏离的最高项数</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一般商务</w:t>
            </w:r>
            <w:r>
              <w:rPr>
                <w:rFonts w:hint="eastAsia" w:ascii="宋体" w:hAnsi="宋体" w:eastAsia="宋体" w:cs="宋体"/>
                <w:color w:val="auto"/>
                <w:spacing w:val="4"/>
                <w:szCs w:val="21"/>
                <w:highlight w:val="none"/>
              </w:rPr>
              <w:t>和</w:t>
            </w:r>
            <w:r>
              <w:rPr>
                <w:rFonts w:hint="eastAsia" w:ascii="宋体" w:hAnsi="宋体" w:eastAsia="宋体" w:cs="宋体"/>
                <w:color w:val="auto"/>
                <w:szCs w:val="21"/>
                <w:highlight w:val="none"/>
              </w:rPr>
              <w:t>技术条款偏离项数之和≥</w:t>
            </w:r>
            <w:r>
              <w:rPr>
                <w:rFonts w:hint="eastAsia" w:ascii="宋体" w:hAnsi="宋体" w:eastAsia="宋体" w:cs="宋体"/>
                <w:color w:val="auto"/>
                <w:szCs w:val="21"/>
                <w:highlight w:val="none"/>
                <w:u w:val="single"/>
              </w:rPr>
              <w:t xml:space="preserve"> 10 </w:t>
            </w:r>
            <w:r>
              <w:rPr>
                <w:rFonts w:hint="eastAsia" w:ascii="宋体" w:hAnsi="宋体" w:eastAsia="宋体" w:cs="宋体"/>
                <w:color w:val="auto"/>
                <w:szCs w:val="21"/>
                <w:highlight w:val="none"/>
              </w:rPr>
              <w:t>项将导致无效响应。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25.4</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条款数（最高项数）的统计方法</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文件中，凡编排有单独的中文序数或阿拉伯数字或英文字母序列号等字符的条款算一项商务或技术要求项数，相同内容的条款不重复计算项数</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9687" w:type="dxa"/>
            <w:gridSpan w:val="6"/>
            <w:noWrap w:val="0"/>
            <w:vAlign w:val="center"/>
          </w:tcPr>
          <w:p>
            <w:pPr>
              <w:shd w:val="clear" w:color="auto" w:fill="auto"/>
              <w:adjustRightInd w:val="0"/>
              <w:snapToGrid w:val="0"/>
              <w:rPr>
                <w:rFonts w:hint="eastAsia" w:ascii="宋体" w:hAnsi="宋体" w:cs="宋体"/>
                <w:color w:val="auto"/>
                <w:szCs w:val="21"/>
                <w:highlight w:val="none"/>
                <w:lang w:eastAsia="zh-CN"/>
              </w:rPr>
            </w:pPr>
            <w:r>
              <w:rPr>
                <w:rFonts w:hint="eastAsia" w:ascii="宋体" w:hAnsi="宋体" w:eastAsia="宋体" w:cs="宋体"/>
                <w:b/>
                <w:color w:val="auto"/>
                <w:szCs w:val="21"/>
                <w:highlight w:val="none"/>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35.1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财政部门指定的媒体</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lang w:eastAsia="zh-CN"/>
              </w:rPr>
              <w:t>茶陵县人民政府网和茶陵县发展和改革局网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37.3</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履约担保</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rPr>
            </w:pPr>
            <w:r>
              <w:rPr>
                <w:rFonts w:hint="eastAsia"/>
              </w:rPr>
              <w:t>□不要求提供。</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lang w:eastAsia="zh-CN"/>
              </w:rPr>
            </w:pPr>
            <w:r>
              <w:rPr>
                <w:rFonts w:hint="eastAsia"/>
              </w:rPr>
              <w:t>■ 要求提供，</w:t>
            </w:r>
            <w:r>
              <w:rPr>
                <w:rFonts w:hint="eastAsia"/>
                <w:lang w:eastAsia="zh-CN"/>
              </w:rPr>
              <w:t>中标单位在施工合同签订前需向招标人缴纳</w:t>
            </w:r>
            <w:r>
              <w:rPr>
                <w:rFonts w:hint="eastAsia"/>
              </w:rPr>
              <w:t>履约</w:t>
            </w:r>
            <w:r>
              <w:rPr>
                <w:rFonts w:hint="eastAsia"/>
                <w:lang w:eastAsia="zh-CN"/>
              </w:rPr>
              <w:t>保证金，</w:t>
            </w:r>
            <w:r>
              <w:rPr>
                <w:rFonts w:hint="eastAsia"/>
              </w:rPr>
              <w:t xml:space="preserve">金额为： </w:t>
            </w:r>
            <w:r>
              <w:rPr>
                <w:rFonts w:hint="eastAsia"/>
                <w:lang w:val="en-US" w:eastAsia="zh-CN"/>
              </w:rPr>
              <w:t>20000.00元</w:t>
            </w:r>
            <w:r>
              <w:rPr>
                <w:rFonts w:hint="eastAsia"/>
              </w:rPr>
              <w:t xml:space="preserve"> </w:t>
            </w:r>
            <w:r>
              <w:rPr>
                <w:rFonts w:hint="eastAsia"/>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转账方式：</w:t>
            </w:r>
            <w:r>
              <w:rPr>
                <w:rFonts w:hint="eastAsia" w:ascii="宋体" w:hAnsi="宋体" w:eastAsia="宋体" w:cs="宋体"/>
                <w:color w:val="auto"/>
                <w:szCs w:val="21"/>
                <w:highlight w:val="none"/>
                <w:lang w:val="en-US" w:eastAsia="zh-CN"/>
              </w:rPr>
              <w:t>履约</w:t>
            </w:r>
            <w:r>
              <w:rPr>
                <w:rFonts w:hint="eastAsia" w:ascii="宋体" w:hAnsi="宋体" w:eastAsia="宋体" w:cs="宋体"/>
                <w:color w:val="auto"/>
                <w:szCs w:val="21"/>
                <w:highlight w:val="none"/>
                <w:lang w:eastAsia="zh-CN"/>
              </w:rPr>
              <w:t>保证金：</w:t>
            </w:r>
            <w:r>
              <w:rPr>
                <w:rFonts w:hint="eastAsia" w:ascii="宋体" w:hAnsi="宋体" w:eastAsia="宋体" w:cs="宋体"/>
                <w:b/>
                <w:bCs/>
                <w:color w:val="auto"/>
                <w:szCs w:val="21"/>
                <w:highlight w:val="none"/>
                <w:lang w:eastAsia="zh-CN"/>
              </w:rPr>
              <w:t>人民币贰万元整</w:t>
            </w:r>
            <w:r>
              <w:rPr>
                <w:rFonts w:hint="eastAsia" w:ascii="宋体" w:hAnsi="宋体" w:eastAsia="宋体" w:cs="宋体"/>
                <w:color w:val="auto"/>
                <w:szCs w:val="21"/>
                <w:highlight w:val="none"/>
                <w:lang w:eastAsia="zh-CN"/>
              </w:rPr>
              <w:t>，以非现金形式递交。</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递交方式：中标通知书发出之日起至合同签订之日前缴纳履约保证金(10日内)，履约保证金必须是从投标人单位基本账户转（汇）入履约保证金的托管账户管理，以现金方式和非投标人单位账户提交的履约保证金无效；履约保证金托管账户如下：</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账户名称：</w:t>
            </w:r>
            <w:r>
              <w:rPr>
                <w:rFonts w:hint="eastAsia" w:ascii="宋体" w:hAnsi="宋体" w:cs="宋体"/>
                <w:b/>
                <w:bCs/>
                <w:color w:val="auto"/>
                <w:szCs w:val="21"/>
                <w:highlight w:val="none"/>
                <w:lang w:eastAsia="zh-CN"/>
              </w:rPr>
              <w:t>湖南省茶陵县湖口镇梅林村村民委员会</w:t>
            </w:r>
            <w:r>
              <w:rPr>
                <w:rFonts w:hint="eastAsia" w:ascii="宋体" w:hAnsi="宋体" w:eastAsia="宋体" w:cs="宋体"/>
                <w:b/>
                <w:bCs/>
                <w:color w:val="auto"/>
                <w:szCs w:val="21"/>
                <w:highlight w:val="none"/>
                <w:lang w:eastAsia="zh-CN"/>
              </w:rPr>
              <w:t> </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开户银行：湖南茶陵农村商业银行</w:t>
            </w:r>
            <w:r>
              <w:rPr>
                <w:rFonts w:hint="eastAsia" w:ascii="宋体" w:hAnsi="宋体" w:cs="宋体"/>
                <w:b/>
                <w:bCs/>
                <w:color w:val="auto"/>
                <w:szCs w:val="21"/>
                <w:highlight w:val="none"/>
                <w:lang w:eastAsia="zh-CN"/>
              </w:rPr>
              <w:t>湖口</w:t>
            </w:r>
            <w:r>
              <w:rPr>
                <w:rFonts w:hint="eastAsia" w:ascii="宋体" w:hAnsi="宋体" w:eastAsia="宋体" w:cs="宋体"/>
                <w:b/>
                <w:bCs/>
                <w:color w:val="auto"/>
                <w:szCs w:val="21"/>
                <w:highlight w:val="none"/>
                <w:lang w:eastAsia="zh-CN"/>
              </w:rPr>
              <w:t>支行</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银行账号：</w:t>
            </w:r>
            <w:r>
              <w:rPr>
                <w:rFonts w:hint="eastAsia" w:ascii="宋体" w:hAnsi="宋体" w:cs="宋体"/>
                <w:b/>
                <w:bCs/>
                <w:color w:val="auto"/>
                <w:szCs w:val="21"/>
                <w:highlight w:val="none"/>
                <w:lang w:val="en-US" w:eastAsia="zh-CN"/>
              </w:rPr>
              <w:t>82010850000567051</w:t>
            </w:r>
          </w:p>
          <w:p>
            <w:pPr>
              <w:adjustRightInd w:val="0"/>
              <w:snapToGrid w:val="0"/>
              <w:spacing w:line="360" w:lineRule="auto"/>
              <w:ind w:firstLine="420" w:firstLineChars="200"/>
              <w:rPr>
                <w:rFonts w:hint="eastAsia" w:ascii="宋体" w:hAnsi="宋体" w:cs="宋体"/>
                <w:snapToGrid w:val="0"/>
                <w:kern w:val="0"/>
                <w:szCs w:val="21"/>
              </w:rPr>
            </w:pPr>
            <w:r>
              <w:rPr>
                <w:rFonts w:hint="eastAsia" w:ascii="宋体" w:hAnsi="宋体" w:cs="宋体"/>
                <w:szCs w:val="21"/>
              </w:rPr>
              <w:t>该账号仅为此项目的保证金托管账户，请勿与其它项目的账号混淆，发生串户则视为无效保证金</w:t>
            </w:r>
            <w:r>
              <w:rPr>
                <w:rFonts w:hint="eastAsia" w:ascii="宋体" w:hAnsi="宋体" w:cs="宋体"/>
                <w:snapToGrid w:val="0"/>
                <w:kern w:val="0"/>
                <w:szCs w:val="21"/>
              </w:rPr>
              <w:t>。</w:t>
            </w:r>
          </w:p>
          <w:p>
            <w:pPr>
              <w:numPr>
                <w:ilvl w:val="0"/>
                <w:numId w:val="0"/>
              </w:numPr>
              <w:adjustRightInd w:val="0"/>
              <w:snapToGrid w:val="0"/>
              <w:spacing w:line="360" w:lineRule="auto"/>
              <w:ind w:firstLine="420" w:firstLineChars="200"/>
              <w:rPr>
                <w:rFonts w:hint="eastAsia"/>
              </w:rPr>
            </w:pPr>
            <w:r>
              <w:rPr>
                <w:rFonts w:hint="default" w:ascii="Calibri" w:hAnsi="Calibri" w:cs="Calibri"/>
                <w:snapToGrid w:val="0"/>
                <w:kern w:val="0"/>
                <w:szCs w:val="21"/>
              </w:rPr>
              <w:t>①</w:t>
            </w:r>
            <w:r>
              <w:rPr>
                <w:rFonts w:hint="eastAsia" w:ascii="宋体" w:hAnsi="宋体" w:cs="宋体"/>
                <w:snapToGrid w:val="0"/>
                <w:kern w:val="0"/>
                <w:szCs w:val="21"/>
              </w:rPr>
              <w:t>在转账票据摘要处须注明：“</w:t>
            </w:r>
            <w:r>
              <w:rPr>
                <w:rFonts w:hint="eastAsia" w:ascii="宋体" w:hAnsi="宋体" w:cs="宋体"/>
                <w:snapToGrid w:val="0"/>
                <w:kern w:val="0"/>
                <w:szCs w:val="21"/>
                <w:u w:val="single"/>
              </w:rPr>
              <w:t xml:space="preserve">   （项目名称）  </w:t>
            </w:r>
            <w:r>
              <w:rPr>
                <w:rFonts w:hint="eastAsia" w:ascii="宋体" w:hAnsi="宋体" w:cs="宋体"/>
                <w:snapToGrid w:val="0"/>
                <w:kern w:val="0"/>
                <w:szCs w:val="21"/>
                <w:u w:val="none"/>
              </w:rPr>
              <w:t xml:space="preserve"> </w:t>
            </w:r>
            <w:r>
              <w:rPr>
                <w:rFonts w:hint="eastAsia" w:ascii="宋体" w:hAnsi="宋体" w:cs="宋体"/>
                <w:snapToGrid w:val="0"/>
                <w:kern w:val="0"/>
                <w:szCs w:val="21"/>
                <w:u w:val="none"/>
                <w:lang w:val="en-US" w:eastAsia="zh-CN"/>
              </w:rPr>
              <w:t>履约</w:t>
            </w:r>
            <w:r>
              <w:rPr>
                <w:rFonts w:hint="eastAsia" w:ascii="宋体" w:hAnsi="宋体" w:cs="宋体"/>
                <w:snapToGrid w:val="0"/>
                <w:kern w:val="0"/>
                <w:szCs w:val="21"/>
              </w:rPr>
              <w:t>保证金”。（如“项目名称”字符过多，转账票据摘要处填写不下的，则“取‘项目名称’前面字符”填入。）</w:t>
            </w:r>
          </w:p>
          <w:p>
            <w:pPr>
              <w:adjustRightInd w:val="0"/>
              <w:snapToGrid w:val="0"/>
              <w:spacing w:line="360" w:lineRule="auto"/>
              <w:ind w:left="420" w:leftChars="200"/>
              <w:jc w:val="center"/>
              <w:rPr>
                <w:rFonts w:hint="eastAsia" w:ascii="宋体" w:hAnsi="宋体" w:eastAsia="宋体" w:cs="宋体"/>
                <w:snapToGrid w:val="0"/>
                <w:kern w:val="0"/>
                <w:sz w:val="21"/>
                <w:szCs w:val="21"/>
                <w:lang w:val="en-US" w:eastAsia="zh-CN" w:bidi="ar-SA"/>
              </w:rPr>
            </w:pPr>
            <w:r>
              <w:rPr>
                <w:rFonts w:hint="eastAsia" w:ascii="宋体" w:hAnsi="宋体" w:eastAsia="宋体" w:cs="宋体"/>
                <w:snapToGrid w:val="0"/>
                <w:kern w:val="0"/>
                <w:sz w:val="21"/>
                <w:szCs w:val="21"/>
                <w:lang w:val="en-US" w:eastAsia="zh-CN" w:bidi="ar-SA"/>
              </w:rPr>
              <w:t>（2）</w:t>
            </w:r>
            <w:r>
              <w:rPr>
                <w:rFonts w:hint="eastAsia" w:ascii="宋体" w:hAnsi="宋体" w:eastAsia="宋体" w:cs="宋体"/>
                <w:b/>
                <w:bCs/>
                <w:snapToGrid w:val="0"/>
                <w:kern w:val="0"/>
                <w:sz w:val="21"/>
                <w:szCs w:val="21"/>
                <w:lang w:val="en-US" w:eastAsia="zh-CN" w:bidi="ar-SA"/>
              </w:rPr>
              <w:t>备注</w:t>
            </w:r>
            <w:r>
              <w:rPr>
                <w:rFonts w:hint="eastAsia" w:ascii="宋体" w:hAnsi="宋体" w:eastAsia="宋体" w:cs="宋体"/>
                <w:snapToGrid w:val="0"/>
                <w:kern w:val="0"/>
                <w:sz w:val="21"/>
                <w:szCs w:val="21"/>
                <w:lang w:val="en-US" w:eastAsia="zh-CN" w:bidi="ar-SA"/>
              </w:rPr>
              <w:t>：采购单位需在工程验收合格后五个工作日</w:t>
            </w:r>
          </w:p>
          <w:p>
            <w:pPr>
              <w:adjustRightInd w:val="0"/>
              <w:snapToGrid w:val="0"/>
              <w:spacing w:line="360" w:lineRule="auto"/>
              <w:jc w:val="both"/>
              <w:rPr>
                <w:rFonts w:hint="eastAsia"/>
                <w:lang w:val="en-US" w:eastAsia="zh-CN"/>
              </w:rPr>
            </w:pPr>
            <w:r>
              <w:rPr>
                <w:rFonts w:hint="eastAsia" w:ascii="宋体" w:hAnsi="宋体" w:eastAsia="宋体" w:cs="宋体"/>
                <w:snapToGrid w:val="0"/>
                <w:kern w:val="0"/>
                <w:sz w:val="21"/>
                <w:szCs w:val="21"/>
                <w:lang w:val="en-US" w:eastAsia="zh-CN" w:bidi="ar-SA"/>
              </w:rPr>
              <w:t>内退还履约保证金，中标单位需提供转账证明及履约保证金退还申请书(需中标单位、采购人、镇政府、监理单位(如有))盖章！</w:t>
            </w:r>
            <w:r>
              <w:rPr>
                <w:rFonts w:hint="eastAsia" w:ascii="宋体" w:hAnsi="宋体" w:cs="宋体"/>
                <w:snapToGrid w:val="0"/>
                <w:kern w:val="0"/>
                <w:sz w:val="21"/>
                <w:szCs w:val="21"/>
                <w:lang w:val="en-US" w:eastAsia="zh-CN" w:bidi="ar-SA"/>
              </w:rPr>
              <w:t>（</w:t>
            </w:r>
            <w:r>
              <w:rPr>
                <w:rFonts w:hint="eastAsia" w:ascii="宋体" w:hAnsi="宋体" w:eastAsia="宋体" w:cs="宋体"/>
                <w:snapToGrid w:val="0"/>
                <w:kern w:val="0"/>
                <w:sz w:val="21"/>
                <w:szCs w:val="21"/>
                <w:lang w:val="en-US" w:eastAsia="zh-CN" w:bidi="ar-SA"/>
              </w:rPr>
              <w:t>履约保证金退款申请格式</w:t>
            </w:r>
            <w:r>
              <w:rPr>
                <w:rFonts w:hint="eastAsia" w:ascii="宋体" w:hAnsi="宋体" w:cs="宋体"/>
                <w:snapToGrid w:val="0"/>
                <w:kern w:val="0"/>
                <w:sz w:val="21"/>
                <w:szCs w:val="21"/>
                <w:lang w:val="en-US" w:eastAsia="zh-CN" w:bidi="ar-SA"/>
              </w:rPr>
              <w:t>详见附件十一</w:t>
            </w:r>
            <w:r>
              <w:rPr>
                <w:rFonts w:hint="eastAsia" w:ascii="宋体" w:hAnsi="宋体" w:eastAsia="宋体" w:cs="宋体"/>
                <w:snapToGrid w:val="0"/>
                <w:kern w:val="0"/>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9687" w:type="dxa"/>
            <w:gridSpan w:val="6"/>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Cs w:val="21"/>
                <w:highlight w:val="none"/>
              </w:rPr>
            </w:pPr>
            <w:r>
              <w:rPr>
                <w:rFonts w:hint="eastAsia" w:hAnsi="宋体" w:cs="宋体"/>
                <w:b/>
                <w:color w:val="auto"/>
                <w:sz w:val="21"/>
                <w:highlight w:val="none"/>
              </w:rPr>
              <w:t>七、</w:t>
            </w:r>
            <w:r>
              <w:rPr>
                <w:rFonts w:hint="eastAsia" w:hAnsi="宋体" w:cs="宋体"/>
                <w:b/>
                <w:color w:val="auto"/>
                <w:sz w:val="21"/>
                <w:highlight w:val="none"/>
                <w:lang w:eastAsia="zh-CN"/>
              </w:rPr>
              <w:t>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9" w:hRule="atLeast"/>
          <w:jc w:val="center"/>
        </w:trPr>
        <w:tc>
          <w:tcPr>
            <w:tcW w:w="1811" w:type="dxa"/>
            <w:vMerge w:val="restart"/>
            <w:noWrap w:val="0"/>
            <w:vAlign w:val="center"/>
          </w:tcPr>
          <w:p>
            <w:pPr>
              <w:shd w:val="clear" w:color="auto" w:fill="auto"/>
              <w:adjustRightInd w:val="0"/>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39.1款</w:t>
            </w:r>
          </w:p>
        </w:tc>
        <w:tc>
          <w:tcPr>
            <w:tcW w:w="2281" w:type="dxa"/>
            <w:gridSpan w:val="2"/>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优先采购</w:t>
            </w:r>
          </w:p>
        </w:tc>
        <w:tc>
          <w:tcPr>
            <w:tcW w:w="5595" w:type="dxa"/>
            <w:gridSpan w:val="3"/>
            <w:tcBorders>
              <w:bottom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spacing w:line="400" w:lineRule="exact"/>
              <w:ind w:firstLine="210" w:firstLineChars="100"/>
              <w:textAlignment w:val="auto"/>
              <w:rPr>
                <w:color w:val="auto"/>
                <w:highlight w:val="none"/>
              </w:rPr>
            </w:pPr>
            <w:r>
              <w:rPr>
                <w:rFonts w:hint="eastAsia"/>
                <w:color w:val="auto"/>
                <w:highlight w:val="none"/>
              </w:rPr>
              <w:t>①非强制采购节能产品:采用综合评分法时，对于技术和价格分，应分别给予总分值4%-8%的加分。本项目具体加分比例分别为：技术</w:t>
            </w:r>
            <w:r>
              <w:rPr>
                <w:rFonts w:hint="eastAsia"/>
                <w:color w:val="auto"/>
                <w:highlight w:val="none"/>
                <w:u w:val="single"/>
              </w:rPr>
              <w:t>4</w:t>
            </w:r>
            <w:r>
              <w:rPr>
                <w:rFonts w:hint="eastAsia"/>
                <w:color w:val="auto"/>
                <w:highlight w:val="none"/>
              </w:rPr>
              <w:t xml:space="preserve"> %、价格</w:t>
            </w:r>
            <w:r>
              <w:rPr>
                <w:rFonts w:hint="eastAsia"/>
                <w:color w:val="auto"/>
                <w:highlight w:val="none"/>
                <w:u w:val="single"/>
              </w:rPr>
              <w:t>4</w:t>
            </w:r>
            <w:r>
              <w:rPr>
                <w:rFonts w:hint="eastAsia"/>
                <w:color w:val="auto"/>
                <w:highlight w:val="none"/>
              </w:rPr>
              <w:t xml:space="preserve"> %。 </w:t>
            </w:r>
          </w:p>
          <w:p>
            <w:pPr>
              <w:keepNext w:val="0"/>
              <w:keepLines w:val="0"/>
              <w:pageBreakBefore w:val="0"/>
              <w:widowControl/>
              <w:shd w:val="clear" w:color="auto" w:fill="auto"/>
              <w:kinsoku/>
              <w:wordWrap/>
              <w:overflowPunct/>
              <w:topLinePunct w:val="0"/>
              <w:autoSpaceDE/>
              <w:autoSpaceDN/>
              <w:bidi w:val="0"/>
              <w:spacing w:line="400" w:lineRule="exact"/>
              <w:ind w:firstLine="210" w:firstLineChars="100"/>
              <w:textAlignment w:val="auto"/>
              <w:rPr>
                <w:color w:val="auto"/>
                <w:highlight w:val="none"/>
              </w:rPr>
            </w:pPr>
            <w:r>
              <w:rPr>
                <w:rFonts w:hint="eastAsia"/>
                <w:color w:val="auto"/>
                <w:highlight w:val="none"/>
              </w:rPr>
              <w:t>②环境标志产品:采用综合评分法时，对于技术和价格分，应分别给予总分值4%-8%的加分。本项目具体加分比例分别为：技术</w:t>
            </w:r>
            <w:r>
              <w:rPr>
                <w:rFonts w:hint="eastAsia"/>
                <w:color w:val="auto"/>
                <w:highlight w:val="none"/>
                <w:u w:val="single"/>
              </w:rPr>
              <w:t xml:space="preserve">4 </w:t>
            </w:r>
            <w:r>
              <w:rPr>
                <w:rFonts w:hint="eastAsia"/>
                <w:color w:val="auto"/>
                <w:highlight w:val="none"/>
              </w:rPr>
              <w:t>%、价格</w:t>
            </w:r>
            <w:r>
              <w:rPr>
                <w:rFonts w:hint="eastAsia"/>
                <w:color w:val="auto"/>
                <w:highlight w:val="none"/>
                <w:u w:val="single"/>
              </w:rPr>
              <w:t>4</w:t>
            </w:r>
            <w:r>
              <w:rPr>
                <w:rFonts w:hint="eastAsia"/>
                <w:color w:val="auto"/>
                <w:highlight w:val="none"/>
              </w:rPr>
              <w:t>% 。</w:t>
            </w:r>
          </w:p>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rPr>
            </w:pPr>
            <w:r>
              <w:rPr>
                <w:rFonts w:hint="eastAsia"/>
                <w:color w:val="auto"/>
                <w:highlight w:val="none"/>
              </w:rPr>
              <w:t xml:space="preserve">③两型产品:采用综合评分法时，对于技术和价格分，应分别给予总分值4%-8%的加分，本项目具体加分比例分别为：技术 </w:t>
            </w:r>
            <w:r>
              <w:rPr>
                <w:rFonts w:hint="eastAsia"/>
                <w:color w:val="auto"/>
                <w:highlight w:val="none"/>
                <w:u w:val="single"/>
              </w:rPr>
              <w:t>4</w:t>
            </w:r>
            <w:r>
              <w:rPr>
                <w:rFonts w:hint="eastAsia"/>
                <w:color w:val="auto"/>
                <w:highlight w:val="none"/>
              </w:rPr>
              <w:t xml:space="preserve"> %、价格</w:t>
            </w:r>
            <w:r>
              <w:rPr>
                <w:rFonts w:hint="eastAsia"/>
                <w:color w:val="auto"/>
                <w:highlight w:val="none"/>
                <w:u w:val="single"/>
              </w:rPr>
              <w:t>4</w:t>
            </w:r>
            <w:r>
              <w:rPr>
                <w:rFonts w:hint="eastAsia"/>
                <w:color w:val="auto"/>
                <w:highlight w:val="none"/>
              </w:rPr>
              <w:t xml:space="preserve"> %；在商务评审项目中，对设有完善售后服务机构和网点的两型产品，应给予商务评审总分值的4％-8％的加分，本项目商务具体加分比例为 </w:t>
            </w:r>
            <w:r>
              <w:rPr>
                <w:rFonts w:hint="eastAsia"/>
                <w:color w:val="auto"/>
                <w:highlight w:val="none"/>
                <w:u w:val="single"/>
              </w:rPr>
              <w:t>4</w:t>
            </w:r>
            <w:r>
              <w:rPr>
                <w:rFonts w:hint="eastAsia"/>
                <w:color w:val="auto"/>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p>
        </w:tc>
        <w:tc>
          <w:tcPr>
            <w:tcW w:w="2281" w:type="dxa"/>
            <w:gridSpan w:val="2"/>
            <w:vMerge w:val="continue"/>
            <w:noWrap w:val="0"/>
            <w:vAlign w:val="center"/>
          </w:tcPr>
          <w:p>
            <w:pPr>
              <w:shd w:val="clear" w:color="auto" w:fill="auto"/>
              <w:adjustRightInd w:val="0"/>
              <w:snapToGrid w:val="0"/>
              <w:jc w:val="center"/>
              <w:rPr>
                <w:rFonts w:hint="eastAsia" w:ascii="宋体" w:hAnsi="宋体" w:cs="宋体"/>
                <w:color w:val="auto"/>
                <w:szCs w:val="21"/>
                <w:highlight w:val="none"/>
                <w:lang w:eastAsia="zh-CN"/>
              </w:rPr>
            </w:pPr>
          </w:p>
        </w:tc>
        <w:tc>
          <w:tcPr>
            <w:tcW w:w="5595" w:type="dxa"/>
            <w:gridSpan w:val="3"/>
            <w:tcBorders>
              <w:top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备注：（1）优先采购同时属于“节能产品”、“环境标志产品”及“两型产品”的，评审时只有其中一项产品能享受优先采购优惠（</w:t>
            </w:r>
            <w:r>
              <w:rPr>
                <w:rFonts w:hint="eastAsia" w:ascii="宋体" w:hAnsi="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自行选择，并在</w:t>
            </w:r>
            <w:r>
              <w:rPr>
                <w:rFonts w:hint="eastAsia" w:ascii="宋体" w:hAnsi="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文件中填报相关信息及数据）。</w:t>
            </w:r>
          </w:p>
          <w:p>
            <w:pPr>
              <w:pStyle w:val="19"/>
              <w:keepNext w:val="0"/>
              <w:keepLines w:val="0"/>
              <w:pageBreakBefore w:val="0"/>
              <w:numPr>
                <w:ilvl w:val="0"/>
                <w:numId w:val="0"/>
              </w:numPr>
              <w:shd w:val="clear" w:color="auto" w:fill="auto"/>
              <w:kinsoku/>
              <w:wordWrap/>
              <w:overflowPunct/>
              <w:topLinePunct w:val="0"/>
              <w:autoSpaceDE/>
              <w:autoSpaceDN/>
              <w:bidi w:val="0"/>
              <w:spacing w:after="0"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小型和微型企业的价格评审优惠可以与同时属于“节能产品”、“环境标志产品”及“两型产品”中的一项优先采购优惠累加计算。</w:t>
            </w:r>
          </w:p>
          <w:p>
            <w:pPr>
              <w:pStyle w:val="8"/>
              <w:keepNext w:val="0"/>
              <w:keepLines w:val="0"/>
              <w:pageBreakBefore w:val="0"/>
              <w:numPr>
                <w:ilvl w:val="0"/>
                <w:numId w:val="0"/>
              </w:numPr>
              <w:shd w:val="clear" w:color="auto" w:fill="auto"/>
              <w:kinsoku/>
              <w:wordWrap/>
              <w:overflowPunct/>
              <w:topLinePunct w:val="0"/>
              <w:autoSpaceDE/>
              <w:autoSpaceDN/>
              <w:bidi w:val="0"/>
              <w:spacing w:line="400" w:lineRule="exact"/>
              <w:ind w:leftChars="0" w:firstLine="422" w:firstLineChars="200"/>
              <w:textAlignment w:val="auto"/>
              <w:rPr>
                <w:rFonts w:hint="eastAsia" w:eastAsia="宋体"/>
                <w:color w:val="auto"/>
                <w:highlight w:val="none"/>
                <w:lang w:eastAsia="zh-CN"/>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符合第二章第3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.1款、第3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.2款、第3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.3款规定的，应按第二章第3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款规定提供相关证明资料。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39.2款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强制采购</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纳入财政部会同国务院有关部门发布的节能产品政府采购品目清单，实施政府强制采购的（品目清单标注</w:t>
            </w:r>
            <w:r>
              <w:rPr>
                <w:rFonts w:hint="eastAsia" w:ascii="宋体" w:hAnsi="宋体" w:eastAsia="宋体" w:cs="宋体"/>
                <w:color w:val="auto"/>
                <w:szCs w:val="21"/>
                <w:highlight w:val="none"/>
                <w:lang w:val="en-US" w:eastAsia="zh-CN"/>
              </w:rPr>
              <w:sym w:font="Wingdings" w:char="F0AB"/>
            </w:r>
            <w:r>
              <w:rPr>
                <w:rFonts w:hint="eastAsia" w:ascii="宋体" w:hAnsi="宋体" w:eastAsia="宋体" w:cs="宋体"/>
                <w:color w:val="auto"/>
                <w:szCs w:val="21"/>
                <w:highlight w:val="none"/>
                <w:lang w:val="en-US" w:eastAsia="zh-CN"/>
              </w:rPr>
              <w:t>符号产品），投标人投标产品应当取得国家确定的认证机构出具的、处于有效期之内的节能产品认证证书，否</w:t>
            </w:r>
            <w:r>
              <w:rPr>
                <w:rFonts w:hint="eastAsia" w:ascii="宋体" w:hAnsi="宋体" w:eastAsia="宋体" w:cs="宋体"/>
                <w:color w:val="auto"/>
                <w:kern w:val="0"/>
                <w:highlight w:val="none"/>
              </w:rPr>
              <w:t>则其</w:t>
            </w:r>
            <w:r>
              <w:rPr>
                <w:rFonts w:hint="eastAsia" w:ascii="宋体" w:hAnsi="宋体" w:eastAsia="宋体" w:cs="宋体"/>
                <w:b/>
                <w:color w:val="auto"/>
                <w:kern w:val="0"/>
                <w:szCs w:val="21"/>
                <w:highlight w:val="none"/>
              </w:rPr>
              <w:t>投标无效</w:t>
            </w:r>
            <w:r>
              <w:rPr>
                <w:rFonts w:hint="eastAsia" w:ascii="宋体" w:hAnsi="宋体" w:eastAsia="宋体" w:cs="宋体"/>
                <w:b/>
                <w:color w:val="auto"/>
                <w:kern w:val="0"/>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39.3款</w:t>
            </w:r>
          </w:p>
        </w:tc>
        <w:tc>
          <w:tcPr>
            <w:tcW w:w="2281" w:type="dxa"/>
            <w:gridSpan w:val="2"/>
            <w:noWrap w:val="0"/>
            <w:vAlign w:val="center"/>
          </w:tcPr>
          <w:p>
            <w:pPr>
              <w:shd w:val="clear" w:color="auto" w:fill="auto"/>
              <w:adjustRightInd w:val="0"/>
              <w:snapToGrid w:val="0"/>
              <w:spacing w:line="32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hAnsi="宋体"/>
                <w:color w:val="auto"/>
                <w:szCs w:val="21"/>
                <w:highlight w:val="none"/>
                <w:lang w:eastAsia="zh-CN"/>
              </w:rPr>
              <w:t>预留采购份额</w:t>
            </w:r>
          </w:p>
        </w:tc>
        <w:tc>
          <w:tcPr>
            <w:tcW w:w="5595" w:type="dxa"/>
            <w:gridSpan w:val="3"/>
            <w:noWrap w:val="0"/>
            <w:vAlign w:val="center"/>
          </w:tcPr>
          <w:p>
            <w:pPr>
              <w:pStyle w:val="19"/>
              <w:keepNext w:val="0"/>
              <w:keepLines w:val="0"/>
              <w:pageBreakBefore w:val="0"/>
              <w:widowControl w:val="0"/>
              <w:shd w:val="clear" w:color="auto" w:fill="auto"/>
              <w:kinsoku/>
              <w:wordWrap/>
              <w:overflowPunct/>
              <w:topLinePunct w:val="0"/>
              <w:autoSpaceDE/>
              <w:autoSpaceDN/>
              <w:bidi w:val="0"/>
              <w:spacing w:line="360" w:lineRule="exact"/>
              <w:ind w:left="0" w:leftChars="0" w:firstLine="0" w:firstLineChars="0"/>
              <w:textAlignment w:val="auto"/>
              <w:rPr>
                <w:rFonts w:hint="default"/>
                <w:color w:val="auto"/>
                <w:highlight w:val="none"/>
                <w:u w:val="singl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rPr>
            </w:pP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价格评审优惠</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对于经主管预算单位统筹后未预留份额专门面向中小企业采购的采购项目，以及预留份额项目中的非预留部分采购包，采购人、采购代理机构应当对符合</w:t>
            </w:r>
            <w:r>
              <w:rPr>
                <w:rFonts w:hint="eastAsia"/>
                <w:color w:val="auto"/>
                <w:highlight w:val="none"/>
                <w:lang w:val="en-US" w:eastAsia="zh-CN"/>
              </w:rPr>
              <w:t>《政府采购促进中小企业发展管理办法》</w:t>
            </w:r>
            <w:r>
              <w:rPr>
                <w:rFonts w:hint="eastAsia"/>
                <w:color w:val="auto"/>
                <w:highlight w:val="none"/>
              </w:rPr>
              <w:t>规定的小微企业报价给予6%—10%（工程项目为 3%—5%）的扣除，用扣除后的价格参加评审。</w:t>
            </w:r>
            <w:r>
              <w:rPr>
                <w:rFonts w:hint="eastAsia"/>
                <w:color w:val="auto"/>
                <w:highlight w:val="none"/>
                <w:lang w:eastAsia="zh-CN"/>
              </w:rPr>
              <w:t>具体扣除比例如下：</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default" w:eastAsia="宋体"/>
                <w:color w:val="auto"/>
                <w:highlight w:val="none"/>
                <w:u w:val="single"/>
                <w:lang w:val="en-US"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货物采购</w:t>
            </w:r>
            <w:r>
              <w:rPr>
                <w:rFonts w:hint="eastAsia"/>
                <w:color w:val="auto"/>
                <w:highlight w:val="none"/>
                <w:lang w:eastAsia="zh-CN"/>
              </w:rPr>
              <w:t>：</w:t>
            </w:r>
            <w:r>
              <w:rPr>
                <w:rFonts w:hint="eastAsia"/>
                <w:color w:val="auto"/>
                <w:highlight w:val="none"/>
              </w:rPr>
              <w:t>货物由</w:t>
            </w:r>
            <w:r>
              <w:rPr>
                <w:rFonts w:hint="eastAsia"/>
                <w:color w:val="auto"/>
                <w:highlight w:val="none"/>
                <w:lang w:eastAsia="zh-CN"/>
              </w:rPr>
              <w:t>中小</w:t>
            </w:r>
            <w:r>
              <w:rPr>
                <w:rFonts w:hint="eastAsia"/>
                <w:color w:val="auto"/>
                <w:highlight w:val="none"/>
              </w:rPr>
              <w:t>企业制造，即货物由</w:t>
            </w:r>
            <w:r>
              <w:rPr>
                <w:rFonts w:hint="eastAsia"/>
                <w:color w:val="auto"/>
                <w:highlight w:val="none"/>
                <w:lang w:eastAsia="zh-CN"/>
              </w:rPr>
              <w:t>中小</w:t>
            </w:r>
            <w:r>
              <w:rPr>
                <w:rFonts w:hint="eastAsia"/>
                <w:color w:val="auto"/>
                <w:highlight w:val="none"/>
              </w:rPr>
              <w:t>企业生产且使用该</w:t>
            </w:r>
            <w:r>
              <w:rPr>
                <w:rFonts w:hint="eastAsia"/>
                <w:color w:val="auto"/>
                <w:highlight w:val="none"/>
                <w:lang w:eastAsia="zh-CN"/>
              </w:rPr>
              <w:t>中小</w:t>
            </w:r>
            <w:r>
              <w:rPr>
                <w:rFonts w:hint="eastAsia"/>
                <w:color w:val="auto"/>
                <w:highlight w:val="none"/>
              </w:rPr>
              <w:t>企业商号或者注册商标</w:t>
            </w:r>
            <w:r>
              <w:rPr>
                <w:rFonts w:hint="eastAsia"/>
                <w:color w:val="auto"/>
                <w:highlight w:val="none"/>
                <w:lang w:eastAsia="zh-CN"/>
              </w:rPr>
              <w:t>。本项目给予</w:t>
            </w:r>
            <w:r>
              <w:rPr>
                <w:rFonts w:hint="eastAsia"/>
                <w:color w:val="auto"/>
                <w:highlight w:val="none"/>
              </w:rPr>
              <w:t>小</w:t>
            </w:r>
            <w:r>
              <w:rPr>
                <w:rFonts w:hint="eastAsia"/>
                <w:color w:val="auto"/>
                <w:highlight w:val="none"/>
                <w:lang w:eastAsia="zh-CN"/>
              </w:rPr>
              <w:t>微</w:t>
            </w:r>
            <w:r>
              <w:rPr>
                <w:rFonts w:hint="eastAsia"/>
                <w:color w:val="auto"/>
                <w:highlight w:val="none"/>
              </w:rPr>
              <w:t>企业</w:t>
            </w:r>
            <w:r>
              <w:rPr>
                <w:rFonts w:hint="eastAsia"/>
                <w:color w:val="auto"/>
                <w:highlight w:val="none"/>
                <w:u w:val="single"/>
                <w:lang w:val="en-US" w:eastAsia="zh-CN"/>
              </w:rPr>
              <w:t xml:space="preserve">  /   </w:t>
            </w:r>
            <w:r>
              <w:rPr>
                <w:rFonts w:hint="eastAsia"/>
                <w:color w:val="auto"/>
                <w:highlight w:val="none"/>
                <w:lang w:eastAsia="zh-CN"/>
              </w:rPr>
              <w:t>扣除</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1" w:firstLineChars="100"/>
              <w:textAlignment w:val="auto"/>
              <w:rPr>
                <w:rFonts w:hint="eastAsia"/>
                <w:b/>
                <w:bCs/>
                <w:color w:val="auto"/>
                <w:highlight w:val="none"/>
                <w:lang w:val="en-US" w:eastAsia="zh-CN"/>
              </w:rPr>
            </w:pPr>
            <w:r>
              <w:rPr>
                <w:rFonts w:hint="eastAsia"/>
                <w:b/>
                <w:bCs/>
                <w:color w:val="auto"/>
                <w:highlight w:val="none"/>
              </w:rPr>
              <w:t>在货物采购项目中，供应商提供的货物既有中小企业制造货物，也有大型企业制造货物的，不享受中小企业扶持政策。</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□工程采购</w:t>
            </w:r>
            <w:r>
              <w:rPr>
                <w:rFonts w:hint="eastAsia"/>
                <w:color w:val="auto"/>
                <w:highlight w:val="none"/>
                <w:lang w:eastAsia="zh-CN"/>
              </w:rPr>
              <w:t>：</w:t>
            </w:r>
            <w:r>
              <w:rPr>
                <w:rFonts w:hint="eastAsia"/>
                <w:color w:val="auto"/>
                <w:highlight w:val="none"/>
              </w:rPr>
              <w:t>工程由</w:t>
            </w:r>
            <w:r>
              <w:rPr>
                <w:rFonts w:hint="eastAsia"/>
                <w:color w:val="auto"/>
                <w:highlight w:val="none"/>
                <w:lang w:eastAsia="zh-CN"/>
              </w:rPr>
              <w:t>中小</w:t>
            </w:r>
            <w:r>
              <w:rPr>
                <w:rFonts w:hint="eastAsia"/>
                <w:color w:val="auto"/>
                <w:highlight w:val="none"/>
              </w:rPr>
              <w:t>企业承建，即工程施工单位为</w:t>
            </w:r>
            <w:r>
              <w:rPr>
                <w:rFonts w:hint="eastAsia"/>
                <w:color w:val="auto"/>
                <w:highlight w:val="none"/>
                <w:lang w:eastAsia="zh-CN"/>
              </w:rPr>
              <w:t>中小</w:t>
            </w:r>
            <w:r>
              <w:rPr>
                <w:rFonts w:hint="eastAsia"/>
                <w:color w:val="auto"/>
                <w:highlight w:val="none"/>
              </w:rPr>
              <w:t>企业</w:t>
            </w:r>
            <w:r>
              <w:rPr>
                <w:rFonts w:hint="eastAsia"/>
                <w:color w:val="auto"/>
                <w:highlight w:val="none"/>
                <w:lang w:eastAsia="zh-CN"/>
              </w:rPr>
              <w:t>。本项目</w:t>
            </w:r>
            <w:r>
              <w:rPr>
                <w:rFonts w:hint="eastAsia"/>
                <w:color w:val="auto"/>
                <w:highlight w:val="none"/>
              </w:rPr>
              <w:t>小</w:t>
            </w:r>
            <w:r>
              <w:rPr>
                <w:rFonts w:hint="eastAsia"/>
                <w:color w:val="auto"/>
                <w:highlight w:val="none"/>
                <w:lang w:eastAsia="zh-CN"/>
              </w:rPr>
              <w:t>微</w:t>
            </w:r>
            <w:r>
              <w:rPr>
                <w:rFonts w:hint="eastAsia"/>
                <w:color w:val="auto"/>
                <w:highlight w:val="none"/>
              </w:rPr>
              <w:t>企业</w:t>
            </w:r>
            <w:r>
              <w:rPr>
                <w:rFonts w:hint="eastAsia"/>
                <w:color w:val="auto"/>
                <w:highlight w:val="none"/>
                <w:lang w:eastAsia="zh-CN"/>
              </w:rPr>
              <w:t>给予</w:t>
            </w:r>
            <w:r>
              <w:rPr>
                <w:rFonts w:hint="eastAsia"/>
                <w:color w:val="auto"/>
                <w:highlight w:val="none"/>
                <w:u w:val="single"/>
                <w:lang w:val="en-US" w:eastAsia="zh-CN"/>
              </w:rPr>
              <w:t xml:space="preserve">  / </w:t>
            </w:r>
            <w:r>
              <w:rPr>
                <w:rFonts w:hint="eastAsia"/>
                <w:color w:val="auto"/>
                <w:highlight w:val="none"/>
                <w:lang w:eastAsia="zh-CN"/>
              </w:rPr>
              <w:t>扣除</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服务采购</w:t>
            </w:r>
            <w:r>
              <w:rPr>
                <w:rFonts w:hint="eastAsia"/>
                <w:color w:val="auto"/>
                <w:highlight w:val="none"/>
                <w:lang w:eastAsia="zh-CN"/>
              </w:rPr>
              <w:t>：</w:t>
            </w:r>
            <w:r>
              <w:rPr>
                <w:rFonts w:hint="eastAsia"/>
                <w:color w:val="auto"/>
                <w:highlight w:val="none"/>
              </w:rPr>
              <w:t>服务由</w:t>
            </w:r>
            <w:r>
              <w:rPr>
                <w:rFonts w:hint="eastAsia"/>
                <w:color w:val="auto"/>
                <w:highlight w:val="none"/>
                <w:lang w:eastAsia="zh-CN"/>
              </w:rPr>
              <w:t>中小</w:t>
            </w:r>
            <w:r>
              <w:rPr>
                <w:rFonts w:hint="eastAsia"/>
                <w:color w:val="auto"/>
                <w:highlight w:val="none"/>
              </w:rPr>
              <w:t>企业承接，即提供服务的人员为</w:t>
            </w:r>
            <w:r>
              <w:rPr>
                <w:rFonts w:hint="eastAsia"/>
                <w:color w:val="auto"/>
                <w:highlight w:val="none"/>
                <w:lang w:eastAsia="zh-CN"/>
              </w:rPr>
              <w:t>中小</w:t>
            </w:r>
            <w:r>
              <w:rPr>
                <w:rFonts w:hint="eastAsia"/>
                <w:color w:val="auto"/>
                <w:highlight w:val="none"/>
              </w:rPr>
              <w:t>企业依照《中华人民共和国劳动合同法》订立劳动合同的从业人员。</w:t>
            </w:r>
            <w:r>
              <w:rPr>
                <w:rFonts w:hint="eastAsia"/>
                <w:color w:val="auto"/>
                <w:highlight w:val="none"/>
                <w:lang w:eastAsia="zh-CN"/>
              </w:rPr>
              <w:t>本项目</w:t>
            </w:r>
            <w:r>
              <w:rPr>
                <w:rFonts w:hint="eastAsia"/>
                <w:color w:val="auto"/>
                <w:highlight w:val="none"/>
              </w:rPr>
              <w:t>小</w:t>
            </w:r>
            <w:r>
              <w:rPr>
                <w:rFonts w:hint="eastAsia"/>
                <w:color w:val="auto"/>
                <w:highlight w:val="none"/>
                <w:lang w:eastAsia="zh-CN"/>
              </w:rPr>
              <w:t>微</w:t>
            </w:r>
            <w:r>
              <w:rPr>
                <w:rFonts w:hint="eastAsia"/>
                <w:color w:val="auto"/>
                <w:highlight w:val="none"/>
              </w:rPr>
              <w:t>企业</w:t>
            </w:r>
            <w:r>
              <w:rPr>
                <w:rFonts w:hint="eastAsia"/>
                <w:color w:val="auto"/>
                <w:highlight w:val="none"/>
                <w:lang w:eastAsia="zh-CN"/>
              </w:rPr>
              <w:t>给予</w:t>
            </w:r>
            <w:r>
              <w:rPr>
                <w:rFonts w:hint="eastAsia"/>
                <w:color w:val="auto"/>
                <w:highlight w:val="none"/>
                <w:u w:val="single"/>
                <w:lang w:val="en-US" w:eastAsia="zh-CN"/>
              </w:rPr>
              <w:t xml:space="preserve">  /   </w:t>
            </w:r>
            <w:r>
              <w:rPr>
                <w:rFonts w:hint="eastAsia"/>
                <w:color w:val="auto"/>
                <w:highlight w:val="none"/>
                <w:lang w:eastAsia="zh-CN"/>
              </w:rPr>
              <w:t>扣除</w:t>
            </w:r>
            <w:r>
              <w:rPr>
                <w:rFonts w:hint="eastAsia"/>
                <w:color w:val="auto"/>
                <w:highlight w:val="none"/>
                <w:u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exact"/>
              <w:ind w:leftChars="0"/>
              <w:textAlignment w:val="auto"/>
              <w:rPr>
                <w:rFonts w:hint="eastAsia"/>
                <w:color w:val="auto"/>
                <w:highlight w:val="none"/>
                <w:lang w:eastAsia="zh-CN"/>
              </w:rPr>
            </w:pPr>
            <w:r>
              <w:rPr>
                <w:rFonts w:hint="eastAsia"/>
                <w:color w:val="auto"/>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w:t>
            </w:r>
            <w:r>
              <w:rPr>
                <w:rFonts w:hint="eastAsia"/>
                <w:color w:val="auto"/>
                <w:highlight w:val="none"/>
                <w:lang w:eastAsia="zh-CN"/>
              </w:rPr>
              <w:t>具体扣除比例如下：</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exact"/>
              <w:ind w:leftChars="0" w:firstLine="210" w:firstLineChars="100"/>
              <w:textAlignment w:val="auto"/>
              <w:rPr>
                <w:rFonts w:hint="default" w:eastAsia="宋体"/>
                <w:color w:val="auto"/>
                <w:highlight w:val="none"/>
                <w:u w:val="single"/>
                <w:lang w:val="en-US"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货物采购</w:t>
            </w:r>
            <w:r>
              <w:rPr>
                <w:rFonts w:hint="eastAsia"/>
                <w:color w:val="auto"/>
                <w:highlight w:val="none"/>
                <w:lang w:eastAsia="zh-CN"/>
              </w:rPr>
              <w:t>：本项目扣除比例为</w:t>
            </w:r>
            <w:r>
              <w:rPr>
                <w:rFonts w:hint="eastAsia"/>
                <w:color w:val="auto"/>
                <w:highlight w:val="none"/>
                <w:u w:val="single"/>
                <w:lang w:val="en-US" w:eastAsia="zh-CN"/>
              </w:rPr>
              <w:t xml:space="preserve">  /   </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工程采购</w:t>
            </w:r>
            <w:r>
              <w:rPr>
                <w:rFonts w:hint="eastAsia"/>
                <w:color w:val="auto"/>
                <w:highlight w:val="none"/>
                <w:lang w:eastAsia="zh-CN"/>
              </w:rPr>
              <w:t>：本项目扣除比例为</w:t>
            </w:r>
            <w:r>
              <w:rPr>
                <w:rFonts w:hint="eastAsia"/>
                <w:color w:val="auto"/>
                <w:highlight w:val="none"/>
                <w:u w:val="single"/>
                <w:lang w:val="en-US" w:eastAsia="zh-CN"/>
              </w:rPr>
              <w:t xml:space="preserve">  /  </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服务采购</w:t>
            </w:r>
            <w:r>
              <w:rPr>
                <w:rFonts w:hint="eastAsia"/>
                <w:color w:val="auto"/>
                <w:highlight w:val="none"/>
                <w:lang w:eastAsia="zh-CN"/>
              </w:rPr>
              <w:t>：本项目扣除比例为</w:t>
            </w:r>
            <w:r>
              <w:rPr>
                <w:rFonts w:hint="eastAsia"/>
                <w:color w:val="auto"/>
                <w:highlight w:val="none"/>
                <w:u w:val="single"/>
                <w:lang w:val="en-US" w:eastAsia="zh-CN"/>
              </w:rPr>
              <w:t xml:space="preserve">  /   </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1" w:firstLineChars="100"/>
              <w:textAlignment w:val="auto"/>
              <w:rPr>
                <w:rFonts w:hint="eastAsia"/>
                <w:b/>
                <w:bCs/>
                <w:color w:val="auto"/>
                <w:highlight w:val="none"/>
                <w:lang w:val="en-US" w:eastAsia="zh-CN"/>
              </w:rPr>
            </w:pPr>
            <w:r>
              <w:rPr>
                <w:rFonts w:hint="eastAsia"/>
                <w:b/>
                <w:bCs/>
                <w:color w:val="auto"/>
                <w:highlight w:val="none"/>
                <w:lang w:val="en-US"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监狱企业、残疾人福利性单位视同小型、微型企业，享受评审中价格扣除等促进中小企业发展的政府采购政策。用扣除后的价格参与评审，本项目具体扣除比例为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（监狱企业、残疾人福利性单位同时属于小型、微型企业的，不重复享受价格评审优惠政策）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0"/>
                <w:szCs w:val="21"/>
                <w:highlight w:val="none"/>
              </w:rPr>
              <w:t>政府采购支持中小企业融资</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olor w:val="auto"/>
                <w:szCs w:val="21"/>
                <w:highlight w:val="none"/>
              </w:rPr>
              <w:t>株洲市已实施政府采购合同线上融资模式。有融资需求的，可按本章节附件1、附件2、所列流程申请或附件3向所列银行咨询办理。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p>
        </w:tc>
        <w:tc>
          <w:tcPr>
            <w:tcW w:w="2281" w:type="dxa"/>
            <w:gridSpan w:val="2"/>
            <w:noWrap w:val="0"/>
            <w:vAlign w:val="center"/>
          </w:tcPr>
          <w:p>
            <w:pPr>
              <w:shd w:val="clear" w:color="auto" w:fill="auto"/>
              <w:adjustRightInd w:val="0"/>
              <w:snapToGrid w:val="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政府采购信用担保</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olor w:val="auto"/>
                <w:szCs w:val="21"/>
                <w:highlight w:val="none"/>
              </w:rPr>
              <w:t>有投标担保、履约担保需求的，可向本附表附页4所列担保机构咨询或登陆中国湖南政府采购网查询，格式见附件4、附件5。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法律、法规、规章和省级以上财政部门规定的其他内容</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snapToGrid w:val="0"/>
                <w:color w:val="auto"/>
                <w:kern w:val="0"/>
                <w:sz w:val="21"/>
                <w:highlight w:val="none"/>
              </w:rPr>
              <w:t>请在财政部门指定媒体上查阅相关信息并及时填写。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八</w:t>
            </w:r>
            <w:r>
              <w:rPr>
                <w:rFonts w:hint="eastAsia" w:ascii="宋体" w:hAnsi="宋体" w:eastAsia="宋体" w:cs="宋体"/>
                <w:b/>
                <w:color w:val="auto"/>
                <w:szCs w:val="21"/>
                <w:highlight w:val="none"/>
              </w:rPr>
              <w:t>、其他规定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80</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本项目招标代理费用由</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人支付，</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人在中标通知书发出之前向招标代理机构一次性交纳招标代理服务费。招标代理服务费：</w:t>
            </w:r>
            <w:r>
              <w:rPr>
                <w:rFonts w:hint="eastAsia" w:ascii="宋体" w:hAnsi="宋体" w:cs="宋体"/>
                <w:color w:val="auto"/>
                <w:szCs w:val="21"/>
                <w:highlight w:val="none"/>
                <w:lang w:val="en-US" w:eastAsia="zh-CN"/>
              </w:rPr>
              <w:t>10000.00</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（2）招标代理服务费的币种：人民币。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第二章第41</w:t>
            </w:r>
            <w:r>
              <w:rPr>
                <w:rFonts w:hint="eastAsia" w:ascii="宋体" w:hAnsi="宋体" w:cs="宋体"/>
                <w:color w:val="auto"/>
                <w:szCs w:val="21"/>
                <w:highlight w:val="none"/>
                <w:lang w:val="en-US" w:eastAsia="zh-CN"/>
              </w:rPr>
              <w:t>.1</w:t>
            </w:r>
            <w:r>
              <w:rPr>
                <w:rFonts w:hint="eastAsia" w:ascii="宋体" w:hAnsi="宋体" w:eastAsia="宋体" w:cs="宋体"/>
                <w:color w:val="auto"/>
                <w:kern w:val="0"/>
                <w:szCs w:val="21"/>
                <w:highlight w:val="none"/>
                <w:lang w:val="zh-CN"/>
              </w:rPr>
              <w:t>款</w:t>
            </w:r>
          </w:p>
        </w:tc>
        <w:tc>
          <w:tcPr>
            <w:tcW w:w="1431"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其他规定</w:t>
            </w:r>
          </w:p>
        </w:tc>
        <w:tc>
          <w:tcPr>
            <w:tcW w:w="850" w:type="dxa"/>
            <w:tcBorders>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递交首次响应文件时应提交的资料</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参加磋商的供应商在提交</w:t>
            </w:r>
            <w:r>
              <w:rPr>
                <w:rFonts w:hint="eastAsia" w:ascii="宋体" w:hAnsi="宋体" w:cs="宋体"/>
                <w:color w:val="auto"/>
                <w:szCs w:val="21"/>
                <w:highlight w:val="none"/>
                <w:lang w:eastAsia="zh-CN"/>
              </w:rPr>
              <w:t>首次</w:t>
            </w:r>
            <w:r>
              <w:rPr>
                <w:rFonts w:hint="eastAsia" w:ascii="宋体" w:hAnsi="宋体" w:eastAsia="宋体" w:cs="宋体"/>
                <w:color w:val="auto"/>
                <w:szCs w:val="21"/>
                <w:highlight w:val="none"/>
                <w:lang w:eastAsia="zh-CN"/>
              </w:rPr>
              <w:t>响应文件时应同时提交以下资料（装袋单独提交）：</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）法定代表人身份证明或附法定代表人身份证明的法定代表人授权委托书原件；</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）投标代表身份证原件；</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）供应商</w:t>
            </w:r>
            <w:r>
              <w:rPr>
                <w:rFonts w:hint="eastAsia" w:ascii="宋体" w:hAnsi="宋体" w:eastAsia="宋体" w:cs="宋体"/>
                <w:b/>
                <w:bCs/>
                <w:color w:val="auto"/>
                <w:szCs w:val="21"/>
                <w:highlight w:val="none"/>
                <w:lang w:eastAsia="zh-CN"/>
              </w:rPr>
              <w:t>资格审查表（附表</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lang w:eastAsia="zh-CN"/>
              </w:rPr>
              <w:t>中及评</w:t>
            </w:r>
            <w:r>
              <w:rPr>
                <w:rFonts w:hint="eastAsia" w:ascii="宋体" w:hAnsi="宋体" w:cs="宋体"/>
                <w:color w:val="auto"/>
                <w:szCs w:val="21"/>
                <w:highlight w:val="none"/>
                <w:lang w:eastAsia="zh-CN"/>
              </w:rPr>
              <w:t>审</w:t>
            </w:r>
            <w:r>
              <w:rPr>
                <w:rFonts w:hint="eastAsia" w:ascii="宋体" w:hAnsi="宋体" w:eastAsia="宋体" w:cs="宋体"/>
                <w:color w:val="auto"/>
                <w:szCs w:val="21"/>
                <w:highlight w:val="none"/>
                <w:lang w:eastAsia="zh-CN"/>
              </w:rPr>
              <w:t>时可能用到的加分项目的证明材料原件（如有，详见</w:t>
            </w:r>
            <w:r>
              <w:rPr>
                <w:rFonts w:hint="eastAsia" w:ascii="宋体" w:hAnsi="宋体" w:cs="宋体"/>
                <w:color w:val="auto"/>
                <w:szCs w:val="21"/>
                <w:highlight w:val="none"/>
                <w:lang w:val="en-US" w:eastAsia="zh-CN"/>
              </w:rPr>
              <w:t>3.7</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评分细则</w:t>
            </w:r>
            <w:r>
              <w:rPr>
                <w:rFonts w:hint="eastAsia" w:ascii="宋体" w:hAnsi="宋体" w:eastAsia="宋体" w:cs="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9687" w:type="dxa"/>
            <w:gridSpan w:val="6"/>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三</w:t>
            </w:r>
            <w:r>
              <w:rPr>
                <w:rFonts w:hint="eastAsia" w:ascii="宋体" w:hAnsi="宋体" w:eastAsia="宋体" w:cs="宋体"/>
                <w:b/>
                <w:bCs/>
                <w:color w:val="auto"/>
                <w:szCs w:val="21"/>
                <w:highlight w:val="none"/>
              </w:rPr>
              <w:t xml:space="preserve">章  </w:t>
            </w:r>
            <w:r>
              <w:rPr>
                <w:rFonts w:hint="eastAsia" w:ascii="宋体" w:hAnsi="宋体" w:eastAsia="宋体" w:cs="宋体"/>
                <w:b/>
                <w:bCs/>
                <w:color w:val="auto"/>
                <w:szCs w:val="21"/>
                <w:highlight w:val="none"/>
                <w:lang w:eastAsia="zh-CN"/>
              </w:rPr>
              <w:t>资格审查</w:t>
            </w:r>
            <w:r>
              <w:rPr>
                <w:rFonts w:hint="eastAsia" w:ascii="宋体" w:hAnsi="宋体" w:eastAsia="宋体" w:cs="宋体"/>
                <w:b/>
                <w:color w:val="auto"/>
                <w:szCs w:val="21"/>
                <w:highlight w:val="none"/>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811" w:type="dxa"/>
            <w:noWrap w:val="0"/>
            <w:vAlign w:val="center"/>
          </w:tcPr>
          <w:p>
            <w:pPr>
              <w:shd w:val="clear" w:color="auto" w:fill="auto"/>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第三章第</w:t>
            </w:r>
            <w:r>
              <w:rPr>
                <w:rFonts w:hint="eastAsia" w:ascii="宋体" w:hAnsi="宋体" w:cs="宋体"/>
                <w:color w:val="auto"/>
                <w:szCs w:val="21"/>
                <w:highlight w:val="none"/>
                <w:lang w:val="en-US" w:eastAsia="zh-CN"/>
              </w:rPr>
              <w:t>2.1款</w:t>
            </w:r>
          </w:p>
        </w:tc>
        <w:tc>
          <w:tcPr>
            <w:tcW w:w="1431"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供应商资格审查</w:t>
            </w:r>
          </w:p>
        </w:tc>
        <w:tc>
          <w:tcPr>
            <w:tcW w:w="6445" w:type="dxa"/>
            <w:gridSpan w:val="4"/>
            <w:tcBorders>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szCs w:val="21"/>
              </w:rPr>
              <w:t>项目开标结束后，采购人或者采购代理机构依法按照资格审查规定</w:t>
            </w:r>
            <w:r>
              <w:rPr>
                <w:rFonts w:hint="eastAsia" w:ascii="宋体" w:hAnsi="宋体"/>
                <w:szCs w:val="21"/>
                <w:lang w:eastAsia="zh-CN"/>
              </w:rPr>
              <w:t>在开标室</w:t>
            </w:r>
            <w:r>
              <w:rPr>
                <w:rFonts w:hint="eastAsia" w:ascii="宋体" w:hAnsi="宋体"/>
                <w:szCs w:val="21"/>
              </w:rPr>
              <w:t>组织资格审查；资格审查结束后，采购人及采购代理机构应将资格审查结果告知磋商小组。资格审查不合格投标人不得进入</w:t>
            </w:r>
            <w:r>
              <w:rPr>
                <w:rFonts w:hint="eastAsia" w:ascii="宋体" w:hAnsi="宋体" w:eastAsia="宋体" w:cs="宋体"/>
                <w:color w:val="auto"/>
                <w:sz w:val="21"/>
                <w:szCs w:val="21"/>
                <w:highlight w:val="none"/>
                <w:lang w:eastAsia="zh-CN"/>
              </w:rPr>
              <w:t>磋商</w:t>
            </w:r>
            <w:r>
              <w:rPr>
                <w:rFonts w:hint="eastAsia" w:ascii="宋体" w:hAnsi="宋体"/>
                <w:szCs w:val="21"/>
              </w:rPr>
              <w:t>；资格审查合格投标人少于3家的，不得</w:t>
            </w:r>
            <w:r>
              <w:rPr>
                <w:rFonts w:hint="eastAsia" w:ascii="宋体" w:hAnsi="宋体" w:eastAsia="宋体" w:cs="宋体"/>
                <w:color w:val="auto"/>
                <w:sz w:val="21"/>
                <w:szCs w:val="21"/>
                <w:highlight w:val="none"/>
                <w:lang w:eastAsia="zh-CN"/>
              </w:rPr>
              <w:t>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6" w:hRule="atLeast"/>
          <w:jc w:val="center"/>
        </w:trPr>
        <w:tc>
          <w:tcPr>
            <w:tcW w:w="1811" w:type="dxa"/>
            <w:noWrap w:val="0"/>
            <w:vAlign w:val="center"/>
          </w:tcPr>
          <w:p>
            <w:pPr>
              <w:shd w:val="clear" w:color="auto" w:fill="auto"/>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第三章第</w:t>
            </w:r>
            <w:r>
              <w:rPr>
                <w:rFonts w:hint="eastAsia" w:ascii="宋体" w:hAnsi="宋体" w:cs="宋体"/>
                <w:color w:val="auto"/>
                <w:szCs w:val="21"/>
                <w:highlight w:val="none"/>
                <w:lang w:val="en-US" w:eastAsia="zh-CN"/>
              </w:rPr>
              <w:t>2.4款</w:t>
            </w:r>
          </w:p>
        </w:tc>
        <w:tc>
          <w:tcPr>
            <w:tcW w:w="1431"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信用记录</w:t>
            </w:r>
          </w:p>
        </w:tc>
        <w:tc>
          <w:tcPr>
            <w:tcW w:w="6445" w:type="dxa"/>
            <w:gridSpan w:val="4"/>
            <w:tcBorders>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资格审查时，采购人、采购代理机构将对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信用记录进行甄别。</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（1）信用信息查询的查询渠道：信用中国网（www.creditchina.gov.cn）、中国政府采购网（www.ccgp.gov.cn）；</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（2）不良信用记录是指：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在“信用中国”网站被列入失信被执行人和重大税收违法案件当事人名单，或在“中国政府采购网”网站被列入政府采购严重违法失信行为记录名单。</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有上述不良信用记录的，其</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无效，其中，列入政府采购严重违法失信行为记录名单的，按处罚结果执行。</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（3）联合体形式</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的，联合体成员存在不良信用记录的，视同联合体存在不良信用记录。</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（4）信用信息查询记录和证据留存具体方式：采购人、采购代理机构经办人将查询网页截图、打印、签字，作为查询记录和证据，与其他采购文件一并保存。</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不良信用记录以采购人、采购代理机构查询结果为准。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9687" w:type="dxa"/>
            <w:gridSpan w:val="6"/>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四</w:t>
            </w:r>
            <w:r>
              <w:rPr>
                <w:rFonts w:hint="eastAsia" w:ascii="宋体" w:hAnsi="宋体" w:eastAsia="宋体" w:cs="宋体"/>
                <w:b/>
                <w:bCs/>
                <w:color w:val="auto"/>
                <w:szCs w:val="21"/>
                <w:highlight w:val="none"/>
              </w:rPr>
              <w:t>章  评审方法及标准</w:t>
            </w:r>
            <w:r>
              <w:rPr>
                <w:rFonts w:hint="eastAsia" w:ascii="宋体" w:hAnsi="宋体" w:eastAsia="宋体" w:cs="宋体"/>
                <w:b/>
                <w:color w:val="auto"/>
                <w:szCs w:val="21"/>
                <w:highlight w:val="none"/>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章第2.2</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评审因素和标准</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详见“</w:t>
            </w:r>
            <w:r>
              <w:rPr>
                <w:rFonts w:hint="eastAsia" w:ascii="宋体" w:hAnsi="宋体" w:eastAsia="宋体" w:cs="宋体"/>
                <w:color w:val="auto"/>
                <w:szCs w:val="21"/>
                <w:highlight w:val="none"/>
              </w:rPr>
              <w:t>第三章 评审办法及标准</w:t>
            </w:r>
            <w:r>
              <w:rPr>
                <w:rFonts w:hint="eastAsia" w:ascii="宋体" w:hAnsi="宋体" w:eastAsia="宋体" w:cs="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811" w:type="dxa"/>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章第2.3</w:t>
            </w:r>
            <w:r>
              <w:rPr>
                <w:rFonts w:hint="eastAsia" w:ascii="宋体" w:hAnsi="宋体" w:eastAsia="宋体" w:cs="宋体"/>
                <w:color w:val="auto"/>
                <w:kern w:val="0"/>
                <w:szCs w:val="21"/>
                <w:highlight w:val="none"/>
                <w:lang w:val="zh-CN"/>
              </w:rPr>
              <w:t>款</w:t>
            </w:r>
          </w:p>
        </w:tc>
        <w:tc>
          <w:tcPr>
            <w:tcW w:w="2281" w:type="dxa"/>
            <w:gridSpan w:val="2"/>
            <w:vMerge w:val="restart"/>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权值</w:t>
            </w: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序号</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权值的取值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lang w:eastAsia="zh-CN"/>
              </w:rPr>
              <w:t>报价</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default" w:eastAsia="宋体"/>
                <w:color w:val="auto"/>
                <w:highlight w:val="none"/>
                <w:lang w:val="en-US" w:eastAsia="zh-CN"/>
              </w:rPr>
            </w:pPr>
            <w:r>
              <w:rPr>
                <w:rFonts w:hint="eastAsia"/>
                <w:color w:val="auto"/>
                <w:highlight w:val="none"/>
                <w:lang w:val="en-US" w:eastAsia="zh-CN"/>
              </w:rPr>
              <w:t>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2</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技术部分</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default" w:eastAsia="宋体"/>
                <w:color w:val="auto"/>
                <w:highlight w:val="none"/>
                <w:lang w:val="en-US" w:eastAsia="zh-CN"/>
              </w:rPr>
            </w:pPr>
            <w:r>
              <w:rPr>
                <w:rFonts w:hint="eastAsia"/>
                <w:color w:val="auto"/>
                <w:highlight w:val="none"/>
                <w:lang w:val="en-US" w:eastAsia="zh-CN"/>
              </w:rPr>
              <w:t>0.46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3</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lang w:eastAsia="zh-CN"/>
              </w:rPr>
              <w:t>商务部分</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default" w:eastAsia="宋体"/>
                <w:color w:val="auto"/>
                <w:highlight w:val="none"/>
                <w:lang w:val="en-US" w:eastAsia="zh-CN"/>
              </w:rPr>
            </w:pPr>
            <w:r>
              <w:rPr>
                <w:rFonts w:hint="eastAsia"/>
                <w:color w:val="auto"/>
                <w:highlight w:val="none"/>
                <w:lang w:val="en-US" w:eastAsia="zh-CN"/>
              </w:rPr>
              <w:t>0.14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3715" w:type="dxa"/>
            <w:gridSpan w:val="2"/>
            <w:noWrap w:val="0"/>
            <w:vAlign w:val="top"/>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color w:val="auto"/>
                <w:highlight w:val="none"/>
              </w:rPr>
            </w:pPr>
            <w:r>
              <w:rPr>
                <w:rFonts w:hint="eastAsia" w:ascii="宋体" w:hAnsi="宋体" w:eastAsia="宋体" w:cs="宋体"/>
                <w:color w:val="auto"/>
                <w:kern w:val="0"/>
                <w:szCs w:val="21"/>
                <w:highlight w:val="none"/>
              </w:rPr>
              <w:t>∑(1+2+3)=1</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eastAsia="宋体"/>
                <w:color w:val="auto"/>
                <w:highlight w:val="none"/>
                <w:lang w:val="en-US" w:eastAsia="zh-CN"/>
              </w:rPr>
            </w:pPr>
            <w:r>
              <w:rPr>
                <w:rFonts w:hint="eastAsia"/>
                <w:color w:val="auto"/>
                <w:highlight w:val="none"/>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章第4.2</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推荐的成交候选人数量</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3家</w:t>
            </w:r>
            <w:r>
              <w:rPr>
                <w:rFonts w:hint="eastAsia" w:ascii="宋体" w:hAnsi="宋体" w:cs="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9687" w:type="dxa"/>
            <w:gridSpan w:val="6"/>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五</w:t>
            </w:r>
            <w:r>
              <w:rPr>
                <w:rFonts w:hint="eastAsia" w:ascii="宋体" w:hAnsi="宋体" w:eastAsia="宋体" w:cs="宋体"/>
                <w:b/>
                <w:bCs/>
                <w:color w:val="auto"/>
                <w:szCs w:val="21"/>
                <w:highlight w:val="none"/>
              </w:rPr>
              <w:t xml:space="preserve">章  </w:t>
            </w:r>
            <w:r>
              <w:rPr>
                <w:rFonts w:hint="eastAsia" w:ascii="宋体" w:hAnsi="宋体" w:eastAsia="宋体" w:cs="宋体"/>
                <w:b/>
                <w:bCs/>
                <w:color w:val="auto"/>
                <w:szCs w:val="21"/>
                <w:highlight w:val="none"/>
                <w:lang w:eastAsia="zh-CN"/>
              </w:rPr>
              <w:t>政府采购合同</w:t>
            </w:r>
            <w:r>
              <w:rPr>
                <w:rFonts w:hint="eastAsia" w:ascii="宋体" w:hAnsi="宋体" w:eastAsia="宋体" w:cs="宋体"/>
                <w:b/>
                <w:color w:val="auto"/>
                <w:szCs w:val="21"/>
                <w:highlight w:val="none"/>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9687" w:type="dxa"/>
            <w:gridSpan w:val="6"/>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auto"/>
                <w:szCs w:val="21"/>
                <w:highlight w:val="none"/>
                <w:u w:val="single"/>
                <w:lang w:eastAsia="zh-CN"/>
              </w:rPr>
            </w:pPr>
            <w:r>
              <w:rPr>
                <w:rFonts w:hint="eastAsia" w:ascii="宋体" w:hAnsi="宋体" w:cs="宋体"/>
                <w:b/>
                <w:bCs/>
                <w:color w:val="auto"/>
                <w:szCs w:val="21"/>
                <w:highlight w:val="none"/>
                <w:u w:val="none"/>
                <w:lang w:eastAsia="zh-CN"/>
              </w:rPr>
              <w:t>第二节</w:t>
            </w:r>
            <w:r>
              <w:rPr>
                <w:rFonts w:hint="eastAsia" w:ascii="宋体" w:hAnsi="宋体" w:cs="宋体"/>
                <w:b/>
                <w:bCs/>
                <w:color w:val="auto"/>
                <w:szCs w:val="21"/>
                <w:highlight w:val="none"/>
                <w:u w:val="none"/>
                <w:lang w:val="en-US" w:eastAsia="zh-CN"/>
              </w:rPr>
              <w:t xml:space="preserve"> </w:t>
            </w:r>
            <w:r>
              <w:rPr>
                <w:rFonts w:hint="eastAsia" w:ascii="宋体" w:hAnsi="宋体" w:cs="宋体"/>
                <w:b/>
                <w:bCs/>
                <w:color w:val="auto"/>
                <w:szCs w:val="21"/>
                <w:highlight w:val="none"/>
                <w:u w:val="none"/>
                <w:lang w:eastAsia="zh-CN"/>
              </w:rPr>
              <w:t>合同条款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 xml:space="preserve">甲方名称、地址 </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ascii="宋体" w:hAnsi="宋体" w:eastAsia="宋体"/>
                <w:color w:val="auto"/>
                <w:szCs w:val="21"/>
                <w:highlight w:val="none"/>
              </w:rPr>
            </w:pPr>
            <w:r>
              <w:rPr>
                <w:rFonts w:hint="eastAsia" w:ascii="宋体" w:hAnsi="宋体" w:eastAsia="宋体"/>
                <w:color w:val="auto"/>
                <w:szCs w:val="21"/>
                <w:highlight w:val="none"/>
              </w:rPr>
              <w:t>名 称：</w:t>
            </w:r>
            <w:r>
              <w:rPr>
                <w:rFonts w:hint="eastAsia" w:asciiTheme="majorEastAsia" w:hAnsiTheme="majorEastAsia" w:eastAsiaTheme="majorEastAsia" w:cstheme="majorEastAsia"/>
                <w:color w:val="auto"/>
                <w:lang w:val="en-US" w:eastAsia="zh-CN"/>
              </w:rPr>
              <w:t>湖南省茶陵县湖口镇梅林村村民委员会</w:t>
            </w:r>
            <w:r>
              <w:rPr>
                <w:rFonts w:hint="eastAsia" w:ascii="宋体" w:hAnsi="宋体" w:eastAsia="宋体"/>
                <w:color w:val="auto"/>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olor w:val="auto"/>
                <w:szCs w:val="21"/>
                <w:highlight w:val="none"/>
              </w:rPr>
              <w:t>地 址：</w:t>
            </w:r>
            <w:r>
              <w:rPr>
                <w:rFonts w:hint="eastAsia" w:asciiTheme="majorEastAsia" w:hAnsiTheme="majorEastAsia" w:eastAsiaTheme="majorEastAsia" w:cstheme="majorEastAsia"/>
                <w:color w:val="auto"/>
                <w:lang w:val="en-US" w:eastAsia="zh-CN"/>
              </w:rPr>
              <w:t>茶陵县湖口镇梅林村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项目现场</w:t>
            </w:r>
          </w:p>
        </w:tc>
        <w:tc>
          <w:tcPr>
            <w:tcW w:w="5595" w:type="dxa"/>
            <w:gridSpan w:val="3"/>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Autospacing="0" w:after="0" w:afterAutospacing="0" w:line="400" w:lineRule="exact"/>
              <w:ind w:right="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heme="majorEastAsia" w:hAnsiTheme="majorEastAsia" w:eastAsiaTheme="majorEastAsia" w:cstheme="majorEastAsia"/>
                <w:color w:val="auto"/>
                <w:lang w:val="en-US" w:eastAsia="zh-CN"/>
              </w:rPr>
              <w:t>茶陵县湖口镇梅林村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履行合同的时间、地点及方式</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lang w:eastAsia="zh-CN"/>
              </w:rPr>
              <w:t>工期</w:t>
            </w:r>
            <w:r>
              <w:rPr>
                <w:rFonts w:hint="eastAsia" w:ascii="宋体" w:hAnsi="宋体"/>
                <w:color w:val="auto"/>
                <w:szCs w:val="21"/>
                <w:highlight w:val="none"/>
              </w:rPr>
              <w:t>：</w:t>
            </w:r>
            <w:r>
              <w:rPr>
                <w:rFonts w:hint="eastAsia" w:ascii="宋体" w:hAnsi="宋体" w:cs="宋体"/>
                <w:color w:val="auto"/>
                <w:sz w:val="21"/>
                <w:szCs w:val="21"/>
                <w:highlight w:val="none"/>
                <w:u w:val="single"/>
                <w:lang w:val="en-US" w:eastAsia="zh-CN"/>
              </w:rPr>
              <w:t>3个月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Autospacing="0" w:after="0" w:afterAutospacing="0" w:line="400" w:lineRule="exact"/>
              <w:ind w:right="0"/>
              <w:jc w:val="left"/>
              <w:textAlignment w:val="auto"/>
              <w:rPr>
                <w:rFonts w:ascii="宋体" w:hAnsi="宋体"/>
                <w:color w:val="auto"/>
                <w:szCs w:val="21"/>
                <w:highlight w:val="none"/>
              </w:rPr>
            </w:pPr>
            <w:r>
              <w:rPr>
                <w:rFonts w:hint="eastAsia" w:ascii="宋体" w:hAnsi="宋体"/>
                <w:color w:val="auto"/>
                <w:szCs w:val="21"/>
                <w:highlight w:val="none"/>
              </w:rPr>
              <w:t>地点：</w:t>
            </w:r>
            <w:r>
              <w:rPr>
                <w:rFonts w:hint="eastAsia" w:asciiTheme="majorEastAsia" w:hAnsiTheme="majorEastAsia" w:eastAsiaTheme="majorEastAsia" w:cstheme="majorEastAsia"/>
                <w:color w:val="auto"/>
                <w:lang w:val="en-US" w:eastAsia="zh-CN"/>
              </w:rPr>
              <w:t>茶陵县湖口镇梅林村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Autospacing="0" w:after="0" w:afterAutospacing="0" w:line="400" w:lineRule="exact"/>
              <w:ind w:right="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方式：</w:t>
            </w:r>
            <w:r>
              <w:rPr>
                <w:rFonts w:hint="eastAsia" w:ascii="宋体" w:hAnsi="宋体" w:eastAsia="宋体" w:cs="宋体"/>
                <w:color w:val="auto"/>
                <w:sz w:val="21"/>
                <w:szCs w:val="21"/>
                <w:highlight w:val="none"/>
              </w:rPr>
              <w:t>本工程采取包工、包料、包工期、包质量、包验收合格、包现场安全文明施工、包安全并从开工到竣工验收交付、工程保修等全过程的总承包方式</w:t>
            </w:r>
            <w:r>
              <w:rPr>
                <w:rFonts w:hint="eastAsia" w:ascii="宋体" w:hAnsi="宋体" w:cs="宋体"/>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质量保证</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highlight w:val="none"/>
                <w:lang w:eastAsia="zh-CN"/>
              </w:rPr>
              <w:t>按国家现行</w:t>
            </w:r>
            <w:r>
              <w:rPr>
                <w:rFonts w:hint="eastAsia" w:ascii="宋体" w:hAnsi="宋体" w:eastAsia="宋体" w:cs="宋体"/>
                <w:color w:val="auto"/>
                <w:highlight w:val="none"/>
              </w:rPr>
              <w:t>有关规定保修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合同价款支付方式</w:t>
            </w:r>
            <w:r>
              <w:rPr>
                <w:rFonts w:hint="eastAsia" w:ascii="宋体" w:hAnsi="宋体"/>
                <w:bCs/>
                <w:color w:val="auto"/>
                <w:szCs w:val="21"/>
                <w:highlight w:val="none"/>
              </w:rPr>
              <w:t>和条件</w:t>
            </w:r>
          </w:p>
        </w:tc>
        <w:tc>
          <w:tcPr>
            <w:tcW w:w="55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kern w:val="2"/>
                <w:sz w:val="21"/>
                <w:szCs w:val="21"/>
                <w:highlight w:val="none"/>
                <w:lang w:val="en-US" w:eastAsia="zh-CN" w:bidi="ar-SA"/>
              </w:rPr>
            </w:pPr>
            <w:r>
              <w:rPr>
                <w:rFonts w:ascii="宋体" w:hAnsi="宋体" w:eastAsia="宋体"/>
                <w:b/>
                <w:bCs/>
                <w:color w:val="auto"/>
                <w:sz w:val="21"/>
              </w:rPr>
              <w:t>本项目</w:t>
            </w:r>
            <w:r>
              <w:rPr>
                <w:rFonts w:hint="eastAsia" w:ascii="宋体" w:hAnsi="宋体" w:eastAsia="宋体"/>
                <w:b/>
                <w:bCs/>
                <w:color w:val="auto"/>
                <w:sz w:val="21"/>
                <w:lang w:eastAsia="zh-CN"/>
              </w:rPr>
              <w:t>竣工验收后支付合同金额的</w:t>
            </w:r>
            <w:r>
              <w:rPr>
                <w:rFonts w:hint="eastAsia" w:ascii="宋体" w:hAnsi="宋体" w:eastAsia="宋体"/>
                <w:b/>
                <w:bCs/>
                <w:color w:val="auto"/>
                <w:sz w:val="21"/>
                <w:lang w:val="en-US" w:eastAsia="zh-CN"/>
              </w:rPr>
              <w:t>70%，工程完工结算</w:t>
            </w:r>
            <w:r>
              <w:rPr>
                <w:rFonts w:hint="eastAsia" w:ascii="宋体" w:hAnsi="宋体"/>
                <w:b/>
                <w:bCs/>
                <w:color w:val="auto"/>
                <w:sz w:val="21"/>
                <w:lang w:val="en-US" w:eastAsia="zh-CN"/>
              </w:rPr>
              <w:t>审计</w:t>
            </w:r>
            <w:r>
              <w:rPr>
                <w:rFonts w:hint="eastAsia" w:ascii="宋体" w:hAnsi="宋体" w:eastAsia="宋体"/>
                <w:b/>
                <w:bCs/>
                <w:color w:val="auto"/>
                <w:sz w:val="21"/>
                <w:lang w:val="en-US" w:eastAsia="zh-CN"/>
              </w:rPr>
              <w:t>后，支付合同金额的95%；剩余5%作为质量保证金。</w:t>
            </w:r>
            <w:r>
              <w:rPr>
                <w:rFonts w:hint="eastAsia" w:ascii="宋体" w:hAnsi="宋体"/>
                <w:b/>
                <w:bCs/>
                <w:color w:val="auto"/>
                <w:sz w:val="21"/>
                <w:lang w:val="en-US" w:eastAsia="zh-CN"/>
              </w:rPr>
              <w:t>竣工验收</w:t>
            </w:r>
            <w:r>
              <w:rPr>
                <w:rFonts w:hint="eastAsia" w:ascii="宋体" w:hAnsi="宋体" w:eastAsia="宋体"/>
                <w:b/>
                <w:bCs/>
                <w:color w:val="auto"/>
                <w:sz w:val="21"/>
                <w:lang w:val="en-US" w:eastAsia="zh-CN"/>
              </w:rPr>
              <w:t>一年后，如无质量问题，质量保证金一次性</w:t>
            </w:r>
            <w:r>
              <w:rPr>
                <w:rFonts w:hint="eastAsia" w:ascii="宋体" w:hAnsi="宋体"/>
                <w:b/>
                <w:bCs/>
                <w:color w:val="auto"/>
                <w:sz w:val="21"/>
                <w:lang w:val="en-US" w:eastAsia="zh-CN"/>
              </w:rPr>
              <w:t>无息付清</w:t>
            </w:r>
            <w:r>
              <w:rPr>
                <w:rFonts w:hint="eastAsia" w:ascii="宋体" w:hAnsi="宋体" w:eastAsia="宋体"/>
                <w:b/>
                <w:bCs/>
                <w:color w:val="auto"/>
                <w:sz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乙方提供的其他服务</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详见第</w:t>
            </w:r>
            <w:r>
              <w:rPr>
                <w:rFonts w:hint="eastAsia" w:ascii="宋体" w:hAnsi="宋体" w:cs="宋体"/>
                <w:color w:val="auto"/>
                <w:szCs w:val="21"/>
                <w:highlight w:val="none"/>
                <w:lang w:eastAsia="zh-CN"/>
              </w:rPr>
              <w:t>六</w:t>
            </w:r>
            <w:r>
              <w:rPr>
                <w:rFonts w:hint="eastAsia" w:ascii="宋体" w:hAnsi="宋体" w:cs="宋体"/>
                <w:color w:val="auto"/>
                <w:szCs w:val="21"/>
                <w:highlight w:val="none"/>
              </w:rPr>
              <w:t>章 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解决争议的方式</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诉讼</w:t>
            </w:r>
            <w:r>
              <w:rPr>
                <w:rFonts w:hint="eastAsia" w:ascii="宋体" w:hAnsi="宋体" w:cs="宋体"/>
                <w:color w:val="auto"/>
                <w:szCs w:val="21"/>
                <w:highlight w:val="none"/>
              </w:rPr>
              <w:t>（采购人所在地人民法院）</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 xml:space="preserve">□ 仲裁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bCs/>
                <w:color w:val="auto"/>
                <w:szCs w:val="21"/>
                <w:highlight w:val="none"/>
              </w:rPr>
              <w:t>合同未尽事项</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双方协商解决</w:t>
            </w:r>
          </w:p>
        </w:tc>
      </w:tr>
    </w:tbl>
    <w:p>
      <w:pPr>
        <w:pStyle w:val="39"/>
        <w:rPr>
          <w:rFonts w:hint="eastAsia"/>
          <w:color w:val="auto"/>
        </w:rPr>
      </w:pPr>
    </w:p>
    <w:p>
      <w:pPr>
        <w:pStyle w:val="39"/>
        <w:rPr>
          <w:rFonts w:hint="eastAsia"/>
          <w:color w:val="auto"/>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p>
    <w:p>
      <w:pP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附件1</w:t>
      </w:r>
    </w:p>
    <w:p>
      <w:pPr>
        <w:adjustRightInd w:val="0"/>
        <w:snapToGrid w:val="0"/>
        <w:spacing w:line="36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株洲市政府采购合同线上融资流程</w:t>
      </w:r>
    </w:p>
    <w:p>
      <w:pPr>
        <w:spacing w:line="360" w:lineRule="auto"/>
        <w:ind w:left="400"/>
        <w:rPr>
          <w:rFonts w:hint="eastAsia" w:asciiTheme="majorEastAsia" w:hAnsiTheme="majorEastAsia" w:eastAsiaTheme="majorEastAsia" w:cstheme="majorEastAsia"/>
          <w:b/>
          <w:color w:val="auto"/>
          <w:szCs w:val="21"/>
        </w:rPr>
      </w:pP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（一）、融资申请 </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有融资需求的供应商取得《中标通知书》后，在签订采购合同前，通过“株洲市政府采购网”的“政府采购合同融资”链接进入“中征应收账款融资服务平台”，直接向参与金融机构推送融资需求。</w:t>
      </w:r>
    </w:p>
    <w:p>
      <w:pPr>
        <w:spacing w:line="360" w:lineRule="auto"/>
        <w:ind w:firstLine="316" w:firstLineChars="15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（二）、资料审查 </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参与金融机构登录平台查看融资需求及中标（或成交）详情，进行贷前评审，确定融资方案和回款账户，签订《政府采购合同》，确定合同收款账户。</w:t>
      </w: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（三）、签订贷款协议</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参与金融机构登录平台查看采购合同信息，与供应商签订贷款协议，在线填写融资成交单，推送融资成交信息，系统自动将回款账户锁定为银行监管账户。</w:t>
      </w:r>
    </w:p>
    <w:p>
      <w:pPr>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（四）、贷款发放</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融资银行核实回款账户无误后，根据贷款协议向供应商发放贷款。</w:t>
      </w: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（五）、按期还款</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合同履行完毕后，采购单位根据合同约定时间和账户在线填写支付申请，向财政部门发送支付指令，财政部门严格按照相关规定将资金支付到采购合同收款账户。</w:t>
      </w: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（六 ）、业务终止</w:t>
      </w:r>
    </w:p>
    <w:p>
      <w:pPr>
        <w:spacing w:line="360" w:lineRule="auto"/>
        <w:ind w:left="4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贷款偿清后，融资银行解除质押，业务终止。</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br w:type="page"/>
      </w:r>
      <w:r>
        <w:rPr>
          <w:rFonts w:hint="eastAsia" w:asciiTheme="majorEastAsia" w:hAnsiTheme="majorEastAsia" w:eastAsiaTheme="majorEastAsia" w:cstheme="majorEastAsia"/>
          <w:color w:val="auto"/>
        </w:rPr>
        <w:drawing>
          <wp:inline distT="0" distB="0" distL="114300" distR="114300">
            <wp:extent cx="5193665" cy="7938770"/>
            <wp:effectExtent l="0" t="0" r="6985"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193665" cy="7938770"/>
                    </a:xfrm>
                    <a:prstGeom prst="rect">
                      <a:avLst/>
                    </a:prstGeom>
                    <a:noFill/>
                    <a:ln>
                      <a:noFill/>
                    </a:ln>
                  </pic:spPr>
                </pic:pic>
              </a:graphicData>
            </a:graphic>
          </wp:inline>
        </w:drawing>
      </w:r>
    </w:p>
    <w:p>
      <w:pPr>
        <w:adjustRightInd w:val="0"/>
        <w:snapToGrid w:val="0"/>
        <w:spacing w:line="360" w:lineRule="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color w:val="auto"/>
        </w:rPr>
        <w:br w:type="page"/>
      </w:r>
      <w:r>
        <w:rPr>
          <w:rFonts w:hint="eastAsia" w:asciiTheme="majorEastAsia" w:hAnsiTheme="majorEastAsia" w:eastAsiaTheme="majorEastAsia" w:cstheme="majorEastAsia"/>
          <w:bCs/>
          <w:color w:val="auto"/>
          <w:szCs w:val="21"/>
        </w:rPr>
        <w:t>附件3</w:t>
      </w:r>
    </w:p>
    <w:p>
      <w:pPr>
        <w:adjustRightInd w:val="0"/>
        <w:snapToGrid w:val="0"/>
        <w:spacing w:line="36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株洲市政府采购合同线上融资业务办理银行联系表</w:t>
      </w:r>
    </w:p>
    <w:tbl>
      <w:tblPr>
        <w:tblStyle w:val="20"/>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2770"/>
        <w:gridCol w:w="1675"/>
        <w:gridCol w:w="31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1097"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序  号</w:t>
            </w:r>
          </w:p>
        </w:tc>
        <w:tc>
          <w:tcPr>
            <w:tcW w:w="2770"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bCs/>
                <w:color w:val="auto"/>
                <w:sz w:val="18"/>
                <w:szCs w:val="18"/>
              </w:rPr>
              <w:t>银行名称</w:t>
            </w:r>
          </w:p>
        </w:tc>
        <w:tc>
          <w:tcPr>
            <w:tcW w:w="1675"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bCs/>
                <w:color w:val="auto"/>
                <w:sz w:val="18"/>
                <w:szCs w:val="18"/>
              </w:rPr>
              <w:t>联系人</w:t>
            </w:r>
          </w:p>
        </w:tc>
        <w:tc>
          <w:tcPr>
            <w:tcW w:w="3176"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bCs/>
                <w:color w:val="auto"/>
                <w:sz w:val="18"/>
                <w:szCs w:val="18"/>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交通银行株洲分行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蒋宁</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15873361819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长沙银行株洲分行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曾名志</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13786360080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3</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光大银行株洲分行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马文胜</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13907334569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4</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华融湘江银行株洲分行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泰莹</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18073365299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5</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工商银行株洲分行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易铁建</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18673383317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28295851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6</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农业银行株洲分行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张亚虹</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15873378583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7</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中国银行株洲分行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陈向红</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15096360998   28817118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8</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邮储银行株洲分行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李燕京</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18673322433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9</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兴业银行株洲分行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张维</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13807312821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2"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10</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渤海银行株洲分行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何习之</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18975347745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22987119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11</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浦发银行株洲分行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言磊</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13973319893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12</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广发银行株洲分行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张琳</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18565608267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28868158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13</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华夏银行株洲分行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程玥瑄</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18673301515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28868595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14</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民生银行株洲分行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刘海峰</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18273272755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28861002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15</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北京银行株洲分行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曾艳</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13087339502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25885569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16</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招商银行株洲分行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董经纬</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18273331270   22753977</w:t>
            </w:r>
          </w:p>
        </w:tc>
      </w:tr>
    </w:tbl>
    <w:p>
      <w:pPr>
        <w:rPr>
          <w:rFonts w:hint="eastAsia" w:asciiTheme="majorEastAsia" w:hAnsiTheme="majorEastAsia" w:eastAsiaTheme="majorEastAsia" w:cstheme="majorEastAsia"/>
          <w:color w:val="auto"/>
        </w:rPr>
      </w:pPr>
    </w:p>
    <w:p>
      <w:pPr>
        <w:adjustRightInd w:val="0"/>
        <w:snapToGrid w:val="0"/>
        <w:spacing w:line="360" w:lineRule="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br w:type="page"/>
      </w:r>
      <w:r>
        <w:rPr>
          <w:rFonts w:hint="eastAsia" w:asciiTheme="majorEastAsia" w:hAnsiTheme="majorEastAsia" w:eastAsiaTheme="majorEastAsia" w:cstheme="majorEastAsia"/>
          <w:bCs/>
          <w:color w:val="auto"/>
          <w:szCs w:val="21"/>
        </w:rPr>
        <w:t>附页4</w:t>
      </w:r>
    </w:p>
    <w:p>
      <w:pPr>
        <w:adjustRightInd w:val="0"/>
        <w:snapToGrid w:val="0"/>
        <w:spacing w:line="360" w:lineRule="auto"/>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政府采购投标担保函</w:t>
      </w:r>
    </w:p>
    <w:p>
      <w:pPr>
        <w:adjustRightInd w:val="0"/>
        <w:snapToGrid w:val="0"/>
        <w:spacing w:line="360" w:lineRule="auto"/>
        <w:ind w:firstLine="5670" w:firstLineChars="2700"/>
        <w:rPr>
          <w:rFonts w:hint="eastAsia" w:asciiTheme="majorEastAsia" w:hAnsiTheme="majorEastAsia" w:eastAsiaTheme="majorEastAsia" w:cstheme="majorEastAsia"/>
          <w:color w:val="auto"/>
          <w:szCs w:val="21"/>
        </w:rPr>
      </w:pPr>
    </w:p>
    <w:p>
      <w:pPr>
        <w:adjustRightInd w:val="0"/>
        <w:snapToGrid w:val="0"/>
        <w:spacing w:line="380" w:lineRule="exact"/>
        <w:ind w:firstLine="5670" w:firstLineChars="2700"/>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color w:val="auto"/>
          <w:szCs w:val="21"/>
        </w:rPr>
        <w:t>编号：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8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（采购代理机构）：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鉴于</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（以下简称投标人）拟参加编号为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的</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项目（以下简称“本项目”）投标，根据本项目招标文件，供应商参加投标时应向你方交纳投标保证金，且可以投标担保函的形式交纳投标保证金。应供应商的申请，我方以保证的方式向你方提供如下投标保证金担保： </w:t>
      </w:r>
    </w:p>
    <w:p>
      <w:pPr>
        <w:adjustRightInd w:val="0"/>
        <w:snapToGrid w:val="0"/>
        <w:spacing w:line="38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一、保证责任的情形及保证金额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（一）在投标人出现下列情形之一时，我方承担保证责任：</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1．中标后投标人无正当理由不与采购人或者采购代理机构签订《政府采购合同》；</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2．招标文件规定的投标人应当缴纳保证金的其他情形。</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（二）我方承担保证责任的最高金额为人民币</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元（大写</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），即本项目的投标保证金金额。</w:t>
      </w:r>
    </w:p>
    <w:p>
      <w:pPr>
        <w:adjustRightInd w:val="0"/>
        <w:snapToGrid w:val="0"/>
        <w:spacing w:line="380" w:lineRule="exact"/>
        <w:ind w:firstLine="422"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color w:val="auto"/>
          <w:szCs w:val="21"/>
        </w:rPr>
        <w:t>二、保证的方式及保证期间</w:t>
      </w:r>
      <w:r>
        <w:rPr>
          <w:rFonts w:hint="eastAsia" w:asciiTheme="majorEastAsia" w:hAnsiTheme="majorEastAsia" w:eastAsiaTheme="majorEastAsia" w:cstheme="majorEastAsia"/>
          <w:color w:val="auto"/>
          <w:szCs w:val="21"/>
        </w:rPr>
        <w:t xml:space="preserve">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我方保证的方式为：连带责任保证。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我方的保证期间为：自本保函生效之日起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个月止。</w:t>
      </w:r>
    </w:p>
    <w:p>
      <w:pPr>
        <w:adjustRightInd w:val="0"/>
        <w:snapToGrid w:val="0"/>
        <w:spacing w:line="38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三、承担保证责任的程序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2．我方在收到索赔通知及相关证明材料后，在</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个工作日内进行审查，符合应承担保证责任情形的，我方应按照你方的要求代投标人向你方支付投标保证金。 </w:t>
      </w:r>
    </w:p>
    <w:p>
      <w:pPr>
        <w:adjustRightInd w:val="0"/>
        <w:snapToGrid w:val="0"/>
        <w:spacing w:line="40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四、保证责任的终止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1．保证期间届满你方未向我方书面主张保证责任的，自保证期间届满次日起，我方保证责任自动终止。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2．我方按照本保函向你方履行了保证责任后，自我方向你方支付款项（支付款项从我方账户划出）之日起，保证责任终止。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3．按照法律法规的规定或出现我方保证责任终止的其它情形的，我方在本保函项下的保证责任亦终止。 </w:t>
      </w:r>
    </w:p>
    <w:p>
      <w:pPr>
        <w:adjustRightInd w:val="0"/>
        <w:snapToGrid w:val="0"/>
        <w:spacing w:line="40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五、免责条款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1．依照法律规定或你方与投标人的另行约定，全部或者部分免除投标人投标保证金义务时，我方亦免除相应的保证责任。</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2．因你方原因致使投标人发生本保函第一条第（一）款约定情形的，我方不承担保证责任。</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3．因不可抗力造成投标人发生本保函第一条约定情形的，我方不承担保证责任。</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4．你方或其他有权机关对招标文件进行任何澄清或修改，加重我方保证责任的，我方对加重部分不承担保证责任，但该澄清或修改经我方事先书面同意的除外。 </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六、争议的解决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因本保函发生的纠纷，由你我双方协商解决，协商不成的，通过诉讼程序解决，诉讼管辖地法院为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法院。</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七、保函的生效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本保函自我方加盖公章之日起生效。</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3780" w:firstLineChars="18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保证人：（公章）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备注：磋商文件规定接受“投标担保函”形式递交投标保证金的可以按上述格式递交，否则，按招标文件规定其他方式递交。</w:t>
      </w:r>
    </w:p>
    <w:p>
      <w:pPr>
        <w:adjustRightInd w:val="0"/>
        <w:snapToGrid w:val="0"/>
        <w:spacing w:line="360" w:lineRule="auto"/>
        <w:rPr>
          <w:rFonts w:hint="eastAsia" w:asciiTheme="majorEastAsia" w:hAnsiTheme="majorEastAsia" w:eastAsiaTheme="majorEastAsia" w:cstheme="majorEastAsia"/>
          <w:color w:val="auto"/>
        </w:rPr>
        <w:sectPr>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adjustRightInd w:val="0"/>
        <w:snapToGrid w:val="0"/>
        <w:spacing w:line="360" w:lineRule="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附页5</w:t>
      </w:r>
    </w:p>
    <w:p>
      <w:pPr>
        <w:adjustRightInd w:val="0"/>
        <w:snapToGrid w:val="0"/>
        <w:spacing w:line="360" w:lineRule="auto"/>
        <w:jc w:val="center"/>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sz w:val="28"/>
          <w:szCs w:val="28"/>
        </w:rPr>
        <w:t>政府采购履约担保函</w:t>
      </w:r>
    </w:p>
    <w:p>
      <w:pPr>
        <w:adjustRightInd w:val="0"/>
        <w:snapToGrid w:val="0"/>
        <w:spacing w:line="360" w:lineRule="auto"/>
        <w:ind w:firstLine="5040" w:firstLineChars="24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 xml:space="preserve">              编号：</w:t>
      </w:r>
      <w:r>
        <w:rPr>
          <w:rFonts w:hint="eastAsia" w:asciiTheme="majorEastAsia" w:hAnsiTheme="majorEastAsia" w:eastAsiaTheme="majorEastAsia" w:cstheme="majorEastAsia"/>
          <w:color w:val="auto"/>
          <w:kern w:val="0"/>
          <w:u w:val="single"/>
        </w:rPr>
        <w:t xml:space="preserve">              </w:t>
      </w:r>
    </w:p>
    <w:p>
      <w:pPr>
        <w:adjustRightInd w:val="0"/>
        <w:snapToGrid w:val="0"/>
        <w:spacing w:line="360" w:lineRule="auto"/>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 </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 xml:space="preserve">（采购人）：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鉴于你方与</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（以下简称供应商）于</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年</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月</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日签定编号为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的《</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政府采购合同》（以下简称主合同），且依据该合同的约定，供应商应在</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年</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月</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一、保证责任的情形及保证金额</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（一）在供应商出现下列情形之一时，我方承担保证责任：</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1．将中标项目转让给他人，或者在投标文件中未说明，且未经采购人同意，将中标项目分包给他人的；</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2．主合同约定的应当缴纳履约保证金的情形: </w:t>
      </w:r>
    </w:p>
    <w:p>
      <w:pPr>
        <w:adjustRightInd w:val="0"/>
        <w:snapToGrid w:val="0"/>
        <w:spacing w:line="360" w:lineRule="auto"/>
        <w:ind w:firstLine="420"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 xml:space="preserve">（1）未按主合同约定的质量、数量和期限供应货物/提供服务/完成工程的；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u w:val="single"/>
        </w:rPr>
      </w:pPr>
      <w:r>
        <w:rPr>
          <w:rFonts w:hint="eastAsia" w:asciiTheme="majorEastAsia" w:hAnsiTheme="majorEastAsia" w:eastAsiaTheme="majorEastAsia" w:cstheme="majorEastAsia"/>
          <w:color w:val="auto"/>
          <w:kern w:val="0"/>
        </w:rPr>
        <w:t>（2）</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（二）我方的保证范围是主合同约定的合同价款总额的</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%数额为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元（大写</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），币种为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。（即主合同履约保证金金额）</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 xml:space="preserve">二、保证的方式及保证期间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我方保证的方式为：连带责任保证。 </w:t>
      </w:r>
    </w:p>
    <w:p>
      <w:pPr>
        <w:adjustRightInd w:val="0"/>
        <w:snapToGrid w:val="0"/>
        <w:spacing w:line="360" w:lineRule="auto"/>
        <w:ind w:firstLine="388" w:firstLineChars="200"/>
        <w:rPr>
          <w:rFonts w:hint="eastAsia" w:asciiTheme="majorEastAsia" w:hAnsiTheme="majorEastAsia" w:eastAsiaTheme="majorEastAsia" w:cstheme="majorEastAsia"/>
          <w:color w:val="auto"/>
          <w:spacing w:val="-8"/>
          <w:kern w:val="0"/>
        </w:rPr>
      </w:pPr>
      <w:r>
        <w:rPr>
          <w:rFonts w:hint="eastAsia" w:asciiTheme="majorEastAsia" w:hAnsiTheme="majorEastAsia" w:eastAsiaTheme="majorEastAsia" w:cstheme="majorEastAsia"/>
          <w:color w:val="auto"/>
          <w:spacing w:val="-8"/>
          <w:kern w:val="0"/>
        </w:rPr>
        <w:t>我方保证的期间为：自本合同生效之日起至供应商按照主合同约定的供货/完工期限届满后</w:t>
      </w:r>
      <w:r>
        <w:rPr>
          <w:rFonts w:hint="eastAsia" w:asciiTheme="majorEastAsia" w:hAnsiTheme="majorEastAsia" w:eastAsiaTheme="majorEastAsia" w:cstheme="majorEastAsia"/>
          <w:color w:val="auto"/>
          <w:spacing w:val="-8"/>
          <w:kern w:val="0"/>
          <w:u w:val="single"/>
        </w:rPr>
        <w:t xml:space="preserve">    </w:t>
      </w:r>
      <w:r>
        <w:rPr>
          <w:rFonts w:hint="eastAsia" w:asciiTheme="majorEastAsia" w:hAnsiTheme="majorEastAsia" w:eastAsiaTheme="majorEastAsia" w:cstheme="majorEastAsia"/>
          <w:color w:val="auto"/>
          <w:spacing w:val="-8"/>
          <w:kern w:val="0"/>
        </w:rPr>
        <w:t>日内。</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如果供应商未按主合同约定向贵方供应货物/提供服务/完成工程的，由我方在保证金额内向你方支付上述款项。 </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三、承担保证责任的程序</w:t>
      </w:r>
    </w:p>
    <w:p>
      <w:pPr>
        <w:adjustRightInd w:val="0"/>
        <w:snapToGrid w:val="0"/>
        <w:spacing w:line="360" w:lineRule="auto"/>
        <w:ind w:firstLine="420"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 xml:space="preserve">1．你方要求我方承担保证责任的，应在本保函保证期间内向我方发出书面索赔通知。索赔通知应写明要求索赔的金额，支付款项应到达的帐号。并附有证明供应商违约事实的证明材料。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如果你方与供应商因货物质量问题产生争议，你方还需同时提供</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2．我方收到你方的书面索赔通知及相应证明材料，在</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工作日内进行核定后按照本保函的承诺承担保证责任。</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四、保证责任的终止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2．我方按照本保函向你方履行了保证责任后，自我方向你方支付款项（支付款项从我方账户划出）之日起，保证责任即终止。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3．按照法律法规的规定或出现应终止我方保证责任的其它情形的，我方在本保函项下的保证责任亦终止。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五、免责条款</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1．因你方违反主合同约定致使供应商不能履行义务的，我方不承担保证责任。</w:t>
      </w:r>
    </w:p>
    <w:p>
      <w:pPr>
        <w:adjustRightInd w:val="0"/>
        <w:snapToGrid w:val="0"/>
        <w:spacing w:line="360" w:lineRule="auto"/>
        <w:ind w:firstLine="420"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2．依照法律法规的规定或你方与供应商的另行约定，全部或者部分免除供应商应缴纳的保证金义务的，我方亦免除相应的保证责任。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3．因不可抗力造成供应商不能履行供货义务的，我方不承担保证责任。</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六、争议的解决</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因本保函发生的纠纷，由你我双方协商解决，协商不成的，通过诉讼程序解决，诉讼管辖地法院为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法院。</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 xml:space="preserve">七、保函的生效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本保函自我方加盖公章之日起生效。 </w:t>
      </w:r>
    </w:p>
    <w:p>
      <w:pPr>
        <w:adjustRightInd w:val="0"/>
        <w:snapToGrid w:val="0"/>
        <w:spacing w:line="360" w:lineRule="auto"/>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                                                      </w:t>
      </w:r>
    </w:p>
    <w:p>
      <w:pPr>
        <w:adjustRightInd w:val="0"/>
        <w:snapToGrid w:val="0"/>
        <w:spacing w:line="360" w:lineRule="auto"/>
        <w:rPr>
          <w:rFonts w:hint="eastAsia" w:asciiTheme="majorEastAsia" w:hAnsiTheme="majorEastAsia" w:eastAsiaTheme="majorEastAsia" w:cstheme="majorEastAsia"/>
          <w:color w:val="auto"/>
          <w:kern w:val="0"/>
        </w:rPr>
      </w:pPr>
    </w:p>
    <w:p>
      <w:pPr>
        <w:adjustRightInd w:val="0"/>
        <w:snapToGrid w:val="0"/>
        <w:spacing w:line="360" w:lineRule="auto"/>
        <w:jc w:val="center"/>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                                                                      保证人：（公章） </w:t>
      </w:r>
    </w:p>
    <w:p>
      <w:pPr>
        <w:pStyle w:val="37"/>
        <w:jc w:val="right"/>
        <w:rPr>
          <w:rFonts w:hint="eastAsia" w:asciiTheme="majorEastAsia" w:hAnsiTheme="majorEastAsia" w:eastAsiaTheme="majorEastAsia" w:cstheme="majorEastAsia"/>
          <w:color w:val="auto"/>
          <w:sz w:val="21"/>
          <w:szCs w:val="24"/>
          <w:lang w:eastAsia="zh-CN"/>
        </w:rPr>
        <w:sectPr>
          <w:pgSz w:w="11906" w:h="16838"/>
          <w:pgMar w:top="1474" w:right="1531" w:bottom="1474" w:left="1531" w:header="851" w:footer="567"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heme="majorEastAsia" w:hAnsiTheme="majorEastAsia" w:eastAsiaTheme="majorEastAsia" w:cstheme="majorEastAsia"/>
          <w:color w:val="auto"/>
        </w:rPr>
        <w:t xml:space="preserve">                                                     </w:t>
      </w:r>
      <w:r>
        <w:rPr>
          <w:rFonts w:hint="eastAsia" w:asciiTheme="majorEastAsia" w:hAnsiTheme="majorEastAsia" w:eastAsiaTheme="majorEastAsia" w:cstheme="majorEastAsia"/>
          <w:color w:val="auto"/>
          <w:sz w:val="21"/>
          <w:szCs w:val="24"/>
        </w:rPr>
        <w:t xml:space="preserve">年   月   </w:t>
      </w:r>
      <w:r>
        <w:rPr>
          <w:rFonts w:hint="eastAsia" w:asciiTheme="majorEastAsia" w:hAnsiTheme="majorEastAsia" w:eastAsiaTheme="majorEastAsia" w:cstheme="majorEastAsia"/>
          <w:color w:val="auto"/>
          <w:sz w:val="21"/>
          <w:szCs w:val="24"/>
          <w:lang w:eastAsia="zh-CN"/>
        </w:rPr>
        <w:t>日</w:t>
      </w:r>
    </w:p>
    <w:p>
      <w:pPr>
        <w:adjustRightInd w:val="0"/>
        <w:snapToGrid w:val="0"/>
        <w:spacing w:line="360" w:lineRule="auto"/>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rPr>
        <w:t>附页</w:t>
      </w:r>
      <w:r>
        <w:rPr>
          <w:rFonts w:hint="eastAsia" w:asciiTheme="majorEastAsia" w:hAnsiTheme="majorEastAsia" w:eastAsiaTheme="majorEastAsia" w:cstheme="majorEastAsia"/>
          <w:color w:val="auto"/>
          <w:lang w:val="en-US" w:eastAsia="zh-CN"/>
        </w:rPr>
        <w:t>6</w:t>
      </w:r>
    </w:p>
    <w:p>
      <w:pPr>
        <w:shd w:val="clear" w:color="auto" w:fill="auto"/>
        <w:adjustRightInd w:val="0"/>
        <w:snapToGrid w:val="0"/>
        <w:spacing w:line="360" w:lineRule="auto"/>
        <w:jc w:val="center"/>
        <w:rPr>
          <w:rFonts w:ascii="宋体" w:hAnsi="宋体" w:cs="宋体"/>
          <w:snapToGrid w:val="0"/>
          <w:color w:val="auto"/>
          <w:sz w:val="30"/>
          <w:szCs w:val="30"/>
          <w:highlight w:val="none"/>
        </w:rPr>
      </w:pPr>
      <w:r>
        <w:rPr>
          <w:rFonts w:hint="eastAsia" w:ascii="宋体" w:hAnsi="宋体" w:cs="宋体"/>
          <w:b/>
          <w:bCs/>
          <w:snapToGrid w:val="0"/>
          <w:color w:val="auto"/>
          <w:sz w:val="30"/>
          <w:szCs w:val="30"/>
          <w:highlight w:val="none"/>
        </w:rPr>
        <w:t>投标保证金退款申请格式</w:t>
      </w:r>
    </w:p>
    <w:p>
      <w:pPr>
        <w:shd w:val="clear" w:color="auto" w:fill="auto"/>
        <w:adjustRightInd w:val="0"/>
        <w:snapToGrid w:val="0"/>
        <w:spacing w:line="360" w:lineRule="auto"/>
        <w:ind w:left="420" w:leftChars="200"/>
        <w:rPr>
          <w:rFonts w:ascii="宋体" w:hAnsi="宋体" w:cs="宋体"/>
          <w:snapToGrid w:val="0"/>
          <w:color w:val="auto"/>
          <w:szCs w:val="21"/>
          <w:highlight w:val="none"/>
        </w:rPr>
      </w:pPr>
    </w:p>
    <w:p>
      <w:pPr>
        <w:spacing w:line="480" w:lineRule="exact"/>
        <w:jc w:val="center"/>
        <w:rPr>
          <w:rFonts w:ascii="宋体" w:hAnsi="宋体" w:cs="宋体"/>
          <w:bCs/>
          <w:sz w:val="36"/>
          <w:szCs w:val="36"/>
        </w:rPr>
      </w:pPr>
      <w:r>
        <w:rPr>
          <w:rFonts w:hint="eastAsia" w:ascii="宋体" w:hAnsi="宋体" w:cs="宋体"/>
          <w:b/>
          <w:sz w:val="28"/>
          <w:szCs w:val="28"/>
        </w:rPr>
        <w:t>投标保证金退还申请书</w:t>
      </w:r>
    </w:p>
    <w:p>
      <w:pPr>
        <w:spacing w:line="480" w:lineRule="exact"/>
        <w:jc w:val="center"/>
        <w:rPr>
          <w:rFonts w:ascii="宋体" w:hAnsi="宋体" w:cs="宋体"/>
          <w:bCs/>
          <w:sz w:val="36"/>
          <w:szCs w:val="36"/>
        </w:rPr>
      </w:pPr>
    </w:p>
    <w:p>
      <w:pPr>
        <w:adjustRightInd w:val="0"/>
        <w:snapToGrid w:val="0"/>
        <w:spacing w:beforeLines="50"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茶陵县发展和改革局 </w:t>
      </w:r>
      <w:r>
        <w:rPr>
          <w:rFonts w:hint="eastAsia" w:ascii="宋体" w:hAnsi="宋体" w:cs="宋体"/>
          <w:szCs w:val="21"/>
        </w:rPr>
        <w:t xml:space="preserve">： </w:t>
      </w:r>
    </w:p>
    <w:p>
      <w:pPr>
        <w:adjustRightInd w:val="0"/>
        <w:snapToGrid w:val="0"/>
        <w:spacing w:beforeLines="50" w:line="360" w:lineRule="auto"/>
        <w:ind w:firstLine="420" w:firstLineChars="200"/>
        <w:rPr>
          <w:rFonts w:ascii="宋体" w:hAnsi="宋体" w:cs="宋体"/>
          <w:szCs w:val="21"/>
        </w:rPr>
      </w:pPr>
      <w:r>
        <w:rPr>
          <w:rFonts w:hint="eastAsia" w:ascii="宋体" w:hAnsi="宋体" w:cs="宋体"/>
          <w:szCs w:val="21"/>
        </w:rPr>
        <w:t>我系参加</w:t>
      </w:r>
      <w:r>
        <w:rPr>
          <w:rFonts w:hint="eastAsia" w:ascii="宋体" w:hAnsi="宋体" w:cs="宋体"/>
          <w:szCs w:val="21"/>
          <w:u w:val="single"/>
        </w:rPr>
        <w:t xml:space="preserve">                          </w:t>
      </w:r>
      <w:r>
        <w:rPr>
          <w:rFonts w:hint="eastAsia" w:ascii="宋体" w:hAnsi="宋体" w:cs="宋体"/>
          <w:szCs w:val="21"/>
        </w:rPr>
        <w:t>（项目名称），委托代理编号：</w:t>
      </w:r>
      <w:r>
        <w:rPr>
          <w:rFonts w:hint="eastAsia" w:ascii="宋体" w:hAnsi="宋体" w:cs="宋体"/>
          <w:szCs w:val="21"/>
          <w:u w:val="single"/>
        </w:rPr>
        <w:t xml:space="preserve">               </w:t>
      </w:r>
      <w:r>
        <w:rPr>
          <w:rFonts w:hint="eastAsia" w:ascii="宋体" w:hAnsi="宋体" w:cs="宋体"/>
          <w:szCs w:val="21"/>
        </w:rPr>
        <w:t>竞争性谈判的供应商，现申请按该项目谈判文件规定，退返保证金人民币</w:t>
      </w: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(小写），保证金请退还到以下原缴纳账户：</w:t>
      </w:r>
    </w:p>
    <w:p>
      <w:pPr>
        <w:adjustRightInd w:val="0"/>
        <w:snapToGrid w:val="0"/>
        <w:spacing w:before="50" w:line="360" w:lineRule="auto"/>
        <w:ind w:firstLine="420" w:firstLineChars="200"/>
        <w:rPr>
          <w:rFonts w:ascii="宋体" w:hAnsi="宋体" w:cs="宋体"/>
          <w:szCs w:val="21"/>
          <w:u w:val="single"/>
        </w:rPr>
      </w:pPr>
      <w:r>
        <w:rPr>
          <w:rFonts w:hint="eastAsia" w:ascii="宋体" w:hAnsi="宋体" w:cs="宋体"/>
          <w:szCs w:val="21"/>
        </w:rPr>
        <w:t>户名：</w:t>
      </w:r>
      <w:r>
        <w:rPr>
          <w:rFonts w:hint="eastAsia" w:ascii="宋体" w:hAnsi="宋体" w:cs="宋体"/>
          <w:szCs w:val="21"/>
          <w:u w:val="single"/>
        </w:rPr>
        <w:t xml:space="preserve">                                 </w:t>
      </w:r>
    </w:p>
    <w:p>
      <w:pPr>
        <w:adjustRightInd w:val="0"/>
        <w:snapToGrid w:val="0"/>
        <w:spacing w:before="50" w:line="360" w:lineRule="auto"/>
        <w:ind w:firstLine="420" w:firstLineChars="200"/>
        <w:rPr>
          <w:rFonts w:ascii="宋体" w:hAnsi="宋体" w:cs="宋体"/>
          <w:szCs w:val="21"/>
          <w:u w:val="single"/>
        </w:rPr>
      </w:pPr>
      <w:r>
        <w:rPr>
          <w:rFonts w:hint="eastAsia" w:ascii="宋体" w:hAnsi="宋体" w:cs="宋体"/>
          <w:szCs w:val="21"/>
        </w:rPr>
        <w:t>账号：</w:t>
      </w:r>
      <w:r>
        <w:rPr>
          <w:rFonts w:hint="eastAsia" w:ascii="宋体" w:hAnsi="宋体" w:cs="宋体"/>
          <w:szCs w:val="21"/>
          <w:u w:val="single"/>
        </w:rPr>
        <w:t xml:space="preserve">                                 </w:t>
      </w:r>
    </w:p>
    <w:p>
      <w:pPr>
        <w:adjustRightInd w:val="0"/>
        <w:snapToGrid w:val="0"/>
        <w:spacing w:before="50" w:line="360" w:lineRule="auto"/>
        <w:ind w:firstLine="420" w:firstLineChars="200"/>
        <w:rPr>
          <w:rFonts w:ascii="宋体" w:hAnsi="宋体" w:cs="宋体"/>
          <w:szCs w:val="21"/>
          <w:u w:val="single"/>
        </w:rPr>
      </w:pPr>
      <w:r>
        <w:rPr>
          <w:rFonts w:hint="eastAsia" w:ascii="宋体" w:hAnsi="宋体" w:cs="宋体"/>
          <w:szCs w:val="21"/>
        </w:rPr>
        <w:t>开户行：</w:t>
      </w:r>
      <w:r>
        <w:rPr>
          <w:rFonts w:hint="eastAsia" w:ascii="宋体" w:hAnsi="宋体" w:cs="宋体"/>
          <w:szCs w:val="21"/>
          <w:u w:val="single"/>
        </w:rPr>
        <w:t xml:space="preserve">                               </w:t>
      </w:r>
    </w:p>
    <w:p>
      <w:pPr>
        <w:adjustRightInd w:val="0"/>
        <w:snapToGrid w:val="0"/>
        <w:spacing w:before="50" w:line="360" w:lineRule="auto"/>
        <w:ind w:firstLine="420" w:firstLineChars="200"/>
        <w:rPr>
          <w:rFonts w:ascii="宋体" w:hAnsi="宋体" w:cs="宋体"/>
          <w:szCs w:val="21"/>
        </w:rPr>
      </w:pPr>
      <w:r>
        <w:rPr>
          <w:rFonts w:hint="eastAsia" w:ascii="宋体" w:hAnsi="宋体" w:cs="宋体"/>
          <w:szCs w:val="21"/>
        </w:rPr>
        <w:t>开户行地址：</w:t>
      </w:r>
      <w:r>
        <w:rPr>
          <w:rFonts w:hint="eastAsia" w:ascii="宋体" w:hAnsi="宋体" w:cs="宋体"/>
          <w:szCs w:val="21"/>
          <w:u w:val="single"/>
        </w:rPr>
        <w:t xml:space="preserve">          </w:t>
      </w:r>
      <w:r>
        <w:rPr>
          <w:rFonts w:hint="eastAsia" w:ascii="宋体" w:hAnsi="宋体" w:cs="宋体"/>
          <w:szCs w:val="21"/>
        </w:rPr>
        <w:t>省</w:t>
      </w:r>
      <w:r>
        <w:rPr>
          <w:rFonts w:hint="eastAsia" w:ascii="宋体" w:hAnsi="宋体" w:cs="宋体"/>
          <w:szCs w:val="21"/>
          <w:u w:val="single"/>
        </w:rPr>
        <w:t xml:space="preserve">            </w:t>
      </w:r>
      <w:r>
        <w:rPr>
          <w:rFonts w:hint="eastAsia" w:ascii="宋体" w:hAnsi="宋体" w:cs="宋体"/>
          <w:szCs w:val="21"/>
        </w:rPr>
        <w:t>市</w:t>
      </w:r>
    </w:p>
    <w:p>
      <w:pPr>
        <w:adjustRightInd w:val="0"/>
        <w:snapToGrid w:val="0"/>
        <w:spacing w:before="50" w:line="360" w:lineRule="auto"/>
        <w:ind w:firstLine="420" w:firstLineChars="200"/>
        <w:rPr>
          <w:rFonts w:ascii="宋体" w:hAnsi="宋体" w:cs="宋体"/>
          <w:szCs w:val="21"/>
        </w:rPr>
      </w:pPr>
      <w:r>
        <w:rPr>
          <w:rFonts w:hint="eastAsia" w:ascii="宋体" w:hAnsi="宋体" w:cs="宋体"/>
          <w:szCs w:val="21"/>
        </w:rPr>
        <w:t>如果提供的账户信息有误或因账户信息变更未及时通知，一切后果均由本单位自行负责。</w:t>
      </w:r>
    </w:p>
    <w:p>
      <w:pPr>
        <w:adjustRightInd w:val="0"/>
        <w:snapToGrid w:val="0"/>
        <w:spacing w:before="50" w:line="360" w:lineRule="auto"/>
        <w:ind w:left="4429" w:leftChars="2109"/>
        <w:rPr>
          <w:rFonts w:ascii="宋体" w:hAnsi="宋体" w:cs="宋体"/>
          <w:szCs w:val="21"/>
        </w:rPr>
      </w:pPr>
      <w:r>
        <w:rPr>
          <w:rFonts w:hint="eastAsia" w:ascii="宋体" w:hAnsi="宋体" w:cs="宋体"/>
          <w:szCs w:val="21"/>
        </w:rPr>
        <w:t xml:space="preserve">                                        </w:t>
      </w:r>
    </w:p>
    <w:p>
      <w:pPr>
        <w:adjustRightInd w:val="0"/>
        <w:snapToGrid w:val="0"/>
        <w:spacing w:before="50" w:line="360" w:lineRule="auto"/>
        <w:rPr>
          <w:rFonts w:ascii="宋体" w:hAnsi="宋体" w:cs="宋体"/>
          <w:szCs w:val="21"/>
        </w:rPr>
      </w:pPr>
      <w:r>
        <w:rPr>
          <w:rFonts w:hint="eastAsia" w:ascii="宋体" w:hAnsi="宋体" w:cs="宋体"/>
          <w:szCs w:val="21"/>
        </w:rPr>
        <w:t xml:space="preserve">                                          供应商(盖单位章)：</w:t>
      </w:r>
    </w:p>
    <w:p>
      <w:pPr>
        <w:adjustRightInd w:val="0"/>
        <w:snapToGrid w:val="0"/>
        <w:spacing w:before="50" w:line="360" w:lineRule="auto"/>
        <w:ind w:left="4429" w:leftChars="2109"/>
        <w:rPr>
          <w:rFonts w:ascii="宋体" w:hAnsi="宋体" w:cs="宋体"/>
          <w:szCs w:val="21"/>
        </w:rPr>
      </w:pPr>
      <w:r>
        <w:rPr>
          <w:rFonts w:hint="eastAsia" w:ascii="宋体" w:hAnsi="宋体" w:cs="宋体"/>
          <w:szCs w:val="21"/>
        </w:rPr>
        <w:t>联系人：</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before="50" w:line="360" w:lineRule="auto"/>
        <w:ind w:left="4429" w:leftChars="2109"/>
        <w:rPr>
          <w:rFonts w:ascii="宋体" w:hAnsi="宋体" w:cs="宋体"/>
          <w:szCs w:val="21"/>
        </w:rPr>
      </w:pPr>
      <w:r>
        <w:rPr>
          <w:rFonts w:hint="eastAsia" w:ascii="宋体" w:hAnsi="宋体" w:cs="宋体"/>
          <w:szCs w:val="21"/>
        </w:rPr>
        <w:t>移动电话：</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before="50" w:line="360" w:lineRule="auto"/>
        <w:ind w:left="4429" w:leftChars="2109"/>
        <w:rPr>
          <w:rFonts w:ascii="宋体" w:hAnsi="宋体" w:cs="宋体"/>
          <w:szCs w:val="21"/>
        </w:rPr>
      </w:pPr>
      <w:r>
        <w:rPr>
          <w:rFonts w:hint="eastAsia" w:ascii="宋体" w:hAnsi="宋体" w:cs="宋体"/>
          <w:szCs w:val="21"/>
        </w:rPr>
        <w:t>固定电话：</w:t>
      </w:r>
      <w:r>
        <w:rPr>
          <w:rFonts w:hint="eastAsia" w:ascii="宋体" w:hAnsi="宋体" w:cs="宋体"/>
          <w:szCs w:val="21"/>
          <w:u w:val="single"/>
        </w:rPr>
        <w:t xml:space="preserve">               </w:t>
      </w:r>
      <w:r>
        <w:rPr>
          <w:rFonts w:hint="eastAsia" w:ascii="宋体" w:hAnsi="宋体" w:cs="宋体"/>
          <w:szCs w:val="21"/>
        </w:rPr>
        <w:t xml:space="preserve">      </w:t>
      </w:r>
    </w:p>
    <w:p>
      <w:pPr>
        <w:adjustRightInd w:val="0"/>
        <w:snapToGrid w:val="0"/>
        <w:spacing w:before="50" w:line="360" w:lineRule="auto"/>
        <w:ind w:left="4429" w:leftChars="2109"/>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1"/>
        <w:adjustRightInd w:val="0"/>
        <w:snapToGrid w:val="0"/>
        <w:spacing w:beforeLines="50" w:line="360" w:lineRule="auto"/>
        <w:rPr>
          <w:rFonts w:hAnsi="宋体" w:cs="宋体"/>
        </w:rPr>
      </w:pPr>
    </w:p>
    <w:p>
      <w:pPr>
        <w:pStyle w:val="11"/>
        <w:adjustRightInd w:val="0"/>
        <w:snapToGrid w:val="0"/>
        <w:spacing w:beforeLines="50" w:line="360" w:lineRule="auto"/>
        <w:rPr>
          <w:rFonts w:hAnsi="宋体" w:cs="宋体"/>
          <w:b/>
          <w:sz w:val="18"/>
          <w:szCs w:val="18"/>
        </w:rPr>
      </w:pPr>
    </w:p>
    <w:p>
      <w:pPr>
        <w:pStyle w:val="11"/>
        <w:adjustRightInd w:val="0"/>
        <w:snapToGrid w:val="0"/>
        <w:spacing w:beforeLines="50" w:line="360" w:lineRule="auto"/>
        <w:rPr>
          <w:rFonts w:hAnsi="宋体" w:cs="宋体"/>
          <w:b/>
          <w:sz w:val="18"/>
          <w:szCs w:val="18"/>
        </w:rPr>
      </w:pPr>
    </w:p>
    <w:p>
      <w:pPr>
        <w:pStyle w:val="11"/>
        <w:adjustRightInd w:val="0"/>
        <w:snapToGrid w:val="0"/>
        <w:spacing w:beforeLines="50" w:line="360" w:lineRule="auto"/>
        <w:rPr>
          <w:rFonts w:hAnsi="宋体" w:cs="宋体"/>
          <w:b/>
          <w:sz w:val="18"/>
          <w:szCs w:val="18"/>
        </w:rPr>
      </w:pPr>
    </w:p>
    <w:p>
      <w:pPr>
        <w:pStyle w:val="11"/>
        <w:adjustRightInd w:val="0"/>
        <w:snapToGrid w:val="0"/>
        <w:spacing w:beforeLines="50" w:line="360" w:lineRule="auto"/>
        <w:rPr>
          <w:rFonts w:hAnsi="宋体" w:cs="宋体"/>
          <w:b/>
          <w:sz w:val="18"/>
          <w:szCs w:val="18"/>
        </w:rPr>
      </w:pPr>
    </w:p>
    <w:p>
      <w:pPr>
        <w:tabs>
          <w:tab w:val="left" w:pos="843"/>
        </w:tabs>
        <w:jc w:val="left"/>
        <w:rPr>
          <w:rFonts w:ascii="宋体" w:hAnsi="宋体" w:cs="宋体"/>
          <w:b/>
          <w:sz w:val="18"/>
          <w:szCs w:val="18"/>
        </w:rPr>
      </w:pPr>
      <w:r>
        <w:rPr>
          <w:rFonts w:hint="eastAsia" w:ascii="宋体" w:hAnsi="宋体" w:cs="宋体"/>
          <w:b/>
          <w:sz w:val="18"/>
          <w:szCs w:val="18"/>
        </w:rPr>
        <w:t>说明：根据供应商递交的《投标保证金退还申请书》上的账户信息，以转账或电汇方式退还至供应商的原缴纳账户。</w:t>
      </w:r>
    </w:p>
    <w:p>
      <w:pPr>
        <w:tabs>
          <w:tab w:val="left" w:pos="843"/>
        </w:tabs>
        <w:jc w:val="left"/>
        <w:rPr>
          <w:rFonts w:ascii="宋体" w:hAnsi="宋体" w:cs="宋体"/>
          <w:b/>
          <w:sz w:val="18"/>
          <w:szCs w:val="18"/>
        </w:rPr>
      </w:pPr>
      <w:r>
        <w:rPr>
          <w:rFonts w:hint="eastAsia" w:ascii="宋体" w:hAnsi="宋体" w:cs="宋体"/>
          <w:b/>
          <w:sz w:val="18"/>
          <w:szCs w:val="18"/>
        </w:rPr>
        <w:t>《保证金退还申请书》需单独递交，不得装订在响应文件中；可在办理保证金交割手续时提交，也可在提交首次响应文件截止时间后补交，未交《保证金退还申请书》的供应商，将影响其保证金的正常退还。</w:t>
      </w:r>
    </w:p>
    <w:p>
      <w:pP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br w:type="page"/>
      </w:r>
    </w:p>
    <w:p>
      <w:pPr>
        <w:adjustRightInd w:val="0"/>
        <w:snapToGrid w:val="0"/>
        <w:spacing w:line="360" w:lineRule="auto"/>
        <w:jc w:val="center"/>
        <w:outlineLvl w:val="1"/>
        <w:rPr>
          <w:rFonts w:hint="eastAsia" w:asciiTheme="majorEastAsia" w:hAnsiTheme="majorEastAsia" w:eastAsiaTheme="majorEastAsia" w:cstheme="majorEastAsia"/>
          <w:b/>
          <w:color w:val="auto"/>
          <w:sz w:val="28"/>
          <w:szCs w:val="28"/>
        </w:rPr>
      </w:pPr>
      <w:bookmarkStart w:id="13" w:name="_Toc18075"/>
      <w:r>
        <w:rPr>
          <w:rFonts w:hint="eastAsia" w:asciiTheme="majorEastAsia" w:hAnsiTheme="majorEastAsia" w:eastAsiaTheme="majorEastAsia" w:cstheme="majorEastAsia"/>
          <w:b/>
          <w:color w:val="auto"/>
          <w:sz w:val="28"/>
          <w:szCs w:val="28"/>
        </w:rPr>
        <w:t>磋商须知正文</w:t>
      </w:r>
      <w:bookmarkEnd w:id="13"/>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eastAsia="宋体" w:cs="宋体"/>
          <w:b/>
          <w:color w:val="auto"/>
          <w:szCs w:val="21"/>
          <w:highlight w:val="none"/>
        </w:rPr>
      </w:pPr>
      <w:bookmarkStart w:id="14" w:name="_Toc22204"/>
      <w:bookmarkStart w:id="15" w:name="_Toc10122"/>
      <w:r>
        <w:rPr>
          <w:rFonts w:hint="eastAsia" w:ascii="宋体" w:hAnsi="宋体" w:eastAsia="宋体" w:cs="宋体"/>
          <w:b/>
          <w:color w:val="auto"/>
          <w:szCs w:val="21"/>
          <w:highlight w:val="none"/>
        </w:rPr>
        <w:t>一、说明</w:t>
      </w:r>
      <w:bookmarkEnd w:id="14"/>
      <w:bookmarkEnd w:id="15"/>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1.适用范围</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本磋商文件仅适用于磋商须知前附表(以下简称</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中所叙述的采购项目。</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2.定义</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2.1 “采购人”是指依法进行政府采购的国家机关、事业单位、团体组织。本次政府采购的采购人名称、地址、电话、联系人见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Cs w:val="21"/>
          <w:highlight w:val="none"/>
        </w:rPr>
        <w:t>磋商须知前附表。</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Cs/>
          <w:color w:val="auto"/>
          <w:kern w:val="36"/>
          <w:szCs w:val="21"/>
          <w:highlight w:val="none"/>
          <w:lang w:eastAsia="zh-CN"/>
        </w:rPr>
      </w:pPr>
      <w:r>
        <w:rPr>
          <w:rFonts w:hint="eastAsia" w:ascii="宋体" w:hAnsi="宋体" w:eastAsia="宋体" w:cs="宋体"/>
          <w:color w:val="auto"/>
          <w:szCs w:val="21"/>
          <w:highlight w:val="none"/>
        </w:rPr>
        <w:t>2.3 “供应商”是指响应磋商文件要求、参加竞争性磋商采购的法人、其他组织或者自然人。本次政府采购项目</w:t>
      </w:r>
      <w:r>
        <w:rPr>
          <w:rFonts w:hint="eastAsia" w:ascii="宋体" w:hAnsi="宋体" w:eastAsia="宋体" w:cs="宋体"/>
          <w:color w:val="auto"/>
          <w:kern w:val="0"/>
          <w:szCs w:val="21"/>
          <w:highlight w:val="none"/>
        </w:rPr>
        <w:t>邀请</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供应商通过</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所述方式</w:t>
      </w:r>
      <w:r>
        <w:rPr>
          <w:rFonts w:hint="eastAsia" w:ascii="宋体" w:hAnsi="宋体" w:cs="宋体"/>
          <w:color w:val="auto"/>
          <w:kern w:val="0"/>
          <w:szCs w:val="21"/>
          <w:highlight w:val="none"/>
          <w:lang w:eastAsia="zh-CN"/>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 “磋商小组”是指</w:t>
      </w:r>
      <w:r>
        <w:rPr>
          <w:rFonts w:hint="eastAsia" w:ascii="宋体" w:hAnsi="宋体" w:eastAsia="宋体" w:cs="宋体"/>
          <w:color w:val="auto"/>
          <w:kern w:val="0"/>
          <w:szCs w:val="21"/>
          <w:highlight w:val="none"/>
        </w:rPr>
        <w:t>依据《中华人民共和国政府采购法》和财政部</w:t>
      </w:r>
      <w:r>
        <w:rPr>
          <w:rFonts w:hint="eastAsia" w:ascii="宋体" w:hAnsi="宋体" w:eastAsia="宋体" w:cs="宋体"/>
          <w:bCs/>
          <w:color w:val="auto"/>
          <w:kern w:val="36"/>
          <w:szCs w:val="21"/>
          <w:highlight w:val="none"/>
        </w:rPr>
        <w:t>《</w:t>
      </w:r>
      <w:r>
        <w:rPr>
          <w:rFonts w:hint="eastAsia" w:ascii="宋体" w:hAnsi="宋体" w:eastAsia="宋体" w:cs="宋体"/>
          <w:color w:val="auto"/>
          <w:kern w:val="0"/>
          <w:szCs w:val="21"/>
          <w:highlight w:val="none"/>
        </w:rPr>
        <w:t>政府采购竞争性磋商采购方式管理暂行办法</w:t>
      </w:r>
      <w:r>
        <w:rPr>
          <w:rFonts w:hint="eastAsia" w:ascii="宋体" w:hAnsi="宋体" w:eastAsia="宋体" w:cs="宋体"/>
          <w:bCs/>
          <w:color w:val="auto"/>
          <w:kern w:val="36"/>
          <w:szCs w:val="21"/>
          <w:highlight w:val="none"/>
        </w:rPr>
        <w:t>》有关规定组建，依法依规</w:t>
      </w:r>
      <w:r>
        <w:rPr>
          <w:rFonts w:hint="eastAsia" w:ascii="宋体" w:hAnsi="宋体" w:eastAsia="宋体" w:cs="宋体"/>
          <w:color w:val="auto"/>
          <w:kern w:val="0"/>
          <w:szCs w:val="21"/>
          <w:highlight w:val="none"/>
        </w:rPr>
        <w:t>履行其职责和义务的机构。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“货物”是指各种形态和种类的物品，包括原材料、燃料、设备、产品等，详见《政府采购品目分类目录》(</w:t>
      </w:r>
      <w:r>
        <w:rPr>
          <w:rStyle w:val="23"/>
          <w:rFonts w:hint="eastAsia" w:ascii="宋体" w:hAnsi="宋体" w:eastAsia="宋体" w:cs="宋体"/>
          <w:b w:val="0"/>
          <w:color w:val="auto"/>
          <w:szCs w:val="21"/>
          <w:highlight w:val="none"/>
        </w:rPr>
        <w:t>财库[2013]189号</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“工程”是指建设工程，包括建筑物和构筑物的新建、改建、扩建、装修、拆除、修缮等，详见《政府采购品目分类目录》(</w:t>
      </w:r>
      <w:r>
        <w:rPr>
          <w:rStyle w:val="23"/>
          <w:rFonts w:hint="eastAsia" w:ascii="宋体" w:hAnsi="宋体" w:eastAsia="宋体" w:cs="宋体"/>
          <w:b w:val="0"/>
          <w:color w:val="auto"/>
          <w:szCs w:val="21"/>
          <w:highlight w:val="none"/>
        </w:rPr>
        <w:t>财库[2013]189号</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“服务”是指除货物和工程以外的其他政府采购对象，详见《政府采购品目分类目录》(</w:t>
      </w:r>
      <w:r>
        <w:rPr>
          <w:rStyle w:val="23"/>
          <w:rFonts w:hint="eastAsia" w:ascii="宋体" w:hAnsi="宋体" w:eastAsia="宋体" w:cs="宋体"/>
          <w:b w:val="0"/>
          <w:color w:val="auto"/>
          <w:szCs w:val="21"/>
          <w:highlight w:val="none"/>
        </w:rPr>
        <w:t>财库[2013]189号</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2.8 </w:t>
      </w:r>
      <w:r>
        <w:rPr>
          <w:rFonts w:hint="eastAsia" w:ascii="宋体" w:hAnsi="宋体" w:eastAsia="宋体" w:cs="宋体"/>
          <w:color w:val="auto"/>
          <w:kern w:val="0"/>
          <w:szCs w:val="21"/>
          <w:highlight w:val="none"/>
        </w:rPr>
        <w:t>“进口产品”是指符合《政府采购进口产品管理办法》（财库〔2007〕119号）和《关于政府采购进口产品管理有关问题的通知》（财办库〔2008〕248号）文件规定的产品。除</w:t>
      </w:r>
      <w:r>
        <w:rPr>
          <w:rFonts w:hint="eastAsia" w:ascii="宋体" w:hAnsi="宋体" w:eastAsia="宋体"/>
          <w:b/>
          <w:color w:val="auto"/>
          <w:szCs w:val="21"/>
          <w:highlight w:val="none"/>
        </w:rPr>
        <w:t>【</w:t>
      </w:r>
      <w:r>
        <w:rPr>
          <w:rFonts w:hint="eastAsia" w:ascii="宋体" w:hAnsi="宋体" w:eastAsia="宋体" w:cs="宋体"/>
          <w:b/>
          <w:color w:val="auto"/>
          <w:szCs w:val="21"/>
          <w:highlight w:val="none"/>
        </w:rPr>
        <w:t>磋商须知前附表</w:t>
      </w:r>
      <w:r>
        <w:rPr>
          <w:rFonts w:hint="eastAsia" w:ascii="宋体" w:hAnsi="宋体" w:eastAsia="宋体"/>
          <w:b/>
          <w:color w:val="auto"/>
          <w:szCs w:val="21"/>
          <w:highlight w:val="none"/>
        </w:rPr>
        <w:t>】</w:t>
      </w:r>
      <w:r>
        <w:rPr>
          <w:rFonts w:hint="eastAsia" w:ascii="宋体" w:hAnsi="宋体" w:eastAsia="宋体" w:cs="宋体"/>
          <w:color w:val="auto"/>
          <w:kern w:val="0"/>
          <w:szCs w:val="21"/>
          <w:highlight w:val="none"/>
        </w:rPr>
        <w:t>另有规定外，采购项目</w:t>
      </w:r>
      <w:r>
        <w:rPr>
          <w:rFonts w:hint="eastAsia" w:ascii="宋体" w:hAnsi="宋体" w:eastAsia="宋体" w:cs="宋体"/>
          <w:b/>
          <w:color w:val="auto"/>
          <w:kern w:val="0"/>
          <w:szCs w:val="21"/>
          <w:highlight w:val="none"/>
        </w:rPr>
        <w:t>拒绝进口产品参加投标</w:t>
      </w:r>
      <w:r>
        <w:rPr>
          <w:rFonts w:hint="eastAsia" w:ascii="宋体" w:hAnsi="宋体" w:eastAsia="宋体" w:cs="宋体"/>
          <w:color w:val="auto"/>
          <w:kern w:val="0"/>
          <w:szCs w:val="21"/>
          <w:highlight w:val="none"/>
        </w:rPr>
        <w:t>。本款规定同意购买进口产品的，不限制满足招标文件要求的国内产品参与投标竞争。</w:t>
      </w:r>
    </w:p>
    <w:p>
      <w:pPr>
        <w:shd w:val="clear" w:color="auto" w:fill="auto"/>
        <w:adjustRightInd w:val="0"/>
        <w:snapToGrid w:val="0"/>
        <w:spacing w:beforeLines="50" w:line="360" w:lineRule="auto"/>
        <w:ind w:firstLine="422" w:firstLineChars="200"/>
        <w:jc w:val="left"/>
        <w:rPr>
          <w:rFonts w:ascii="宋体" w:hAnsi="宋体" w:eastAsia="宋体"/>
          <w:color w:val="auto"/>
          <w:szCs w:val="21"/>
          <w:highlight w:val="none"/>
        </w:rPr>
      </w:pPr>
      <w:r>
        <w:rPr>
          <w:rFonts w:hint="eastAsia" w:ascii="宋体" w:hAnsi="宋体" w:eastAsia="宋体"/>
          <w:b/>
          <w:color w:val="auto"/>
          <w:szCs w:val="21"/>
          <w:highlight w:val="none"/>
          <w:lang w:val="en-US" w:eastAsia="zh-CN"/>
        </w:rPr>
        <w:t>2.9</w:t>
      </w:r>
      <w:r>
        <w:rPr>
          <w:rFonts w:hint="eastAsia" w:ascii="宋体" w:hAnsi="宋体" w:eastAsia="宋体"/>
          <w:b/>
          <w:color w:val="auto"/>
          <w:szCs w:val="21"/>
          <w:highlight w:val="none"/>
        </w:rPr>
        <w:t>【</w:t>
      </w:r>
      <w:r>
        <w:rPr>
          <w:rFonts w:hint="eastAsia" w:ascii="宋体" w:hAnsi="宋体" w:eastAsia="宋体" w:cs="宋体"/>
          <w:b/>
          <w:color w:val="auto"/>
          <w:szCs w:val="21"/>
          <w:highlight w:val="none"/>
        </w:rPr>
        <w:t>磋商须知前附表</w:t>
      </w:r>
      <w:r>
        <w:rPr>
          <w:rFonts w:hint="eastAsia" w:ascii="宋体" w:hAnsi="宋体" w:eastAsia="宋体"/>
          <w:b/>
          <w:color w:val="auto"/>
          <w:szCs w:val="21"/>
          <w:highlight w:val="none"/>
        </w:rPr>
        <w:t>】</w:t>
      </w:r>
      <w:r>
        <w:rPr>
          <w:rFonts w:hint="eastAsia" w:ascii="宋体" w:hAnsi="宋体" w:eastAsia="宋体"/>
          <w:color w:val="auto"/>
          <w:szCs w:val="21"/>
          <w:highlight w:val="none"/>
        </w:rPr>
        <w:t>规定采购项目专门面向中小企业采购的，如</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为非中小企业，其</w:t>
      </w:r>
      <w:r>
        <w:rPr>
          <w:rFonts w:hint="eastAsia" w:ascii="宋体" w:hAnsi="宋体" w:eastAsia="宋体"/>
          <w:b/>
          <w:color w:val="auto"/>
          <w:szCs w:val="21"/>
          <w:highlight w:val="none"/>
          <w:lang w:eastAsia="zh-CN"/>
        </w:rPr>
        <w:t>响应</w:t>
      </w:r>
      <w:r>
        <w:rPr>
          <w:rFonts w:hint="eastAsia" w:ascii="宋体" w:hAnsi="宋体" w:eastAsia="宋体"/>
          <w:b/>
          <w:color w:val="auto"/>
          <w:szCs w:val="21"/>
          <w:highlight w:val="none"/>
        </w:rPr>
        <w:t>无效</w:t>
      </w:r>
      <w:r>
        <w:rPr>
          <w:rFonts w:hint="eastAsia" w:ascii="宋体" w:hAnsi="宋体" w:eastAsia="宋体"/>
          <w:color w:val="auto"/>
          <w:szCs w:val="21"/>
          <w:highlight w:val="none"/>
        </w:rPr>
        <w:t>。</w:t>
      </w:r>
    </w:p>
    <w:p>
      <w:pPr>
        <w:pStyle w:val="2"/>
        <w:shd w:val="clear" w:color="auto" w:fill="auto"/>
        <w:rPr>
          <w:rFonts w:hint="eastAsia"/>
          <w:color w:val="auto"/>
          <w:highlight w:val="none"/>
        </w:rPr>
      </w:pP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3.供应商的资格要求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供应商应当符合</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中规定的下列资格条件要求；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w:t>
      </w:r>
      <w:r>
        <w:rPr>
          <w:rFonts w:hint="eastAsia" w:ascii="宋体" w:hAnsi="宋体" w:eastAsia="宋体" w:cs="宋体"/>
          <w:color w:val="auto"/>
          <w:kern w:val="0"/>
          <w:szCs w:val="21"/>
          <w:highlight w:val="none"/>
          <w:lang w:val="zh-CN"/>
        </w:rPr>
        <w:t>《政府采购法》第二十二条第一款规定的</w:t>
      </w:r>
      <w:r>
        <w:rPr>
          <w:rFonts w:hint="eastAsia" w:ascii="宋体" w:hAnsi="宋体" w:eastAsia="宋体" w:cs="宋体"/>
          <w:color w:val="auto"/>
          <w:szCs w:val="21"/>
          <w:highlight w:val="none"/>
        </w:rPr>
        <w:t>供应商基本资格条件</w:t>
      </w:r>
      <w:r>
        <w:rPr>
          <w:rFonts w:hint="eastAsia" w:ascii="宋体" w:hAnsi="宋体" w:eastAsia="宋体" w:cs="宋体"/>
          <w:color w:val="auto"/>
          <w:kern w:val="0"/>
          <w:szCs w:val="21"/>
          <w:highlight w:val="none"/>
          <w:lang w:val="zh-CN"/>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磋商文件</w:t>
      </w:r>
      <w:r>
        <w:rPr>
          <w:rFonts w:hint="eastAsia" w:ascii="宋体" w:hAnsi="宋体" w:eastAsia="宋体" w:cs="宋体"/>
          <w:color w:val="auto"/>
          <w:kern w:val="0"/>
          <w:szCs w:val="21"/>
          <w:highlight w:val="none"/>
          <w:lang w:val="zh-CN"/>
        </w:rPr>
        <w:t>规定的</w:t>
      </w:r>
      <w:r>
        <w:rPr>
          <w:rFonts w:hint="eastAsia" w:ascii="宋体" w:hAnsi="宋体" w:eastAsia="宋体" w:cs="宋体"/>
          <w:color w:val="auto"/>
          <w:szCs w:val="21"/>
          <w:highlight w:val="none"/>
        </w:rPr>
        <w:t xml:space="preserve">供应商特定资格条件。 </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供应商不得存在下列情形之一：</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隶属关系或者其他利害关系</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（2）与其他供应商的法定代表人（或者负责人）为同一人，或者与其他供应商存在控股、关联关系。</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受到刑事处罚，或者受到责令停产停业、暂扣或者吊销许可证、暂扣或者吊销执照等情形之一的行政处罚，或者存在</w:t>
      </w:r>
      <w:r>
        <w:rPr>
          <w:rFonts w:hint="eastAsia" w:ascii="宋体" w:hAnsi="宋体" w:eastAsia="宋体" w:cs="宋体"/>
          <w:color w:val="auto"/>
          <w:szCs w:val="21"/>
          <w:highlight w:val="none"/>
        </w:rPr>
        <w:t>财政部门认定的其他重大违法记录。</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4.参与磋商的费用 </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无论磋商的结果如何，供应商应自行承担所有与竞争性磋商采购活动有关的全部费用。</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5．</w:t>
      </w:r>
      <w:r>
        <w:rPr>
          <w:rFonts w:hint="eastAsia" w:ascii="宋体" w:hAnsi="宋体" w:eastAsia="宋体" w:cs="宋体"/>
          <w:b/>
          <w:bCs/>
          <w:color w:val="auto"/>
          <w:sz w:val="21"/>
          <w:highlight w:val="none"/>
        </w:rPr>
        <w:t>授权委托</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5.1供应商代表为供应商法定代表人的，应持有法定代表人身份证明。供应商代表不是供应商法定代表人的，应持有法定代表人授权书，并附法定代表人身份证明。</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6．联合体形式</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6.1除</w:t>
      </w:r>
      <w:r>
        <w:rPr>
          <w:rFonts w:hint="eastAsia" w:ascii="宋体" w:hAnsi="宋体" w:eastAsia="宋体" w:cs="宋体"/>
          <w:b/>
          <w:color w:val="auto"/>
          <w:sz w:val="21"/>
          <w:highlight w:val="none"/>
        </w:rPr>
        <w:t>磋商须知前附表</w:t>
      </w:r>
      <w:r>
        <w:rPr>
          <w:rFonts w:hint="eastAsia" w:ascii="宋体" w:hAnsi="宋体" w:eastAsia="宋体" w:cs="宋体"/>
          <w:color w:val="auto"/>
          <w:sz w:val="21"/>
          <w:highlight w:val="none"/>
        </w:rPr>
        <w:t>中另有规定，本次磋商采购不接受为联合体形式的供应商。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6.2供应商为联合体形式的，除应符合本章第3条规定外，还应遵守以下规定：</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（l）联合体各方必须签订联合体协议书，明确联合体牵头人和各方的义务、工作、合同工作量比例；</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（2）联合体各方均应当符合本章第3.1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规定的供应商基本资格条件；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中另有规定，联合体各方中至少有一方应当符合本章第3.1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规定的供应商特定资格条件；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val="zh-CN"/>
        </w:rPr>
        <w:t>联合体各方不得再单独或与其他供应商组成新的联合体参加同一项目的采购活动。</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7.现场勘察</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7.1供应商应按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中规定对采购项目现场和周围环境的现场考察。</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7.2勘察现场的费用由供应商自己承担，勘察期间所发生的人身伤害及财产损失由供应商自己负责。</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7.3采购人不对供应商据此而做出的推论、理解和结论负责。一旦成交，供应商不得以任何借口，提出额外补偿，或延长合同期限的要求。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8.采购进口产品</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8.1除</w:t>
      </w:r>
      <w:r>
        <w:rPr>
          <w:rFonts w:hint="eastAsia" w:ascii="宋体" w:hAnsi="宋体" w:cs="宋体"/>
          <w:b/>
          <w:color w:val="auto"/>
          <w:szCs w:val="21"/>
          <w:highlight w:val="none"/>
          <w:lang w:eastAsia="zh-CN"/>
        </w:rPr>
        <w:t>磋商须知前附表</w:t>
      </w:r>
      <w:r>
        <w:rPr>
          <w:rFonts w:hint="eastAsia" w:ascii="宋体" w:hAnsi="宋体" w:eastAsia="宋体" w:cs="宋体"/>
          <w:color w:val="auto"/>
          <w:szCs w:val="21"/>
          <w:highlight w:val="none"/>
        </w:rPr>
        <w:t>另有规定外，本项目</w:t>
      </w:r>
      <w:r>
        <w:rPr>
          <w:rFonts w:hint="eastAsia" w:ascii="宋体" w:hAnsi="宋体" w:eastAsia="宋体" w:cs="宋体"/>
          <w:color w:val="auto"/>
          <w:kern w:val="0"/>
          <w:szCs w:val="21"/>
          <w:highlight w:val="none"/>
        </w:rPr>
        <w:t>拒绝进口产品参加</w:t>
      </w:r>
      <w:r>
        <w:rPr>
          <w:rFonts w:hint="eastAsia" w:ascii="宋体" w:hAnsi="宋体" w:eastAsia="宋体" w:cs="宋体"/>
          <w:color w:val="auto"/>
          <w:szCs w:val="21"/>
          <w:highlight w:val="none"/>
        </w:rPr>
        <w:t>竞争性磋商采购活动</w:t>
      </w:r>
      <w:r>
        <w:rPr>
          <w:rFonts w:hint="eastAsia" w:ascii="宋体" w:hAnsi="宋体" w:eastAsia="宋体" w:cs="宋体"/>
          <w:color w:val="auto"/>
          <w:kern w:val="0"/>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r>
        <w:rPr>
          <w:rFonts w:hint="eastAsia" w:ascii="宋体" w:hAnsi="宋体" w:eastAsia="宋体" w:cs="宋体"/>
          <w:color w:val="auto"/>
          <w:szCs w:val="21"/>
          <w:highlight w:val="none"/>
        </w:rPr>
        <w:t>本章第8.1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同意购买进口产品的，</w:t>
      </w:r>
      <w:r>
        <w:rPr>
          <w:rFonts w:hint="eastAsia" w:ascii="宋体" w:hAnsi="宋体" w:eastAsia="宋体" w:cs="宋体"/>
          <w:color w:val="auto"/>
          <w:szCs w:val="21"/>
          <w:highlight w:val="none"/>
        </w:rPr>
        <w:t>本项目</w:t>
      </w:r>
      <w:r>
        <w:rPr>
          <w:rFonts w:hint="eastAsia" w:ascii="宋体" w:hAnsi="宋体" w:eastAsia="宋体" w:cs="宋体"/>
          <w:color w:val="auto"/>
          <w:kern w:val="0"/>
          <w:szCs w:val="21"/>
          <w:highlight w:val="none"/>
          <w:lang w:val="zh-CN"/>
        </w:rPr>
        <w:t>采购活动</w:t>
      </w:r>
      <w:r>
        <w:rPr>
          <w:rFonts w:hint="eastAsia" w:ascii="宋体" w:hAnsi="宋体" w:eastAsia="宋体" w:cs="宋体"/>
          <w:color w:val="auto"/>
          <w:kern w:val="0"/>
          <w:szCs w:val="21"/>
          <w:highlight w:val="none"/>
        </w:rPr>
        <w:t>不限制满足</w:t>
      </w:r>
      <w:r>
        <w:rPr>
          <w:rFonts w:hint="eastAsia" w:ascii="宋体" w:hAnsi="宋体" w:eastAsia="宋体" w:cs="宋体"/>
          <w:color w:val="auto"/>
          <w:szCs w:val="21"/>
          <w:highlight w:val="none"/>
        </w:rPr>
        <w:t>磋商文件要求</w:t>
      </w:r>
      <w:r>
        <w:rPr>
          <w:rFonts w:hint="eastAsia" w:ascii="宋体" w:hAnsi="宋体" w:eastAsia="宋体" w:cs="宋体"/>
          <w:color w:val="auto"/>
          <w:kern w:val="0"/>
          <w:szCs w:val="21"/>
          <w:highlight w:val="none"/>
        </w:rPr>
        <w:t>的国内产品参与</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hanging="793" w:hangingChars="376"/>
        <w:textAlignment w:val="auto"/>
        <w:outlineLvl w:val="2"/>
        <w:rPr>
          <w:rFonts w:hint="eastAsia" w:ascii="宋体" w:hAnsi="宋体" w:eastAsia="宋体" w:cs="宋体"/>
          <w:b/>
          <w:color w:val="auto"/>
          <w:szCs w:val="21"/>
          <w:highlight w:val="none"/>
        </w:rPr>
      </w:pPr>
      <w:bookmarkStart w:id="16" w:name="_Toc18280"/>
      <w:bookmarkStart w:id="17" w:name="_Toc3727"/>
      <w:r>
        <w:rPr>
          <w:rFonts w:hint="eastAsia" w:ascii="宋体" w:hAnsi="宋体" w:eastAsia="宋体" w:cs="宋体"/>
          <w:b/>
          <w:color w:val="auto"/>
          <w:szCs w:val="21"/>
          <w:highlight w:val="none"/>
        </w:rPr>
        <w:t>二、磋商文件</w:t>
      </w:r>
      <w:bookmarkEnd w:id="16"/>
      <w:bookmarkEnd w:id="17"/>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．磋商文件的组成</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.1 磋商文件由下列文件组成：</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 xml:space="preserve">第一章 </w:t>
      </w:r>
      <w:r>
        <w:rPr>
          <w:rFonts w:hint="eastAsia" w:hAnsi="宋体" w:cs="宋体"/>
          <w:color w:val="auto"/>
          <w:sz w:val="21"/>
          <w:highlight w:val="none"/>
          <w:lang w:eastAsia="zh-CN"/>
        </w:rPr>
        <w:t>磋商邀请公告（</w:t>
      </w:r>
      <w:r>
        <w:rPr>
          <w:rFonts w:hint="eastAsia" w:ascii="宋体" w:hAnsi="宋体" w:eastAsia="宋体" w:cs="宋体"/>
          <w:color w:val="auto"/>
          <w:sz w:val="21"/>
          <w:highlight w:val="none"/>
        </w:rPr>
        <w:t>磋商通知</w:t>
      </w:r>
      <w:r>
        <w:rPr>
          <w:rFonts w:hint="eastAsia" w:hAnsi="宋体" w:cs="宋体"/>
          <w:color w:val="auto"/>
          <w:sz w:val="21"/>
          <w:highlight w:val="none"/>
          <w:lang w:eastAsia="zh-CN"/>
        </w:rPr>
        <w:t>）</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第二章 磋商须知</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 xml:space="preserve">第三章 </w:t>
      </w:r>
      <w:r>
        <w:rPr>
          <w:rFonts w:hint="eastAsia" w:hAnsi="宋体" w:cs="宋体"/>
          <w:color w:val="auto"/>
          <w:sz w:val="21"/>
          <w:highlight w:val="none"/>
          <w:lang w:eastAsia="zh-CN"/>
        </w:rPr>
        <w:t>资格审查</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第四章评审方法及标准</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w:t>
      </w:r>
      <w:r>
        <w:rPr>
          <w:rFonts w:hint="eastAsia" w:hAnsi="宋体" w:cs="宋体"/>
          <w:color w:val="auto"/>
          <w:sz w:val="21"/>
          <w:highlight w:val="none"/>
          <w:lang w:eastAsia="zh-CN"/>
        </w:rPr>
        <w:t>五</w:t>
      </w:r>
      <w:r>
        <w:rPr>
          <w:rFonts w:hint="eastAsia" w:ascii="宋体" w:hAnsi="宋体" w:eastAsia="宋体" w:cs="宋体"/>
          <w:color w:val="auto"/>
          <w:sz w:val="21"/>
          <w:highlight w:val="none"/>
        </w:rPr>
        <w:t>章 政府采购合同格式条款</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w:t>
      </w:r>
      <w:r>
        <w:rPr>
          <w:rFonts w:hint="eastAsia" w:hAnsi="宋体" w:cs="宋体"/>
          <w:color w:val="auto"/>
          <w:sz w:val="21"/>
          <w:highlight w:val="none"/>
          <w:lang w:eastAsia="zh-CN"/>
        </w:rPr>
        <w:t>六</w:t>
      </w:r>
      <w:r>
        <w:rPr>
          <w:rFonts w:hint="eastAsia" w:ascii="宋体" w:hAnsi="宋体" w:eastAsia="宋体" w:cs="宋体"/>
          <w:color w:val="auto"/>
          <w:sz w:val="21"/>
          <w:highlight w:val="none"/>
        </w:rPr>
        <w:t>章 采购需求</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w:t>
      </w:r>
      <w:r>
        <w:rPr>
          <w:rFonts w:hint="eastAsia" w:hAnsi="宋体" w:cs="宋体"/>
          <w:color w:val="auto"/>
          <w:sz w:val="21"/>
          <w:highlight w:val="none"/>
          <w:lang w:eastAsia="zh-CN"/>
        </w:rPr>
        <w:t>七</w:t>
      </w:r>
      <w:r>
        <w:rPr>
          <w:rFonts w:hint="eastAsia" w:ascii="宋体" w:hAnsi="宋体" w:eastAsia="宋体" w:cs="宋体"/>
          <w:color w:val="auto"/>
          <w:sz w:val="21"/>
          <w:highlight w:val="none"/>
        </w:rPr>
        <w:t>章 响应文件组成</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.2</w:t>
      </w:r>
      <w:r>
        <w:rPr>
          <w:rFonts w:hint="eastAsia" w:ascii="宋体" w:hAnsi="宋体" w:eastAsia="宋体" w:cs="宋体"/>
          <w:bCs/>
          <w:color w:val="auto"/>
          <w:sz w:val="21"/>
          <w:highlight w:val="none"/>
        </w:rPr>
        <w:t>本章第</w:t>
      </w:r>
      <w:r>
        <w:rPr>
          <w:rFonts w:hint="eastAsia" w:hAnsi="宋体" w:cs="宋体"/>
          <w:bCs/>
          <w:color w:val="auto"/>
          <w:sz w:val="21"/>
          <w:highlight w:val="none"/>
          <w:lang w:eastAsia="zh-CN"/>
        </w:rPr>
        <w:t>10.1</w:t>
      </w:r>
      <w:r>
        <w:rPr>
          <w:rFonts w:hint="eastAsia" w:ascii="宋体" w:hAnsi="宋体" w:eastAsia="宋体" w:cs="宋体"/>
          <w:color w:val="auto"/>
          <w:sz w:val="21"/>
          <w:highlight w:val="none"/>
          <w:lang w:val="zh-CN"/>
        </w:rPr>
        <w:t>款</w:t>
      </w:r>
      <w:r>
        <w:rPr>
          <w:rFonts w:hint="eastAsia" w:ascii="宋体" w:hAnsi="宋体" w:eastAsia="宋体" w:cs="宋体"/>
          <w:bCs/>
          <w:color w:val="auto"/>
          <w:sz w:val="21"/>
          <w:highlight w:val="none"/>
        </w:rPr>
        <w:t>规定的</w:t>
      </w:r>
      <w:r>
        <w:rPr>
          <w:rFonts w:hint="eastAsia" w:ascii="宋体" w:hAnsi="宋体" w:eastAsia="宋体" w:cs="宋体"/>
          <w:color w:val="auto"/>
          <w:sz w:val="21"/>
          <w:highlight w:val="none"/>
        </w:rPr>
        <w:t>提交首次响应文件截止时间前对磋商文件澄清或者修改内容，为磋商文件的组成部分。</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.3磋商小组根据与供应商磋商情况可能实质性变动的内容，包括采购需求中的技术、服务要求以及合同条款，在</w:t>
      </w:r>
      <w:r>
        <w:rPr>
          <w:rFonts w:hint="eastAsia" w:ascii="宋体" w:hAnsi="宋体" w:eastAsia="宋体" w:cs="宋体"/>
          <w:b/>
          <w:color w:val="auto"/>
          <w:sz w:val="21"/>
          <w:highlight w:val="none"/>
        </w:rPr>
        <w:t>磋商须知前附表</w:t>
      </w:r>
      <w:r>
        <w:rPr>
          <w:rFonts w:hint="eastAsia" w:ascii="宋体" w:hAnsi="宋体" w:eastAsia="宋体" w:cs="宋体"/>
          <w:color w:val="auto"/>
          <w:sz w:val="21"/>
          <w:highlight w:val="none"/>
        </w:rPr>
        <w:t>中明确。</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.4供应商应仔细阅读</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文件的全部内容，按照</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文件要求编制响应文件。任何对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文件的忽略或误解不能作为响应文件存在缺陷或瑕疵的理由，其风险由供应商承担。</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color w:val="auto"/>
          <w:sz w:val="21"/>
          <w:highlight w:val="none"/>
        </w:rPr>
      </w:pPr>
      <w:r>
        <w:rPr>
          <w:rFonts w:hint="eastAsia" w:ascii="宋体" w:hAnsi="宋体" w:eastAsia="宋体" w:cs="宋体"/>
          <w:b/>
          <w:color w:val="auto"/>
          <w:sz w:val="21"/>
          <w:highlight w:val="none"/>
        </w:rPr>
        <w:t>1</w:t>
      </w:r>
      <w:r>
        <w:rPr>
          <w:rFonts w:hint="eastAsia" w:hAnsi="宋体" w:cs="宋体"/>
          <w:b/>
          <w:color w:val="auto"/>
          <w:sz w:val="21"/>
          <w:highlight w:val="none"/>
          <w:lang w:val="en-US" w:eastAsia="zh-CN"/>
        </w:rPr>
        <w:t>0</w:t>
      </w:r>
      <w:r>
        <w:rPr>
          <w:rFonts w:hint="eastAsia" w:ascii="宋体" w:hAnsi="宋体" w:eastAsia="宋体" w:cs="宋体"/>
          <w:b/>
          <w:color w:val="auto"/>
          <w:sz w:val="21"/>
          <w:highlight w:val="none"/>
        </w:rPr>
        <w:t>.提交首次响应文件的截止时间</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hAnsi="宋体" w:cs="宋体"/>
          <w:color w:val="auto"/>
          <w:sz w:val="21"/>
          <w:highlight w:val="none"/>
          <w:lang w:val="en-US" w:eastAsia="zh-CN"/>
        </w:rPr>
        <w:t>0</w:t>
      </w:r>
      <w:r>
        <w:rPr>
          <w:rFonts w:hint="eastAsia" w:ascii="宋体" w:hAnsi="宋体" w:eastAsia="宋体" w:cs="宋体"/>
          <w:color w:val="auto"/>
          <w:sz w:val="21"/>
          <w:highlight w:val="none"/>
        </w:rPr>
        <w:t>.1供应商提交首次响应文件截止时间见</w:t>
      </w:r>
      <w:r>
        <w:rPr>
          <w:rFonts w:hint="eastAsia" w:ascii="宋体" w:hAnsi="宋体" w:eastAsia="宋体" w:cs="宋体"/>
          <w:b/>
          <w:color w:val="auto"/>
          <w:sz w:val="21"/>
          <w:highlight w:val="none"/>
        </w:rPr>
        <w:t>磋商须知前附表</w:t>
      </w:r>
      <w:r>
        <w:rPr>
          <w:rFonts w:hint="eastAsia" w:ascii="宋体" w:hAnsi="宋体" w:eastAsia="宋体" w:cs="宋体"/>
          <w:color w:val="auto"/>
          <w:sz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.磋商文件的澄清</w:t>
      </w:r>
      <w:r>
        <w:rPr>
          <w:rFonts w:hint="eastAsia" w:ascii="宋体" w:hAnsi="宋体" w:eastAsia="宋体" w:cs="宋体"/>
          <w:b/>
          <w:color w:val="auto"/>
          <w:kern w:val="0"/>
          <w:szCs w:val="21"/>
          <w:highlight w:val="none"/>
          <w:lang w:val="zh-CN"/>
        </w:rPr>
        <w:t>或者</w:t>
      </w:r>
      <w:r>
        <w:rPr>
          <w:rFonts w:hint="eastAsia" w:ascii="宋体" w:hAnsi="宋体" w:eastAsia="宋体" w:cs="宋体"/>
          <w:b/>
          <w:bCs/>
          <w:color w:val="auto"/>
          <w:szCs w:val="21"/>
          <w:highlight w:val="none"/>
        </w:rPr>
        <w:t>修改</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.1在</w:t>
      </w:r>
      <w:r>
        <w:rPr>
          <w:rFonts w:hint="eastAsia" w:ascii="宋体" w:hAnsi="宋体" w:eastAsia="宋体" w:cs="宋体"/>
          <w:bCs/>
          <w:color w:val="auto"/>
          <w:szCs w:val="21"/>
          <w:highlight w:val="none"/>
        </w:rPr>
        <w:t>本章第1</w:t>
      </w:r>
      <w:r>
        <w:rPr>
          <w:rFonts w:hint="eastAsia" w:ascii="宋体" w:hAnsi="宋体" w:cs="宋体"/>
          <w:bCs/>
          <w:color w:val="auto"/>
          <w:szCs w:val="21"/>
          <w:highlight w:val="none"/>
          <w:lang w:val="en-US" w:eastAsia="zh-CN"/>
        </w:rPr>
        <w:t>0</w:t>
      </w:r>
      <w:r>
        <w:rPr>
          <w:rFonts w:hint="eastAsia" w:ascii="宋体" w:hAnsi="宋体" w:eastAsia="宋体" w:cs="宋体"/>
          <w:bCs/>
          <w:color w:val="auto"/>
          <w:szCs w:val="21"/>
          <w:highlight w:val="none"/>
        </w:rPr>
        <w:t>.1</w:t>
      </w:r>
      <w:r>
        <w:rPr>
          <w:rFonts w:hint="eastAsia" w:ascii="宋体" w:hAnsi="宋体" w:eastAsia="宋体" w:cs="宋体"/>
          <w:color w:val="auto"/>
          <w:kern w:val="0"/>
          <w:szCs w:val="21"/>
          <w:highlight w:val="none"/>
          <w:lang w:val="zh-CN"/>
        </w:rPr>
        <w:t>款</w:t>
      </w:r>
      <w:r>
        <w:rPr>
          <w:rFonts w:hint="eastAsia" w:ascii="宋体" w:hAnsi="宋体" w:eastAsia="宋体" w:cs="宋体"/>
          <w:bCs/>
          <w:color w:val="auto"/>
          <w:szCs w:val="21"/>
          <w:highlight w:val="none"/>
        </w:rPr>
        <w:t>规定的</w:t>
      </w:r>
      <w:r>
        <w:rPr>
          <w:rFonts w:hint="eastAsia" w:ascii="宋体" w:hAnsi="宋体" w:eastAsia="宋体" w:cs="宋体"/>
          <w:color w:val="auto"/>
          <w:kern w:val="0"/>
          <w:szCs w:val="21"/>
          <w:highlight w:val="none"/>
        </w:rPr>
        <w:t xml:space="preserve">提交首次响应文件截止之日前，采购人、采购代理机构或者磋商小组可以对已发出的磋商文件进行必要的澄清或者修改。 </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澄清或者修改的内容可能影响响应文件编制的，采购人、采购代理机构或者磋商小组应当在</w:t>
      </w:r>
      <w:r>
        <w:rPr>
          <w:rFonts w:hint="eastAsia" w:ascii="宋体" w:hAnsi="宋体" w:eastAsia="宋体" w:cs="宋体"/>
          <w:bCs/>
          <w:color w:val="auto"/>
          <w:szCs w:val="21"/>
          <w:highlight w:val="none"/>
        </w:rPr>
        <w:t>本章第1</w:t>
      </w:r>
      <w:r>
        <w:rPr>
          <w:rFonts w:hint="eastAsia" w:ascii="宋体" w:hAnsi="宋体" w:cs="宋体"/>
          <w:bCs/>
          <w:color w:val="auto"/>
          <w:szCs w:val="21"/>
          <w:highlight w:val="none"/>
          <w:lang w:val="en-US" w:eastAsia="zh-CN"/>
        </w:rPr>
        <w:t>0</w:t>
      </w:r>
      <w:r>
        <w:rPr>
          <w:rFonts w:hint="eastAsia" w:ascii="宋体" w:hAnsi="宋体" w:eastAsia="宋体" w:cs="宋体"/>
          <w:bCs/>
          <w:color w:val="auto"/>
          <w:szCs w:val="21"/>
          <w:highlight w:val="none"/>
        </w:rPr>
        <w:t>.1</w:t>
      </w:r>
      <w:r>
        <w:rPr>
          <w:rFonts w:hint="eastAsia" w:ascii="宋体" w:hAnsi="宋体" w:eastAsia="宋体" w:cs="宋体"/>
          <w:color w:val="auto"/>
          <w:kern w:val="0"/>
          <w:szCs w:val="21"/>
          <w:highlight w:val="none"/>
          <w:lang w:val="zh-CN"/>
        </w:rPr>
        <w:t>款</w:t>
      </w:r>
      <w:r>
        <w:rPr>
          <w:rFonts w:hint="eastAsia" w:ascii="宋体" w:hAnsi="宋体" w:eastAsia="宋体" w:cs="宋体"/>
          <w:bCs/>
          <w:color w:val="auto"/>
          <w:szCs w:val="21"/>
          <w:highlight w:val="none"/>
        </w:rPr>
        <w:t>规定的</w:t>
      </w:r>
      <w:r>
        <w:rPr>
          <w:rFonts w:hint="eastAsia" w:ascii="宋体" w:hAnsi="宋体" w:eastAsia="宋体" w:cs="宋体"/>
          <w:color w:val="auto"/>
          <w:kern w:val="0"/>
          <w:szCs w:val="21"/>
          <w:highlight w:val="none"/>
        </w:rPr>
        <w:t>提交首次响应文件截止之日5日前，以书面形式通知所有接收磋商文件的供应商，不足5日的，顺延供应商提交首次响应文件截止时间。</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eastAsia="宋体" w:cs="宋体"/>
          <w:b/>
          <w:color w:val="auto"/>
          <w:szCs w:val="21"/>
          <w:highlight w:val="none"/>
        </w:rPr>
      </w:pPr>
      <w:bookmarkStart w:id="18" w:name="_Toc29748"/>
      <w:bookmarkStart w:id="19" w:name="_Toc31261"/>
      <w:r>
        <w:rPr>
          <w:rFonts w:hint="eastAsia" w:ascii="宋体" w:hAnsi="宋体" w:eastAsia="宋体" w:cs="宋体"/>
          <w:b/>
          <w:color w:val="auto"/>
          <w:szCs w:val="21"/>
          <w:highlight w:val="none"/>
        </w:rPr>
        <w:t>三、响应文件</w:t>
      </w:r>
      <w:bookmarkEnd w:id="18"/>
      <w:bookmarkEnd w:id="19"/>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.一般要求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12.1</w:t>
      </w:r>
      <w:r>
        <w:rPr>
          <w:rFonts w:hint="eastAsia" w:ascii="宋体" w:hAnsi="宋体" w:eastAsia="宋体" w:cs="宋体"/>
          <w:bCs/>
          <w:color w:val="auto"/>
          <w:szCs w:val="21"/>
          <w:highlight w:val="none"/>
        </w:rPr>
        <w:t xml:space="preserve"> 供应商应仔细阅读磋商文件的所有内容，按磋商文件的要求编制响应文件，并保证所提供的全部资料的真实性，以使其响应文件对磋商文件做出实质性的响应。</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12.2</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bCs/>
          <w:color w:val="auto"/>
          <w:sz w:val="21"/>
          <w:highlight w:val="none"/>
          <w:lang w:eastAsia="zh-CN"/>
        </w:rPr>
        <w:t>12.3</w:t>
      </w:r>
      <w:r>
        <w:rPr>
          <w:rFonts w:hint="eastAsia" w:ascii="宋体" w:hAnsi="宋体" w:eastAsia="宋体" w:cs="宋体"/>
          <w:bCs/>
          <w:color w:val="auto"/>
          <w:sz w:val="21"/>
          <w:highlight w:val="none"/>
        </w:rPr>
        <w:t xml:space="preserve"> </w:t>
      </w:r>
      <w:r>
        <w:rPr>
          <w:rFonts w:hint="eastAsia" w:ascii="宋体" w:hAnsi="宋体" w:eastAsia="宋体" w:cs="宋体"/>
          <w:color w:val="auto"/>
          <w:sz w:val="21"/>
          <w:highlight w:val="none"/>
        </w:rPr>
        <w:t>计量单位应使用我国法定计量单位，未列明时应默认为我国法定计量单位。</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eastAsia="zh-CN"/>
        </w:rPr>
        <w:t>12.4</w:t>
      </w:r>
      <w:r>
        <w:rPr>
          <w:rFonts w:hint="eastAsia" w:ascii="宋体" w:hAnsi="宋体" w:eastAsia="宋体" w:cs="宋体"/>
          <w:color w:val="auto"/>
          <w:sz w:val="21"/>
          <w:highlight w:val="none"/>
        </w:rPr>
        <w:t xml:space="preserve"> 响应文件应采用书面形式，电报、传真、电子邮件形式的响应文件概不接受。</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12.5</w:t>
      </w:r>
      <w:r>
        <w:rPr>
          <w:rFonts w:hint="eastAsia" w:ascii="宋体" w:hAnsi="宋体" w:eastAsia="宋体" w:cs="宋体"/>
          <w:color w:val="auto"/>
          <w:szCs w:val="21"/>
          <w:highlight w:val="none"/>
        </w:rPr>
        <w:t xml:space="preserve"> 供应商应按磋商文件中提供的响应文件格式填写。</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的组成</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13.1</w:t>
      </w:r>
      <w:r>
        <w:rPr>
          <w:rFonts w:hint="eastAsia" w:ascii="宋体" w:hAnsi="宋体" w:eastAsia="宋体" w:cs="宋体"/>
          <w:color w:val="auto"/>
          <w:szCs w:val="21"/>
          <w:highlight w:val="none"/>
        </w:rPr>
        <w:t xml:space="preserve"> 响应文件包括下列内容： </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default" w:ascii="宋体" w:hAnsi="宋体" w:eastAsia="宋体" w:cs="宋体"/>
          <w:color w:val="auto"/>
          <w:sz w:val="21"/>
          <w:highlight w:val="none"/>
          <w:lang w:val="en-US" w:eastAsia="zh-CN"/>
        </w:rPr>
      </w:pPr>
      <w:r>
        <w:rPr>
          <w:rFonts w:hint="eastAsia" w:hAnsi="宋体" w:cs="宋体"/>
          <w:color w:val="auto"/>
          <w:sz w:val="21"/>
          <w:highlight w:val="none"/>
          <w:lang w:eastAsia="zh-CN"/>
        </w:rPr>
        <w:t>第一部分</w:t>
      </w:r>
      <w:r>
        <w:rPr>
          <w:rFonts w:hint="eastAsia" w:hAnsi="宋体" w:cs="宋体"/>
          <w:color w:val="auto"/>
          <w:sz w:val="21"/>
          <w:highlight w:val="none"/>
          <w:lang w:val="en-US" w:eastAsia="zh-CN"/>
        </w:rPr>
        <w:t xml:space="preserve">  资格证明文件</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（1）磋商响应声明</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（2）</w:t>
      </w:r>
      <w:r>
        <w:rPr>
          <w:rFonts w:hint="eastAsia" w:hAnsi="宋体" w:cs="宋体"/>
          <w:color w:val="auto"/>
          <w:sz w:val="21"/>
          <w:highlight w:val="none"/>
          <w:lang w:eastAsia="zh-CN"/>
        </w:rPr>
        <w:t>法定代表人身份证明（法定代表人授权书）</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eastAsia" w:ascii="宋体" w:hAnsi="宋体" w:eastAsia="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3</w:t>
      </w:r>
      <w:r>
        <w:rPr>
          <w:rFonts w:hint="eastAsia" w:hAnsi="宋体" w:cs="宋体"/>
          <w:color w:val="auto"/>
          <w:sz w:val="21"/>
          <w:highlight w:val="none"/>
          <w:lang w:eastAsia="zh-CN"/>
        </w:rPr>
        <w:t>）</w:t>
      </w:r>
      <w:r>
        <w:rPr>
          <w:rFonts w:hint="eastAsia" w:ascii="宋体" w:hAnsi="宋体" w:eastAsia="宋体" w:cs="宋体"/>
          <w:color w:val="auto"/>
          <w:sz w:val="21"/>
          <w:highlight w:val="none"/>
        </w:rPr>
        <w:t>保证金</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4</w:t>
      </w:r>
      <w:r>
        <w:rPr>
          <w:rFonts w:hint="eastAsia" w:ascii="宋体" w:hAnsi="宋体" w:eastAsia="宋体" w:cs="宋体"/>
          <w:color w:val="auto"/>
          <w:sz w:val="21"/>
          <w:highlight w:val="none"/>
        </w:rPr>
        <w:t>）供应商的资格证明文件</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default" w:ascii="宋体" w:hAnsi="宋体" w:eastAsia="宋体" w:cs="宋体"/>
          <w:color w:val="auto"/>
          <w:sz w:val="21"/>
          <w:highlight w:val="none"/>
          <w:lang w:val="en-US" w:eastAsia="zh-CN"/>
        </w:rPr>
      </w:pPr>
      <w:r>
        <w:rPr>
          <w:rFonts w:hint="eastAsia" w:hAnsi="宋体" w:cs="宋体"/>
          <w:color w:val="auto"/>
          <w:sz w:val="21"/>
          <w:highlight w:val="none"/>
          <w:lang w:eastAsia="zh-CN"/>
        </w:rPr>
        <w:t>第二部分</w:t>
      </w:r>
      <w:r>
        <w:rPr>
          <w:rFonts w:hint="eastAsia" w:hAnsi="宋体" w:cs="宋体"/>
          <w:color w:val="auto"/>
          <w:sz w:val="21"/>
          <w:highlight w:val="none"/>
          <w:lang w:val="en-US" w:eastAsia="zh-CN"/>
        </w:rPr>
        <w:t xml:space="preserve">  商务技术文件</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5</w:t>
      </w:r>
      <w:r>
        <w:rPr>
          <w:rFonts w:hint="eastAsia" w:ascii="宋体" w:hAnsi="宋体" w:eastAsia="宋体" w:cs="宋体"/>
          <w:color w:val="auto"/>
          <w:sz w:val="21"/>
          <w:highlight w:val="none"/>
        </w:rPr>
        <w:t>）技术/商务响应与偏离表</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6</w:t>
      </w:r>
      <w:r>
        <w:rPr>
          <w:rFonts w:hint="eastAsia" w:ascii="宋体" w:hAnsi="宋体" w:eastAsia="宋体" w:cs="宋体"/>
          <w:color w:val="auto"/>
          <w:sz w:val="21"/>
          <w:highlight w:val="none"/>
        </w:rPr>
        <w:t>）报价一览表及报价文件</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以及规定格式的首次报价的报价一览表及报价文件的电子文件</w:t>
      </w:r>
      <w:r>
        <w:rPr>
          <w:rFonts w:hint="eastAsia" w:ascii="宋体" w:hAnsi="宋体" w:eastAsia="宋体" w:cs="宋体"/>
          <w:color w:val="auto"/>
          <w:sz w:val="21"/>
          <w:highlight w:val="none"/>
          <w:lang w:eastAsia="zh-CN"/>
        </w:rPr>
        <w:t>）</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lang w:eastAsia="zh-CN"/>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7</w:t>
      </w:r>
      <w:r>
        <w:rPr>
          <w:rFonts w:hint="eastAsia" w:ascii="宋体" w:hAnsi="宋体" w:eastAsia="宋体" w:cs="宋体"/>
          <w:color w:val="auto"/>
          <w:sz w:val="21"/>
          <w:highlight w:val="none"/>
        </w:rPr>
        <w:t>）</w:t>
      </w:r>
      <w:r>
        <w:rPr>
          <w:rFonts w:hint="eastAsia" w:hAnsi="宋体" w:cs="宋体"/>
          <w:color w:val="auto"/>
          <w:sz w:val="21"/>
          <w:highlight w:val="none"/>
          <w:lang w:eastAsia="zh-CN"/>
        </w:rPr>
        <w:t>施工组织设计</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8</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享受</w:t>
      </w:r>
      <w:r>
        <w:rPr>
          <w:rFonts w:hint="eastAsia" w:ascii="宋体" w:hAnsi="宋体" w:eastAsia="宋体" w:cs="宋体"/>
          <w:color w:val="auto"/>
          <w:sz w:val="21"/>
          <w:highlight w:val="none"/>
        </w:rPr>
        <w:t>政府采购政策</w:t>
      </w:r>
      <w:r>
        <w:rPr>
          <w:rFonts w:hint="eastAsia" w:ascii="宋体" w:hAnsi="宋体" w:eastAsia="宋体" w:cs="宋体"/>
          <w:color w:val="auto"/>
          <w:sz w:val="21"/>
          <w:highlight w:val="none"/>
          <w:lang w:eastAsia="zh-CN"/>
        </w:rPr>
        <w:t>优惠的</w:t>
      </w:r>
      <w:r>
        <w:rPr>
          <w:rFonts w:hint="eastAsia" w:ascii="宋体" w:hAnsi="宋体" w:eastAsia="宋体" w:cs="宋体"/>
          <w:color w:val="auto"/>
          <w:sz w:val="21"/>
          <w:highlight w:val="none"/>
        </w:rPr>
        <w:t>证明材料</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）供应商认为需提供的其他资料</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lang w:eastAsia="zh-CN"/>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10</w:t>
      </w:r>
      <w:r>
        <w:rPr>
          <w:rFonts w:hint="eastAsia" w:hAnsi="宋体" w:cs="宋体"/>
          <w:color w:val="auto"/>
          <w:sz w:val="21"/>
          <w:highlight w:val="none"/>
          <w:lang w:eastAsia="zh-CN"/>
        </w:rPr>
        <w:t>）代理服务费承诺</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lang w:eastAsia="zh-CN"/>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11</w:t>
      </w:r>
      <w:r>
        <w:rPr>
          <w:rFonts w:hint="eastAsia" w:hAnsi="宋体" w:cs="宋体"/>
          <w:color w:val="auto"/>
          <w:sz w:val="21"/>
          <w:highlight w:val="none"/>
          <w:lang w:eastAsia="zh-CN"/>
        </w:rPr>
        <w:t>）最后报价</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13.2</w:t>
      </w:r>
      <w:r>
        <w:rPr>
          <w:rFonts w:hint="eastAsia" w:ascii="宋体" w:hAnsi="宋体" w:eastAsia="宋体" w:cs="宋体"/>
          <w:color w:val="auto"/>
          <w:szCs w:val="21"/>
          <w:highlight w:val="none"/>
        </w:rPr>
        <w:t>在磋商过程中，供应商根据</w:t>
      </w:r>
      <w:r>
        <w:rPr>
          <w:rFonts w:hint="eastAsia" w:ascii="宋体" w:hAnsi="宋体" w:eastAsia="宋体" w:cs="宋体"/>
          <w:color w:val="auto"/>
          <w:kern w:val="0"/>
          <w:szCs w:val="21"/>
          <w:highlight w:val="none"/>
        </w:rPr>
        <w:t>磋商小组</w:t>
      </w:r>
      <w:r>
        <w:rPr>
          <w:rFonts w:hint="eastAsia" w:ascii="宋体" w:hAnsi="宋体" w:eastAsia="宋体" w:cs="宋体"/>
          <w:bCs/>
          <w:color w:val="auto"/>
          <w:szCs w:val="21"/>
          <w:highlight w:val="none"/>
        </w:rPr>
        <w:t>书面形式要求</w:t>
      </w:r>
      <w:r>
        <w:rPr>
          <w:rFonts w:hint="eastAsia" w:ascii="宋体" w:hAnsi="宋体" w:eastAsia="宋体" w:cs="宋体"/>
          <w:color w:val="auto"/>
          <w:kern w:val="0"/>
          <w:szCs w:val="21"/>
          <w:highlight w:val="none"/>
        </w:rPr>
        <w:t>提交的</w:t>
      </w:r>
      <w:r>
        <w:rPr>
          <w:rFonts w:hint="eastAsia" w:ascii="宋体" w:hAnsi="宋体" w:eastAsia="宋体" w:cs="宋体"/>
          <w:color w:val="auto"/>
          <w:szCs w:val="21"/>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w:t>
      </w:r>
      <w:r>
        <w:rPr>
          <w:rFonts w:hint="eastAsia" w:ascii="宋体" w:hAnsi="宋体" w:eastAsia="宋体" w:cs="宋体"/>
          <w:color w:val="auto"/>
          <w:szCs w:val="21"/>
          <w:highlight w:val="none"/>
        </w:rPr>
        <w:t>最后报价)是响应文件的有效组成部分。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
          <w:color w:val="auto"/>
          <w:szCs w:val="21"/>
          <w:highlight w:val="none"/>
        </w:rPr>
      </w:pPr>
      <w:r>
        <w:rPr>
          <w:rFonts w:hint="eastAsia" w:ascii="宋体" w:hAnsi="宋体" w:cs="宋体"/>
          <w:color w:val="auto"/>
          <w:szCs w:val="21"/>
          <w:highlight w:val="none"/>
          <w:lang w:eastAsia="zh-CN"/>
        </w:rPr>
        <w:t>13.3</w:t>
      </w:r>
      <w:r>
        <w:rPr>
          <w:rFonts w:hint="eastAsia" w:ascii="宋体" w:hAnsi="宋体" w:eastAsia="宋体" w:cs="宋体"/>
          <w:color w:val="auto"/>
          <w:kern w:val="0"/>
          <w:szCs w:val="21"/>
          <w:highlight w:val="none"/>
        </w:rPr>
        <w:t>磋商文件规定可能发生实质性变动的，供应商应当在</w:t>
      </w:r>
      <w:r>
        <w:rPr>
          <w:rFonts w:hint="eastAsia" w:ascii="宋体" w:hAnsi="宋体" w:cs="宋体"/>
          <w:b/>
          <w:bCs/>
          <w:color w:val="auto"/>
          <w:szCs w:val="21"/>
          <w:highlight w:val="none"/>
          <w:lang w:eastAsia="zh-CN"/>
        </w:rPr>
        <w:t>“技术</w:t>
      </w:r>
      <w:r>
        <w:rPr>
          <w:rFonts w:hint="eastAsia" w:ascii="宋体" w:hAnsi="宋体" w:eastAsia="宋体" w:cs="宋体"/>
          <w:b/>
          <w:bCs/>
          <w:color w:val="auto"/>
          <w:szCs w:val="21"/>
          <w:highlight w:val="none"/>
        </w:rPr>
        <w:t>/商务响应与偏离表</w:t>
      </w:r>
      <w:r>
        <w:rPr>
          <w:rFonts w:hint="eastAsia" w:ascii="宋体" w:hAnsi="宋体" w:cs="宋体"/>
          <w:b/>
          <w:bCs/>
          <w:color w:val="auto"/>
          <w:szCs w:val="21"/>
          <w:highlight w:val="none"/>
          <w:lang w:eastAsia="zh-CN"/>
        </w:rPr>
        <w:t>”</w:t>
      </w:r>
      <w:r>
        <w:rPr>
          <w:rFonts w:hint="eastAsia" w:ascii="宋体" w:hAnsi="宋体" w:eastAsia="宋体" w:cs="宋体"/>
          <w:color w:val="auto"/>
          <w:szCs w:val="21"/>
          <w:highlight w:val="none"/>
        </w:rPr>
        <w:t>中对应内容注明。</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color w:val="auto"/>
          <w:highlight w:val="none"/>
        </w:rPr>
      </w:pPr>
      <w:r>
        <w:rPr>
          <w:rFonts w:hint="eastAsia" w:ascii="宋体" w:hAnsi="宋体" w:cs="宋体"/>
          <w:color w:val="auto"/>
          <w:szCs w:val="21"/>
          <w:highlight w:val="none"/>
          <w:lang w:eastAsia="zh-CN"/>
        </w:rPr>
        <w:t>13.4</w:t>
      </w:r>
      <w:r>
        <w:rPr>
          <w:rFonts w:hint="eastAsia" w:ascii="宋体" w:hAnsi="宋体" w:eastAsia="宋体" w:cs="宋体"/>
          <w:color w:val="auto"/>
          <w:szCs w:val="21"/>
          <w:highlight w:val="none"/>
        </w:rPr>
        <w:t>根据《政府采购法》第四十二条的规定，供应商无论成交与否，其响应文件不予退还。</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.报价</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14.1</w:t>
      </w:r>
      <w:r>
        <w:rPr>
          <w:rFonts w:hint="eastAsia" w:ascii="宋体" w:hAnsi="宋体" w:cs="宋体"/>
          <w:color w:val="auto"/>
          <w:szCs w:val="21"/>
          <w:highlight w:val="none"/>
        </w:rPr>
        <w:t>供应商应当根据磋商文件要求和范围，以</w:t>
      </w:r>
      <w:r>
        <w:rPr>
          <w:rFonts w:hint="eastAsia" w:ascii="宋体" w:hAnsi="宋体" w:cs="宋体"/>
          <w:bCs/>
          <w:color w:val="auto"/>
          <w:szCs w:val="21"/>
          <w:highlight w:val="none"/>
        </w:rPr>
        <w:t>人民币</w:t>
      </w:r>
      <w:r>
        <w:rPr>
          <w:rFonts w:hint="eastAsia" w:ascii="宋体" w:hAnsi="宋体" w:cs="宋体"/>
          <w:color w:val="auto"/>
          <w:szCs w:val="21"/>
          <w:highlight w:val="none"/>
        </w:rPr>
        <w:t>报价，以元为单位，保留小数点后两位。</w:t>
      </w:r>
    </w:p>
    <w:p>
      <w:pPr>
        <w:pStyle w:val="4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 w:val="21"/>
          <w:highlight w:val="none"/>
        </w:rPr>
      </w:pPr>
      <w:r>
        <w:rPr>
          <w:rFonts w:hint="eastAsia" w:ascii="宋体" w:hAnsi="宋体" w:cs="宋体"/>
          <w:color w:val="auto"/>
          <w:sz w:val="21"/>
          <w:highlight w:val="none"/>
          <w:lang w:eastAsia="zh-CN"/>
        </w:rPr>
        <w:t>14.2</w:t>
      </w:r>
      <w:r>
        <w:rPr>
          <w:rFonts w:hint="eastAsia" w:ascii="宋体" w:hAnsi="宋体" w:cs="宋体"/>
          <w:color w:val="auto"/>
          <w:sz w:val="21"/>
          <w:highlight w:val="none"/>
        </w:rPr>
        <w:t>供应商应按第</w:t>
      </w:r>
      <w:r>
        <w:rPr>
          <w:rFonts w:hint="eastAsia" w:ascii="宋体" w:hAnsi="宋体" w:cs="宋体"/>
          <w:color w:val="auto"/>
          <w:sz w:val="21"/>
          <w:highlight w:val="none"/>
          <w:lang w:eastAsia="zh-CN"/>
        </w:rPr>
        <w:t>六</w:t>
      </w:r>
      <w:r>
        <w:rPr>
          <w:rFonts w:hint="eastAsia" w:ascii="宋体" w:hAnsi="宋体" w:cs="宋体"/>
          <w:color w:val="auto"/>
          <w:sz w:val="21"/>
          <w:highlight w:val="none"/>
        </w:rPr>
        <w:t>章“采购需求”要求及第</w:t>
      </w:r>
      <w:r>
        <w:rPr>
          <w:rFonts w:hint="eastAsia" w:ascii="宋体" w:hAnsi="宋体" w:cs="宋体"/>
          <w:color w:val="auto"/>
          <w:sz w:val="21"/>
          <w:highlight w:val="none"/>
          <w:lang w:eastAsia="zh-CN"/>
        </w:rPr>
        <w:t>七</w:t>
      </w:r>
      <w:r>
        <w:rPr>
          <w:rFonts w:hint="eastAsia" w:ascii="宋体" w:hAnsi="宋体" w:cs="宋体"/>
          <w:color w:val="auto"/>
          <w:sz w:val="21"/>
          <w:highlight w:val="none"/>
        </w:rPr>
        <w:t>章“响应文件组成”格式填写。供应商在</w:t>
      </w:r>
      <w:r>
        <w:rPr>
          <w:rFonts w:hint="eastAsia" w:ascii="宋体" w:hAnsi="宋体" w:cs="宋体"/>
          <w:bCs/>
          <w:color w:val="auto"/>
          <w:sz w:val="21"/>
          <w:highlight w:val="none"/>
        </w:rPr>
        <w:t>本章第1</w:t>
      </w:r>
      <w:r>
        <w:rPr>
          <w:rFonts w:hint="eastAsia" w:ascii="宋体" w:hAnsi="宋体" w:cs="宋体"/>
          <w:bCs/>
          <w:color w:val="auto"/>
          <w:sz w:val="21"/>
          <w:highlight w:val="none"/>
          <w:lang w:val="en-US" w:eastAsia="zh-CN"/>
        </w:rPr>
        <w:t>0</w:t>
      </w:r>
      <w:r>
        <w:rPr>
          <w:rFonts w:hint="eastAsia" w:ascii="宋体" w:hAnsi="宋体" w:cs="宋体"/>
          <w:bCs/>
          <w:color w:val="auto"/>
          <w:sz w:val="21"/>
          <w:highlight w:val="none"/>
        </w:rPr>
        <w:t>.1</w:t>
      </w:r>
      <w:r>
        <w:rPr>
          <w:rFonts w:hint="eastAsia" w:ascii="宋体" w:hAnsi="宋体" w:cs="宋体"/>
          <w:color w:val="auto"/>
          <w:sz w:val="21"/>
          <w:highlight w:val="none"/>
          <w:lang w:val="zh-CN"/>
        </w:rPr>
        <w:t>款</w:t>
      </w:r>
      <w:r>
        <w:rPr>
          <w:rFonts w:hint="eastAsia" w:ascii="宋体" w:hAnsi="宋体" w:cs="宋体"/>
          <w:bCs/>
          <w:color w:val="auto"/>
          <w:sz w:val="21"/>
          <w:highlight w:val="none"/>
        </w:rPr>
        <w:t>规定的</w:t>
      </w:r>
      <w:r>
        <w:rPr>
          <w:rFonts w:hint="eastAsia" w:ascii="宋体" w:hAnsi="宋体" w:cs="宋体"/>
          <w:color w:val="auto"/>
          <w:sz w:val="21"/>
          <w:highlight w:val="none"/>
        </w:rPr>
        <w:t>提交首次响应文件截止之日前修改报价一览表中的报价，应同时修改其按第</w:t>
      </w:r>
      <w:r>
        <w:rPr>
          <w:rFonts w:hint="eastAsia" w:ascii="宋体" w:hAnsi="宋体" w:cs="宋体"/>
          <w:color w:val="auto"/>
          <w:sz w:val="21"/>
          <w:highlight w:val="none"/>
          <w:lang w:eastAsia="zh-CN"/>
        </w:rPr>
        <w:t>七</w:t>
      </w:r>
      <w:r>
        <w:rPr>
          <w:rFonts w:hint="eastAsia" w:ascii="宋体" w:hAnsi="宋体" w:cs="宋体"/>
          <w:color w:val="auto"/>
          <w:sz w:val="21"/>
          <w:highlight w:val="none"/>
        </w:rPr>
        <w:t>章要求填写的相应表格中的报价。此修改须符合本章第</w:t>
      </w:r>
      <w:r>
        <w:rPr>
          <w:rFonts w:hint="eastAsia" w:ascii="宋体" w:hAnsi="宋体" w:cs="宋体"/>
          <w:color w:val="auto"/>
          <w:sz w:val="21"/>
          <w:highlight w:val="none"/>
          <w:lang w:eastAsia="zh-CN"/>
        </w:rPr>
        <w:t>20.1</w:t>
      </w:r>
      <w:r>
        <w:rPr>
          <w:rFonts w:hint="eastAsia" w:ascii="宋体" w:hAnsi="宋体" w:cs="宋体"/>
          <w:color w:val="auto"/>
          <w:sz w:val="21"/>
          <w:highlight w:val="none"/>
        </w:rPr>
        <w:t>款的有关要求。</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2" w:firstLineChars="200"/>
        <w:textAlignment w:val="auto"/>
        <w:rPr>
          <w:rFonts w:hint="eastAsia" w:hAnsi="宋体" w:cs="宋体"/>
          <w:b/>
          <w:color w:val="auto"/>
          <w:sz w:val="21"/>
          <w:highlight w:val="none"/>
        </w:rPr>
      </w:pPr>
      <w:r>
        <w:rPr>
          <w:rFonts w:hint="eastAsia" w:hAnsi="宋体" w:cs="宋体"/>
          <w:b/>
          <w:color w:val="auto"/>
          <w:sz w:val="21"/>
          <w:highlight w:val="none"/>
          <w:lang w:eastAsia="zh-CN"/>
        </w:rPr>
        <w:t>14.3</w:t>
      </w:r>
      <w:r>
        <w:rPr>
          <w:rFonts w:hint="eastAsia" w:hAnsi="宋体" w:cs="宋体"/>
          <w:b/>
          <w:color w:val="auto"/>
          <w:sz w:val="21"/>
          <w:highlight w:val="none"/>
        </w:rPr>
        <w:t>响应文件中标明的价格在合同执行过程中是固定不变的，不得以任何理由予以变更。以可变动价格提交的报价将被认为是非实质响应而被拒绝。</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14.4</w:t>
      </w:r>
      <w:r>
        <w:rPr>
          <w:rFonts w:hint="eastAsia" w:hAnsi="宋体" w:cs="宋体"/>
          <w:color w:val="auto"/>
          <w:sz w:val="21"/>
          <w:highlight w:val="none"/>
          <w:lang w:val="zh-CN"/>
        </w:rPr>
        <w:t>供应商</w:t>
      </w:r>
      <w:r>
        <w:rPr>
          <w:rFonts w:hint="eastAsia" w:hAnsi="宋体" w:cs="宋体"/>
          <w:color w:val="auto"/>
          <w:sz w:val="21"/>
          <w:highlight w:val="none"/>
        </w:rPr>
        <w:t>的报价不得超过采购项目预算</w:t>
      </w:r>
      <w:r>
        <w:rPr>
          <w:rFonts w:hint="eastAsia" w:hAnsi="宋体" w:cs="宋体"/>
          <w:color w:val="auto"/>
          <w:sz w:val="21"/>
          <w:highlight w:val="none"/>
          <w:lang w:eastAsia="zh-CN"/>
        </w:rPr>
        <w:t>（最高限价）</w:t>
      </w:r>
      <w:r>
        <w:rPr>
          <w:rFonts w:hint="eastAsia" w:hAnsi="宋体" w:cs="宋体"/>
          <w:color w:val="auto"/>
          <w:sz w:val="21"/>
          <w:highlight w:val="none"/>
        </w:rPr>
        <w:t>，采购项目预算</w:t>
      </w:r>
      <w:r>
        <w:rPr>
          <w:rFonts w:hint="eastAsia" w:hAnsi="宋体" w:cs="宋体"/>
          <w:color w:val="auto"/>
          <w:sz w:val="21"/>
          <w:highlight w:val="none"/>
          <w:lang w:eastAsia="zh-CN"/>
        </w:rPr>
        <w:t>（最高限价）</w:t>
      </w:r>
      <w:r>
        <w:rPr>
          <w:rFonts w:hint="eastAsia" w:hAnsi="宋体" w:cs="宋体"/>
          <w:color w:val="auto"/>
          <w:sz w:val="21"/>
          <w:highlight w:val="none"/>
        </w:rPr>
        <w:t>或其计算方法见</w:t>
      </w:r>
      <w:r>
        <w:rPr>
          <w:rFonts w:hint="eastAsia" w:hAnsi="宋体" w:cs="宋体"/>
          <w:b/>
          <w:color w:val="auto"/>
          <w:sz w:val="21"/>
          <w:highlight w:val="none"/>
        </w:rPr>
        <w:t>磋商须知前附表</w:t>
      </w:r>
      <w:r>
        <w:rPr>
          <w:rFonts w:hint="eastAsia" w:hAnsi="宋体" w:cs="宋体"/>
          <w:color w:val="auto"/>
          <w:sz w:val="21"/>
          <w:highlight w:val="none"/>
        </w:rPr>
        <w:t>。</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hAnsi="宋体" w:cs="宋体"/>
          <w:b/>
          <w:color w:val="auto"/>
          <w:sz w:val="21"/>
          <w:highlight w:val="none"/>
        </w:rPr>
      </w:pPr>
      <w:r>
        <w:rPr>
          <w:rFonts w:hint="eastAsia" w:hAnsi="宋体" w:cs="宋体"/>
          <w:b/>
          <w:color w:val="auto"/>
          <w:sz w:val="21"/>
          <w:highlight w:val="none"/>
        </w:rPr>
        <w:t>1</w:t>
      </w:r>
      <w:r>
        <w:rPr>
          <w:rFonts w:hint="eastAsia" w:hAnsi="宋体" w:cs="宋体"/>
          <w:b/>
          <w:color w:val="auto"/>
          <w:sz w:val="21"/>
          <w:highlight w:val="none"/>
          <w:lang w:val="en-US" w:eastAsia="zh-CN"/>
        </w:rPr>
        <w:t>5</w:t>
      </w:r>
      <w:r>
        <w:rPr>
          <w:rFonts w:hint="eastAsia" w:hAnsi="宋体" w:cs="宋体"/>
          <w:b/>
          <w:color w:val="auto"/>
          <w:sz w:val="21"/>
          <w:highlight w:val="none"/>
        </w:rPr>
        <w:t>.供应商符合磋商文件规定的证明文件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15.1</w:t>
      </w:r>
      <w:r>
        <w:rPr>
          <w:rFonts w:hint="eastAsia" w:ascii="宋体" w:hAnsi="宋体" w:cs="宋体"/>
          <w:color w:val="auto"/>
          <w:szCs w:val="21"/>
          <w:highlight w:val="none"/>
        </w:rPr>
        <w:t>已进行资格预审的，可以不再对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资格进行审查，</w:t>
      </w:r>
      <w:r>
        <w:rPr>
          <w:rFonts w:hint="eastAsia" w:ascii="宋体" w:hAnsi="宋体" w:cs="宋体"/>
          <w:color w:val="auto"/>
          <w:szCs w:val="21"/>
          <w:highlight w:val="none"/>
          <w:lang w:eastAsia="zh-CN"/>
        </w:rPr>
        <w:t>资格审查合格</w:t>
      </w: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的</w:t>
      </w:r>
      <w:r>
        <w:rPr>
          <w:rFonts w:hint="eastAsia" w:ascii="宋体" w:hAnsi="宋体" w:cs="宋体"/>
          <w:color w:val="auto"/>
          <w:szCs w:val="21"/>
          <w:highlight w:val="none"/>
        </w:rPr>
        <w:t>资格条件发生重大变化，影响或者可能影响资格条件的，供应商应更新或者补充提供的资格证明材料，以证实其各项条件仍能继续满足本章第3.1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规定的供应商资格条件要求。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lang w:val="zh-CN"/>
        </w:rPr>
      </w:pPr>
      <w:r>
        <w:rPr>
          <w:rFonts w:hint="eastAsia" w:ascii="宋体" w:hAnsi="宋体" w:cs="宋体"/>
          <w:color w:val="auto"/>
          <w:szCs w:val="21"/>
          <w:highlight w:val="none"/>
          <w:lang w:eastAsia="zh-CN"/>
        </w:rPr>
        <w:t>15.2</w:t>
      </w:r>
      <w:r>
        <w:rPr>
          <w:rFonts w:hint="eastAsia" w:ascii="宋体" w:hAnsi="宋体" w:cs="宋体"/>
          <w:color w:val="auto"/>
          <w:kern w:val="0"/>
          <w:szCs w:val="21"/>
          <w:highlight w:val="none"/>
          <w:lang w:val="zh-CN"/>
        </w:rPr>
        <w:t>供应商</w:t>
      </w:r>
      <w:r>
        <w:rPr>
          <w:rFonts w:hint="eastAsia" w:ascii="宋体" w:hAnsi="宋体" w:cs="宋体"/>
          <w:color w:val="auto"/>
          <w:szCs w:val="21"/>
          <w:highlight w:val="none"/>
        </w:rPr>
        <w:t>为联合体形式的，则应提交联合体各方资格文件、联合体协议，否则将视为非实质响应而被拒绝。</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磋商</w:t>
      </w:r>
      <w:r>
        <w:rPr>
          <w:rFonts w:hint="eastAsia" w:ascii="宋体" w:hAnsi="宋体" w:cs="宋体"/>
          <w:b/>
          <w:bCs/>
          <w:color w:val="auto"/>
          <w:szCs w:val="21"/>
          <w:highlight w:val="none"/>
        </w:rPr>
        <w:t>保证金</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bCs/>
          <w:color w:val="auto"/>
          <w:sz w:val="21"/>
          <w:highlight w:val="none"/>
        </w:rPr>
      </w:pPr>
      <w:r>
        <w:rPr>
          <w:rFonts w:hint="eastAsia" w:hAnsi="宋体" w:cs="宋体"/>
          <w:color w:val="auto"/>
          <w:sz w:val="21"/>
          <w:highlight w:val="none"/>
          <w:lang w:eastAsia="zh-CN"/>
        </w:rPr>
        <w:t>16.1</w:t>
      </w:r>
      <w:r>
        <w:rPr>
          <w:rFonts w:hint="eastAsia" w:hAnsi="宋体" w:cs="宋体"/>
          <w:b/>
          <w:color w:val="auto"/>
          <w:sz w:val="21"/>
          <w:highlight w:val="none"/>
        </w:rPr>
        <w:t>磋商须知前附表</w:t>
      </w:r>
      <w:r>
        <w:rPr>
          <w:rFonts w:hint="eastAsia" w:hAnsi="宋体" w:cs="宋体"/>
          <w:color w:val="auto"/>
          <w:sz w:val="21"/>
          <w:highlight w:val="none"/>
        </w:rPr>
        <w:t>规定交纳</w:t>
      </w:r>
      <w:r>
        <w:rPr>
          <w:rFonts w:hint="eastAsia" w:hAnsi="宋体" w:cs="宋体"/>
          <w:bCs/>
          <w:color w:val="auto"/>
          <w:sz w:val="21"/>
          <w:highlight w:val="none"/>
        </w:rPr>
        <w:t>保证金的</w:t>
      </w:r>
      <w:r>
        <w:rPr>
          <w:rFonts w:hint="eastAsia" w:hAnsi="宋体" w:cs="宋体"/>
          <w:color w:val="auto"/>
          <w:sz w:val="21"/>
          <w:highlight w:val="none"/>
        </w:rPr>
        <w:t>，应按</w:t>
      </w:r>
      <w:r>
        <w:rPr>
          <w:rFonts w:hint="eastAsia" w:hAnsi="宋体" w:cs="宋体"/>
          <w:b/>
          <w:color w:val="auto"/>
          <w:sz w:val="21"/>
          <w:highlight w:val="none"/>
        </w:rPr>
        <w:t>磋商须知前附表</w:t>
      </w:r>
      <w:r>
        <w:rPr>
          <w:rFonts w:hint="eastAsia" w:hAnsi="宋体" w:cs="宋体"/>
          <w:color w:val="auto"/>
          <w:sz w:val="21"/>
          <w:highlight w:val="none"/>
        </w:rPr>
        <w:t>规定的</w:t>
      </w:r>
      <w:r>
        <w:rPr>
          <w:rFonts w:hint="eastAsia" w:hAnsi="宋体" w:cs="宋体"/>
          <w:bCs/>
          <w:color w:val="auto"/>
          <w:sz w:val="21"/>
          <w:highlight w:val="none"/>
        </w:rPr>
        <w:t>保证金形式交纳，不得以现金方式交纳</w:t>
      </w:r>
      <w:r>
        <w:rPr>
          <w:rFonts w:hint="eastAsia" w:hAnsi="宋体" w:cs="宋体"/>
          <w:color w:val="auto"/>
          <w:sz w:val="21"/>
          <w:highlight w:val="none"/>
        </w:rPr>
        <w:t>，在本章第</w:t>
      </w:r>
      <w:r>
        <w:rPr>
          <w:rFonts w:hint="eastAsia" w:hAnsi="宋体" w:cs="宋体"/>
          <w:color w:val="auto"/>
          <w:sz w:val="21"/>
          <w:highlight w:val="none"/>
          <w:lang w:eastAsia="zh-CN"/>
        </w:rPr>
        <w:t>10.1</w:t>
      </w:r>
      <w:r>
        <w:rPr>
          <w:rFonts w:hint="eastAsia" w:hAnsi="宋体" w:cs="宋体"/>
          <w:color w:val="auto"/>
          <w:sz w:val="21"/>
          <w:highlight w:val="none"/>
          <w:lang w:val="zh-CN"/>
        </w:rPr>
        <w:t>款</w:t>
      </w:r>
      <w:r>
        <w:rPr>
          <w:rFonts w:hint="eastAsia" w:hAnsi="宋体" w:cs="宋体"/>
          <w:color w:val="auto"/>
          <w:sz w:val="21"/>
          <w:highlight w:val="none"/>
        </w:rPr>
        <w:t>规定的提交首次响应文件截止时间前，</w:t>
      </w:r>
      <w:r>
        <w:rPr>
          <w:rFonts w:hint="eastAsia" w:hAnsi="宋体" w:cs="宋体"/>
          <w:bCs/>
          <w:color w:val="auto"/>
          <w:sz w:val="21"/>
          <w:highlight w:val="none"/>
        </w:rPr>
        <w:t>交纳不超过</w:t>
      </w:r>
      <w:r>
        <w:rPr>
          <w:rFonts w:hint="eastAsia" w:hAnsi="宋体" w:cs="宋体"/>
          <w:color w:val="auto"/>
          <w:sz w:val="21"/>
          <w:highlight w:val="none"/>
          <w:lang w:val="zh-CN"/>
        </w:rPr>
        <w:t>采购项目预算2﹪</w:t>
      </w:r>
      <w:r>
        <w:rPr>
          <w:rFonts w:hint="eastAsia" w:hAnsi="宋体" w:cs="宋体"/>
          <w:bCs/>
          <w:color w:val="auto"/>
          <w:sz w:val="21"/>
          <w:highlight w:val="none"/>
        </w:rPr>
        <w:t>的保证金(</w:t>
      </w:r>
      <w:r>
        <w:rPr>
          <w:rFonts w:hint="eastAsia" w:ascii="宋体" w:hAnsi="宋体" w:eastAsia="宋体" w:cs="宋体"/>
          <w:bCs/>
          <w:color w:val="auto"/>
          <w:sz w:val="21"/>
          <w:highlight w:val="none"/>
        </w:rPr>
        <w:t>数额详见</w:t>
      </w:r>
      <w:r>
        <w:rPr>
          <w:rFonts w:hint="eastAsia" w:ascii="宋体" w:hAnsi="宋体" w:eastAsia="宋体" w:cs="宋体"/>
          <w:b/>
          <w:bCs w:val="0"/>
          <w:color w:val="auto"/>
          <w:sz w:val="21"/>
          <w:highlight w:val="none"/>
        </w:rPr>
        <w:t>磋商须知前附表</w:t>
      </w:r>
      <w:r>
        <w:rPr>
          <w:rFonts w:hint="eastAsia" w:hAnsi="宋体" w:cs="宋体"/>
          <w:bCs/>
          <w:color w:val="auto"/>
          <w:sz w:val="21"/>
          <w:highlight w:val="none"/>
        </w:rPr>
        <w:t>)</w:t>
      </w:r>
      <w:r>
        <w:rPr>
          <w:rFonts w:hint="eastAsia" w:hAnsi="宋体" w:cs="宋体"/>
          <w:color w:val="auto"/>
          <w:sz w:val="21"/>
          <w:highlight w:val="none"/>
        </w:rPr>
        <w:t>。</w:t>
      </w:r>
      <w:r>
        <w:rPr>
          <w:rFonts w:hint="eastAsia" w:hAnsi="宋体" w:cs="宋体"/>
          <w:bCs/>
          <w:color w:val="auto"/>
          <w:sz w:val="21"/>
          <w:highlight w:val="none"/>
        </w:rPr>
        <w:t>保证金有效期应当与</w:t>
      </w:r>
      <w:r>
        <w:rPr>
          <w:rFonts w:hint="eastAsia" w:hAnsi="宋体" w:cs="宋体"/>
          <w:color w:val="auto"/>
          <w:sz w:val="21"/>
          <w:highlight w:val="none"/>
        </w:rPr>
        <w:t>本章第</w:t>
      </w:r>
      <w:r>
        <w:rPr>
          <w:rFonts w:hint="eastAsia" w:hAnsi="宋体" w:cs="宋体"/>
          <w:color w:val="auto"/>
          <w:sz w:val="21"/>
          <w:highlight w:val="none"/>
          <w:lang w:eastAsia="zh-CN"/>
        </w:rPr>
        <w:t>17.1</w:t>
      </w:r>
      <w:r>
        <w:rPr>
          <w:rFonts w:hint="eastAsia" w:hAnsi="宋体" w:cs="宋体"/>
          <w:color w:val="auto"/>
          <w:sz w:val="21"/>
          <w:highlight w:val="none"/>
          <w:lang w:val="zh-CN"/>
        </w:rPr>
        <w:t>款</w:t>
      </w:r>
      <w:r>
        <w:rPr>
          <w:rFonts w:hint="eastAsia" w:hAnsi="宋体" w:cs="宋体"/>
          <w:color w:val="auto"/>
          <w:sz w:val="21"/>
          <w:highlight w:val="none"/>
        </w:rPr>
        <w:t>规定的</w:t>
      </w:r>
      <w:r>
        <w:rPr>
          <w:rFonts w:hint="eastAsia" w:hAnsi="宋体" w:cs="宋体"/>
          <w:bCs/>
          <w:color w:val="auto"/>
          <w:sz w:val="21"/>
          <w:highlight w:val="none"/>
        </w:rPr>
        <w:t>响应文件有效期一致。</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lang w:eastAsia="zh-CN"/>
        </w:rPr>
        <w:t>16.2</w:t>
      </w:r>
      <w:r>
        <w:rPr>
          <w:rFonts w:hint="eastAsia" w:ascii="宋体" w:hAnsi="宋体" w:cs="宋体"/>
          <w:color w:val="auto"/>
          <w:kern w:val="0"/>
          <w:szCs w:val="21"/>
          <w:highlight w:val="none"/>
          <w:lang w:val="zh-CN"/>
        </w:rPr>
        <w:t>供应商为联合体的，可以由联合体中的一方或者共同交纳保证金，其交纳的保证金，对联合体各方均具有约束力。</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16.3</w:t>
      </w:r>
      <w:r>
        <w:rPr>
          <w:rFonts w:hint="eastAsia" w:hAnsi="宋体" w:cs="宋体"/>
          <w:color w:val="auto"/>
          <w:sz w:val="21"/>
          <w:highlight w:val="none"/>
        </w:rPr>
        <w:t xml:space="preserve"> 未按磋商文件规定提交保证金的，</w:t>
      </w:r>
      <w:r>
        <w:rPr>
          <w:rFonts w:hint="eastAsia" w:hAnsi="宋体" w:cs="宋体"/>
          <w:bCs/>
          <w:color w:val="auto"/>
          <w:sz w:val="21"/>
          <w:highlight w:val="none"/>
        </w:rPr>
        <w:t>采购人或采购代理机构应当拒绝接收供应商的响应文件</w:t>
      </w:r>
      <w:r>
        <w:rPr>
          <w:rFonts w:hint="eastAsia" w:hAnsi="宋体" w:cs="宋体"/>
          <w:color w:val="auto"/>
          <w:sz w:val="21"/>
          <w:highlight w:val="none"/>
        </w:rPr>
        <w:t>。</w:t>
      </w:r>
    </w:p>
    <w:p>
      <w:pPr>
        <w:pStyle w:val="11"/>
        <w:keepNext w:val="0"/>
        <w:keepLines w:val="0"/>
        <w:pageBreakBefore w:val="0"/>
        <w:shd w:val="clear" w:color="auto" w:fill="auto"/>
        <w:tabs>
          <w:tab w:val="left" w:pos="6300"/>
        </w:tabs>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16.4</w:t>
      </w:r>
      <w:r>
        <w:rPr>
          <w:rFonts w:hint="eastAsia" w:hAnsi="宋体" w:cs="宋体"/>
          <w:color w:val="auto"/>
          <w:sz w:val="21"/>
          <w:highlight w:val="none"/>
        </w:rPr>
        <w:t>采购代理机构在成交通知书发出后5个工作日内退还未成交供应商的保证金；在采购合同签定后5个工作日内退还成交供应商的保证金，但因供应商自身原因导致无法及时退还的除外。</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16.5</w:t>
      </w:r>
      <w:r>
        <w:rPr>
          <w:rFonts w:hint="eastAsia" w:hAnsi="宋体" w:cs="宋体"/>
          <w:color w:val="auto"/>
          <w:sz w:val="21"/>
          <w:highlight w:val="none"/>
        </w:rPr>
        <w:t xml:space="preserve"> 有下列情形之一的，保证金不予退还，并上缴</w:t>
      </w:r>
      <w:r>
        <w:rPr>
          <w:rFonts w:hint="eastAsia" w:hAnsi="宋体" w:cs="宋体"/>
          <w:color w:val="auto"/>
          <w:sz w:val="21"/>
          <w:highlight w:val="none"/>
          <w:lang w:eastAsia="zh-CN"/>
        </w:rPr>
        <w:t>国库</w:t>
      </w:r>
      <w:r>
        <w:rPr>
          <w:rFonts w:hint="eastAsia" w:hAnsi="宋体" w:cs="宋体"/>
          <w:color w:val="auto"/>
          <w:sz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（1）供应商在</w:t>
      </w:r>
      <w:r>
        <w:rPr>
          <w:rFonts w:hint="eastAsia" w:ascii="宋体" w:hAnsi="宋体" w:cs="宋体"/>
          <w:bCs/>
          <w:color w:val="auto"/>
          <w:szCs w:val="21"/>
          <w:highlight w:val="none"/>
        </w:rPr>
        <w:t>本章第</w:t>
      </w:r>
      <w:r>
        <w:rPr>
          <w:rFonts w:hint="eastAsia" w:ascii="宋体" w:hAnsi="宋体" w:cs="宋体"/>
          <w:bCs/>
          <w:color w:val="auto"/>
          <w:szCs w:val="21"/>
          <w:highlight w:val="none"/>
          <w:lang w:eastAsia="zh-CN"/>
        </w:rPr>
        <w:t>10.1</w:t>
      </w:r>
      <w:r>
        <w:rPr>
          <w:rFonts w:hint="eastAsia" w:ascii="宋体" w:hAnsi="宋体" w:cs="宋体"/>
          <w:color w:val="auto"/>
          <w:kern w:val="0"/>
          <w:szCs w:val="21"/>
          <w:highlight w:val="none"/>
          <w:lang w:val="zh-CN"/>
        </w:rPr>
        <w:t>款</w:t>
      </w:r>
      <w:r>
        <w:rPr>
          <w:rFonts w:hint="eastAsia" w:ascii="宋体" w:hAnsi="宋体" w:cs="宋体"/>
          <w:bCs/>
          <w:color w:val="auto"/>
          <w:szCs w:val="21"/>
          <w:highlight w:val="none"/>
        </w:rPr>
        <w:t>规定的</w:t>
      </w:r>
      <w:r>
        <w:rPr>
          <w:rFonts w:hint="eastAsia" w:ascii="宋体" w:hAnsi="宋体" w:cs="宋体"/>
          <w:color w:val="auto"/>
          <w:kern w:val="0"/>
          <w:szCs w:val="21"/>
          <w:highlight w:val="none"/>
        </w:rPr>
        <w:t>提交首次响应文件截止时间后撤回响应文件的；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（2）供应商在响应文件中提供虚假材料的；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hAnsi="宋体"/>
          <w:color w:val="auto"/>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hAnsi="宋体"/>
          <w:color w:val="auto"/>
          <w:highlight w:val="none"/>
        </w:rPr>
        <w:t>除因不可抗力或谈判文件认可的情形以外，成交供应商不与采购人签订合同的</w:t>
      </w:r>
      <w:r>
        <w:rPr>
          <w:rFonts w:hint="eastAsia" w:hAnsi="宋体"/>
          <w:color w:val="auto"/>
          <w:highlight w:val="none"/>
          <w:lang w:eastAsia="zh-CN"/>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不按照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文件要求提交履约保证金</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）供应商与采购人、</w:t>
      </w:r>
      <w:r>
        <w:rPr>
          <w:rFonts w:hint="eastAsia" w:ascii="宋体" w:hAnsi="宋体" w:cs="宋体"/>
          <w:color w:val="auto"/>
          <w:kern w:val="0"/>
          <w:szCs w:val="21"/>
          <w:highlight w:val="none"/>
        </w:rPr>
        <w:t>其他供应商或者采购代理机构恶意串通的；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）磋商文件规定的其他情形。</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w:t>
      </w:r>
      <w:r>
        <w:rPr>
          <w:rFonts w:hint="eastAsia" w:ascii="宋体" w:hAnsi="宋体" w:cs="宋体"/>
          <w:color w:val="auto"/>
          <w:szCs w:val="21"/>
          <w:highlight w:val="none"/>
        </w:rPr>
        <w:t xml:space="preserve"> </w:t>
      </w:r>
      <w:r>
        <w:rPr>
          <w:rFonts w:hint="eastAsia" w:ascii="宋体" w:hAnsi="宋体" w:cs="宋体"/>
          <w:b/>
          <w:color w:val="auto"/>
          <w:szCs w:val="21"/>
          <w:highlight w:val="none"/>
        </w:rPr>
        <w:t>响应文件有效期</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17.1</w:t>
      </w:r>
      <w:r>
        <w:rPr>
          <w:rFonts w:hint="eastAsia" w:ascii="宋体" w:hAnsi="宋体" w:cs="宋体"/>
          <w:color w:val="auto"/>
          <w:szCs w:val="21"/>
          <w:highlight w:val="none"/>
        </w:rPr>
        <w:t>响应文件有效期见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，在此期间响应文件对供应商具有法律约束力，从本章第</w:t>
      </w:r>
      <w:r>
        <w:rPr>
          <w:rFonts w:hint="eastAsia" w:ascii="宋体" w:hAnsi="宋体" w:cs="宋体"/>
          <w:color w:val="auto"/>
          <w:szCs w:val="21"/>
          <w:highlight w:val="none"/>
          <w:lang w:eastAsia="zh-CN"/>
        </w:rPr>
        <w:t>10.1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w:t>
      </w:r>
      <w:r>
        <w:rPr>
          <w:rFonts w:hint="eastAsia" w:ascii="宋体" w:hAnsi="宋体" w:cs="宋体"/>
          <w:color w:val="auto"/>
          <w:kern w:val="0"/>
          <w:szCs w:val="21"/>
          <w:highlight w:val="none"/>
        </w:rPr>
        <w:t>提交首次响应文件截止时间</w:t>
      </w:r>
      <w:r>
        <w:rPr>
          <w:rFonts w:hint="eastAsia" w:ascii="宋体" w:hAnsi="宋体" w:cs="宋体"/>
          <w:color w:val="auto"/>
          <w:szCs w:val="21"/>
          <w:highlight w:val="none"/>
        </w:rPr>
        <w:t>之日起计算。响应文件有效期不足的将被视为无效响应。</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.响应文件的签署及规定</w:t>
      </w:r>
    </w:p>
    <w:p>
      <w:pPr>
        <w:pStyle w:val="11"/>
        <w:shd w:val="clear" w:color="auto" w:fill="auto"/>
        <w:adjustRightInd w:val="0"/>
        <w:snapToGrid w:val="0"/>
        <w:spacing w:before="156" w:beforeLines="50" w:line="360" w:lineRule="auto"/>
        <w:ind w:firstLine="420" w:firstLineChars="200"/>
        <w:rPr>
          <w:rFonts w:hint="eastAsia" w:hAnsi="宋体"/>
          <w:color w:val="auto"/>
          <w:sz w:val="21"/>
          <w:szCs w:val="21"/>
          <w:highlight w:val="none"/>
        </w:rPr>
      </w:pPr>
      <w:r>
        <w:rPr>
          <w:rFonts w:hint="eastAsia" w:hAnsi="宋体" w:cs="宋体"/>
          <w:color w:val="auto"/>
          <w:sz w:val="21"/>
          <w:szCs w:val="21"/>
          <w:highlight w:val="none"/>
          <w:lang w:eastAsia="zh-CN"/>
        </w:rPr>
        <w:t>18.1</w:t>
      </w:r>
      <w:r>
        <w:rPr>
          <w:rFonts w:hint="eastAsia" w:hAnsi="宋体" w:cs="宋体"/>
          <w:color w:val="auto"/>
          <w:sz w:val="21"/>
          <w:szCs w:val="21"/>
          <w:highlight w:val="none"/>
        </w:rPr>
        <w:t>响应文件的正本一份，副本份数见</w:t>
      </w:r>
      <w:r>
        <w:rPr>
          <w:rFonts w:hint="eastAsia" w:hAnsi="宋体" w:cs="宋体"/>
          <w:b/>
          <w:color w:val="auto"/>
          <w:sz w:val="21"/>
          <w:szCs w:val="21"/>
          <w:highlight w:val="none"/>
        </w:rPr>
        <w:t>磋商须知前附表</w:t>
      </w:r>
      <w:r>
        <w:rPr>
          <w:rFonts w:hint="eastAsia" w:hAnsi="宋体" w:cs="宋体"/>
          <w:color w:val="auto"/>
          <w:sz w:val="21"/>
          <w:szCs w:val="21"/>
          <w:highlight w:val="none"/>
        </w:rPr>
        <w:t>。</w:t>
      </w:r>
      <w:r>
        <w:rPr>
          <w:rFonts w:hint="eastAsia" w:hAnsi="宋体"/>
          <w:color w:val="auto"/>
          <w:sz w:val="21"/>
          <w:szCs w:val="21"/>
          <w:highlight w:val="none"/>
        </w:rPr>
        <w:t>响应文件电子文档（U盘或光盘形式）：</w:t>
      </w:r>
      <w:r>
        <w:rPr>
          <w:rFonts w:hint="eastAsia" w:hAnsi="宋体"/>
          <w:color w:val="auto"/>
          <w:sz w:val="21"/>
          <w:szCs w:val="21"/>
          <w:highlight w:val="none"/>
          <w:lang w:eastAsia="zh-CN"/>
        </w:rPr>
        <w:t>一</w:t>
      </w:r>
      <w:r>
        <w:rPr>
          <w:rFonts w:hint="eastAsia" w:hAnsi="宋体"/>
          <w:color w:val="auto"/>
          <w:sz w:val="21"/>
          <w:szCs w:val="21"/>
          <w:highlight w:val="none"/>
        </w:rPr>
        <w:t>份</w:t>
      </w:r>
      <w:r>
        <w:rPr>
          <w:rFonts w:hint="eastAsia" w:hAnsi="宋体"/>
          <w:b w:val="0"/>
          <w:bCs/>
          <w:color w:val="auto"/>
          <w:sz w:val="21"/>
          <w:szCs w:val="21"/>
          <w:highlight w:val="none"/>
        </w:rPr>
        <w:t>。</w:t>
      </w:r>
      <w:r>
        <w:rPr>
          <w:rFonts w:hint="eastAsia" w:hAnsi="宋体"/>
          <w:color w:val="auto"/>
          <w:sz w:val="21"/>
          <w:szCs w:val="21"/>
          <w:highlight w:val="none"/>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pStyle w:val="11"/>
        <w:shd w:val="clear" w:color="auto" w:fill="auto"/>
        <w:adjustRightInd w:val="0"/>
        <w:snapToGrid w:val="0"/>
        <w:spacing w:before="156" w:beforeLines="50" w:line="360" w:lineRule="auto"/>
        <w:ind w:firstLine="420" w:firstLineChars="200"/>
        <w:rPr>
          <w:rFonts w:hint="eastAsia" w:hAnsi="宋体"/>
          <w:color w:val="auto"/>
          <w:sz w:val="21"/>
          <w:szCs w:val="21"/>
          <w:highlight w:val="none"/>
        </w:rPr>
      </w:pPr>
      <w:r>
        <w:rPr>
          <w:rFonts w:hint="eastAsia" w:hAnsi="宋体" w:cs="宋体"/>
          <w:color w:val="auto"/>
          <w:sz w:val="21"/>
          <w:szCs w:val="21"/>
          <w:highlight w:val="none"/>
          <w:lang w:eastAsia="zh-CN"/>
        </w:rPr>
        <w:t>18.2</w:t>
      </w:r>
      <w:r>
        <w:rPr>
          <w:rFonts w:hint="eastAsia" w:hAnsi="宋体" w:cs="宋体"/>
          <w:color w:val="auto"/>
          <w:sz w:val="21"/>
          <w:szCs w:val="21"/>
          <w:highlight w:val="none"/>
        </w:rPr>
        <w:t xml:space="preserve"> 响应文件正本和副本应按磋商文件要求</w:t>
      </w:r>
      <w:r>
        <w:rPr>
          <w:rFonts w:hint="eastAsia" w:hAnsi="宋体" w:cs="宋体"/>
          <w:color w:val="auto"/>
          <w:sz w:val="21"/>
          <w:szCs w:val="21"/>
          <w:highlight w:val="none"/>
          <w:lang w:eastAsia="zh-CN"/>
        </w:rPr>
        <w:t>在</w:t>
      </w:r>
      <w:r>
        <w:rPr>
          <w:rFonts w:hint="eastAsia" w:hAnsi="宋体" w:cs="宋体"/>
          <w:color w:val="auto"/>
          <w:sz w:val="21"/>
          <w:szCs w:val="21"/>
          <w:highlight w:val="none"/>
        </w:rPr>
        <w:t>签章处盖</w:t>
      </w:r>
      <w:r>
        <w:rPr>
          <w:rFonts w:hint="eastAsia" w:hAnsi="宋体" w:cs="宋体"/>
          <w:color w:val="auto"/>
          <w:sz w:val="21"/>
          <w:szCs w:val="21"/>
          <w:highlight w:val="none"/>
          <w:lang w:eastAsia="zh-CN"/>
        </w:rPr>
        <w:t>供应商单位公</w:t>
      </w:r>
      <w:r>
        <w:rPr>
          <w:rFonts w:hint="eastAsia" w:hAnsi="宋体" w:cs="宋体"/>
          <w:color w:val="auto"/>
          <w:sz w:val="21"/>
          <w:szCs w:val="21"/>
          <w:highlight w:val="none"/>
        </w:rPr>
        <w:t>章和</w:t>
      </w:r>
      <w:r>
        <w:rPr>
          <w:rFonts w:hint="eastAsia" w:hAnsi="宋体"/>
          <w:color w:val="auto"/>
          <w:sz w:val="21"/>
          <w:szCs w:val="21"/>
          <w:highlight w:val="none"/>
        </w:rPr>
        <w:t>在签字处</w:t>
      </w:r>
      <w:r>
        <w:rPr>
          <w:rFonts w:hint="eastAsia" w:hAnsi="宋体" w:cs="宋体"/>
          <w:color w:val="auto"/>
          <w:sz w:val="21"/>
          <w:szCs w:val="21"/>
          <w:highlight w:val="none"/>
        </w:rPr>
        <w:t>由</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代表签字</w:t>
      </w:r>
      <w:r>
        <w:rPr>
          <w:rFonts w:hint="eastAsia" w:hAnsi="宋体"/>
          <w:color w:val="auto"/>
          <w:sz w:val="21"/>
          <w:szCs w:val="21"/>
          <w:highlight w:val="none"/>
        </w:rPr>
        <w:t>。供应商代表可为供应商法定代表人(非法人组织为负责人或合伙人、个体工商户为负责人，</w:t>
      </w:r>
      <w:r>
        <w:rPr>
          <w:rFonts w:hint="eastAsia" w:hAnsi="宋体"/>
          <w:color w:val="auto"/>
          <w:sz w:val="21"/>
          <w:szCs w:val="21"/>
          <w:highlight w:val="none"/>
          <w:lang w:eastAsia="zh-CN"/>
        </w:rPr>
        <w:t>磋商</w:t>
      </w:r>
      <w:r>
        <w:rPr>
          <w:rFonts w:hint="eastAsia" w:hAnsi="宋体"/>
          <w:color w:val="auto"/>
          <w:sz w:val="21"/>
          <w:szCs w:val="21"/>
          <w:highlight w:val="none"/>
        </w:rPr>
        <w:t>文件统称单位负责人)；供应商代表不是供应商的法定代表人（单位负责人）的，应提供法定代表人（单位负责人）授权委托书。</w:t>
      </w:r>
    </w:p>
    <w:p>
      <w:pPr>
        <w:pStyle w:val="11"/>
        <w:shd w:val="clear" w:color="auto" w:fill="auto"/>
        <w:adjustRightInd w:val="0"/>
        <w:snapToGrid w:val="0"/>
        <w:spacing w:before="156" w:beforeLines="50" w:line="360" w:lineRule="auto"/>
        <w:ind w:firstLine="420" w:firstLineChars="200"/>
        <w:rPr>
          <w:rFonts w:hint="eastAsia" w:hAnsi="宋体" w:cs="宋体"/>
          <w:color w:val="auto"/>
          <w:sz w:val="21"/>
          <w:highlight w:val="none"/>
        </w:rPr>
      </w:pPr>
      <w:r>
        <w:rPr>
          <w:rFonts w:hint="eastAsia" w:hAnsi="宋体"/>
          <w:color w:val="auto"/>
          <w:sz w:val="21"/>
          <w:szCs w:val="21"/>
          <w:highlight w:val="none"/>
          <w:lang w:val="en-US" w:eastAsia="zh-CN"/>
        </w:rPr>
        <w:t xml:space="preserve">18.3 </w:t>
      </w:r>
      <w:r>
        <w:rPr>
          <w:rFonts w:hint="eastAsia" w:hAnsi="宋体"/>
          <w:color w:val="auto"/>
          <w:sz w:val="21"/>
          <w:szCs w:val="21"/>
          <w:highlight w:val="none"/>
        </w:rPr>
        <w:t>响应文件任何加行、涂改、增删等改动，改动之处应由</w:t>
      </w:r>
      <w:r>
        <w:rPr>
          <w:rFonts w:hint="eastAsia" w:hAnsi="宋体" w:cs="宋体"/>
          <w:color w:val="auto"/>
          <w:sz w:val="21"/>
          <w:highlight w:val="none"/>
          <w:lang w:eastAsia="zh-CN"/>
        </w:rPr>
        <w:t>供应商代表</w:t>
      </w:r>
      <w:r>
        <w:rPr>
          <w:rFonts w:hint="eastAsia" w:hAnsi="宋体" w:cs="宋体"/>
          <w:color w:val="auto"/>
          <w:sz w:val="21"/>
          <w:highlight w:val="none"/>
        </w:rPr>
        <w:t>签字</w:t>
      </w:r>
      <w:r>
        <w:rPr>
          <w:rFonts w:hint="eastAsia" w:hAnsi="宋体"/>
          <w:color w:val="auto"/>
          <w:sz w:val="21"/>
          <w:szCs w:val="21"/>
          <w:highlight w:val="none"/>
        </w:rPr>
        <w:t>。否则，将导致</w:t>
      </w:r>
      <w:r>
        <w:rPr>
          <w:rFonts w:hint="eastAsia" w:hAnsi="宋体"/>
          <w:b/>
          <w:color w:val="auto"/>
          <w:sz w:val="21"/>
          <w:szCs w:val="21"/>
          <w:highlight w:val="none"/>
        </w:rPr>
        <w:t>响应文件无效。</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18.</w:t>
      </w:r>
      <w:r>
        <w:rPr>
          <w:rFonts w:hint="eastAsia" w:hAnsi="宋体" w:cs="宋体"/>
          <w:color w:val="auto"/>
          <w:sz w:val="21"/>
          <w:highlight w:val="none"/>
          <w:lang w:val="en-US" w:eastAsia="zh-CN"/>
        </w:rPr>
        <w:t>4</w:t>
      </w:r>
      <w:r>
        <w:rPr>
          <w:rFonts w:hint="eastAsia" w:hAnsi="宋体" w:cs="宋体"/>
          <w:color w:val="auto"/>
          <w:sz w:val="21"/>
          <w:highlight w:val="none"/>
        </w:rPr>
        <w:t xml:space="preserve"> 在磋商过程中，供应商按磋商文件规定和磋商小组要求提交的最后报价(或者</w:t>
      </w:r>
      <w:r>
        <w:rPr>
          <w:rFonts w:hint="eastAsia" w:hAnsi="宋体" w:cs="宋体"/>
          <w:bCs/>
          <w:color w:val="auto"/>
          <w:sz w:val="21"/>
          <w:highlight w:val="none"/>
        </w:rPr>
        <w:t>重</w:t>
      </w:r>
      <w:r>
        <w:rPr>
          <w:rFonts w:hint="eastAsia" w:hAnsi="宋体" w:cs="宋体"/>
          <w:color w:val="auto"/>
          <w:sz w:val="21"/>
          <w:highlight w:val="none"/>
        </w:rPr>
        <w:t>新提交的响应文件和最后报价)，可打印或用不退色</w:t>
      </w:r>
      <w:r>
        <w:rPr>
          <w:rFonts w:hint="eastAsia" w:hAnsi="宋体" w:cs="宋体"/>
          <w:color w:val="auto"/>
          <w:sz w:val="21"/>
          <w:highlight w:val="none"/>
          <w:lang w:eastAsia="zh-CN"/>
        </w:rPr>
        <w:t>材料</w:t>
      </w:r>
      <w:r>
        <w:rPr>
          <w:rFonts w:hint="eastAsia" w:hAnsi="宋体" w:cs="宋体"/>
          <w:color w:val="auto"/>
          <w:sz w:val="21"/>
          <w:highlight w:val="none"/>
        </w:rPr>
        <w:t>书写，</w:t>
      </w:r>
      <w:r>
        <w:rPr>
          <w:rFonts w:hint="eastAsia" w:hAnsi="宋体" w:cs="宋体"/>
          <w:color w:val="auto"/>
          <w:sz w:val="21"/>
          <w:highlight w:val="none"/>
          <w:lang w:eastAsia="zh-CN"/>
        </w:rPr>
        <w:t>并经供应商代表签字</w:t>
      </w:r>
      <w:r>
        <w:rPr>
          <w:rFonts w:hint="eastAsia" w:hAnsi="宋体" w:cs="宋体"/>
          <w:color w:val="auto"/>
          <w:sz w:val="21"/>
          <w:highlight w:val="none"/>
        </w:rPr>
        <w:t>，或者加盖供应商单位</w:t>
      </w:r>
      <w:r>
        <w:rPr>
          <w:rFonts w:hint="eastAsia" w:hAnsi="宋体" w:cs="宋体"/>
          <w:color w:val="auto"/>
          <w:sz w:val="21"/>
          <w:highlight w:val="none"/>
          <w:lang w:eastAsia="zh-CN"/>
        </w:rPr>
        <w:t>公</w:t>
      </w:r>
      <w:r>
        <w:rPr>
          <w:rFonts w:hint="eastAsia" w:hAnsi="宋体" w:cs="宋体"/>
          <w:color w:val="auto"/>
          <w:sz w:val="21"/>
          <w:highlight w:val="none"/>
        </w:rPr>
        <w:t>章。否则，将导致响应文件无效。</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cs="宋体"/>
          <w:b/>
          <w:color w:val="auto"/>
          <w:szCs w:val="21"/>
          <w:highlight w:val="none"/>
        </w:rPr>
      </w:pPr>
      <w:bookmarkStart w:id="20" w:name="_Toc28031"/>
      <w:bookmarkStart w:id="21" w:name="_Toc7132"/>
      <w:r>
        <w:rPr>
          <w:rFonts w:hint="eastAsia" w:ascii="宋体" w:hAnsi="宋体" w:cs="宋体"/>
          <w:b/>
          <w:color w:val="auto"/>
          <w:szCs w:val="21"/>
          <w:highlight w:val="none"/>
        </w:rPr>
        <w:t>四、响应文件的递交</w:t>
      </w:r>
      <w:bookmarkEnd w:id="20"/>
      <w:bookmarkEnd w:id="21"/>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的密封和标记</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19</w:t>
      </w:r>
      <w:r>
        <w:rPr>
          <w:rFonts w:hint="eastAsia" w:hAnsi="宋体" w:cs="宋体"/>
          <w:color w:val="auto"/>
          <w:sz w:val="21"/>
          <w:highlight w:val="none"/>
        </w:rPr>
        <w:t>.1</w:t>
      </w:r>
      <w:r>
        <w:rPr>
          <w:rFonts w:hint="eastAsia" w:hAnsi="宋体" w:cs="宋体"/>
          <w:color w:val="auto"/>
          <w:sz w:val="21"/>
          <w:highlight w:val="none"/>
          <w:lang w:val="en-US" w:eastAsia="zh-CN"/>
        </w:rPr>
        <w:t xml:space="preserve"> </w:t>
      </w:r>
      <w:r>
        <w:rPr>
          <w:rFonts w:hint="eastAsia" w:hAnsi="宋体" w:cs="宋体"/>
          <w:color w:val="auto"/>
          <w:sz w:val="21"/>
          <w:highlight w:val="none"/>
        </w:rPr>
        <w:t>响应文件应密封包装，加贴封条，并在封套的封口处盖供应商单位</w:t>
      </w:r>
      <w:r>
        <w:rPr>
          <w:rFonts w:hint="eastAsia" w:hAnsi="宋体" w:cs="宋体"/>
          <w:color w:val="auto"/>
          <w:sz w:val="21"/>
          <w:highlight w:val="none"/>
          <w:lang w:eastAsia="zh-CN"/>
        </w:rPr>
        <w:t>公</w:t>
      </w:r>
      <w:r>
        <w:rPr>
          <w:rFonts w:hint="eastAsia" w:hAnsi="宋体" w:cs="宋体"/>
          <w:color w:val="auto"/>
          <w:sz w:val="21"/>
          <w:highlight w:val="none"/>
        </w:rPr>
        <w:t>章或者由</w:t>
      </w:r>
      <w:r>
        <w:rPr>
          <w:rFonts w:hint="eastAsia" w:hAnsi="宋体" w:cs="宋体"/>
          <w:color w:val="auto"/>
          <w:sz w:val="21"/>
          <w:highlight w:val="none"/>
          <w:lang w:eastAsia="zh-CN"/>
        </w:rPr>
        <w:t>供应商代表</w:t>
      </w:r>
      <w:r>
        <w:rPr>
          <w:rFonts w:hint="eastAsia" w:hAnsi="宋体" w:cs="宋体"/>
          <w:color w:val="auto"/>
          <w:sz w:val="21"/>
          <w:highlight w:val="none"/>
        </w:rPr>
        <w:t>签字。</w:t>
      </w:r>
      <w:r>
        <w:rPr>
          <w:rFonts w:hint="eastAsia" w:hAnsi="宋体" w:cs="宋体"/>
          <w:color w:val="auto"/>
          <w:sz w:val="21"/>
          <w:highlight w:val="none"/>
          <w:lang w:eastAsia="zh-CN"/>
        </w:rPr>
        <w:t>响应文件密封见</w:t>
      </w:r>
      <w:r>
        <w:rPr>
          <w:rFonts w:hint="eastAsia" w:ascii="宋体" w:hAnsi="宋体" w:eastAsia="宋体" w:cs="Times New Roman"/>
          <w:b/>
          <w:bCs/>
          <w:color w:val="auto"/>
          <w:kern w:val="0"/>
          <w:sz w:val="21"/>
          <w:szCs w:val="21"/>
          <w:highlight w:val="none"/>
          <w:lang w:val="en-US" w:eastAsia="zh-CN" w:bidi="ar-SA"/>
        </w:rPr>
        <w:t>磋商须知前附表。</w:t>
      </w:r>
    </w:p>
    <w:p>
      <w:pPr>
        <w:shd w:val="clear" w:color="auto" w:fill="auto"/>
        <w:adjustRightInd w:val="0"/>
        <w:snapToGrid w:val="0"/>
        <w:spacing w:beforeLines="50" w:line="360" w:lineRule="auto"/>
        <w:ind w:firstLine="420" w:firstLineChars="200"/>
        <w:jc w:val="left"/>
        <w:rPr>
          <w:rFonts w:hint="eastAsia" w:ascii="宋体" w:hAnsi="宋体" w:eastAsia="宋体" w:cs="Times New Roman"/>
          <w:color w:val="auto"/>
          <w:kern w:val="0"/>
          <w:sz w:val="21"/>
          <w:szCs w:val="21"/>
          <w:highlight w:val="none"/>
          <w:lang w:val="en-US" w:eastAsia="zh-CN" w:bidi="ar-SA"/>
        </w:rPr>
      </w:pPr>
      <w:r>
        <w:rPr>
          <w:rFonts w:hint="eastAsia" w:ascii="宋体" w:hAnsi="宋体" w:cs="宋体"/>
          <w:color w:val="auto"/>
          <w:szCs w:val="21"/>
          <w:highlight w:val="none"/>
          <w:lang w:eastAsia="zh-CN"/>
        </w:rPr>
        <w:t>19.2</w:t>
      </w:r>
      <w:r>
        <w:rPr>
          <w:rFonts w:hint="eastAsia" w:ascii="宋体" w:hAnsi="宋体" w:cs="宋体"/>
          <w:color w:val="auto"/>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bidi="ar-SA"/>
        </w:rPr>
        <w:t>响应文件密封袋上应载明的内容见</w:t>
      </w:r>
      <w:r>
        <w:rPr>
          <w:rFonts w:hint="eastAsia" w:ascii="宋体" w:hAnsi="宋体" w:eastAsia="宋体" w:cs="Times New Roman"/>
          <w:b/>
          <w:bCs/>
          <w:color w:val="auto"/>
          <w:kern w:val="0"/>
          <w:sz w:val="21"/>
          <w:szCs w:val="21"/>
          <w:highlight w:val="none"/>
          <w:lang w:val="en-US" w:eastAsia="zh-CN" w:bidi="ar-SA"/>
        </w:rPr>
        <w:t>磋商须知前附表。</w:t>
      </w:r>
    </w:p>
    <w:p>
      <w:pPr>
        <w:shd w:val="clear" w:color="auto" w:fill="auto"/>
        <w:adjustRightInd w:val="0"/>
        <w:snapToGrid w:val="0"/>
        <w:spacing w:beforeLines="50" w:line="360" w:lineRule="auto"/>
        <w:ind w:firstLine="420" w:firstLineChars="200"/>
        <w:jc w:val="left"/>
        <w:rPr>
          <w:rFonts w:hint="eastAsia"/>
          <w:color w:val="auto"/>
          <w:highlight w:val="none"/>
          <w:lang w:val="en-US" w:eastAsia="zh-CN"/>
        </w:rPr>
      </w:pPr>
      <w:r>
        <w:rPr>
          <w:rFonts w:hint="eastAsia" w:ascii="宋体" w:hAnsi="宋体" w:eastAsia="宋体" w:cs="Times New Roman"/>
          <w:color w:val="auto"/>
          <w:kern w:val="0"/>
          <w:sz w:val="21"/>
          <w:szCs w:val="21"/>
          <w:highlight w:val="none"/>
          <w:lang w:val="en-US" w:eastAsia="zh-CN" w:bidi="ar-SA"/>
        </w:rPr>
        <w:t>19.3 为便于进行资格审查，供应商应将第一部分资格证明文件单独密封，并在响应文件密封袋上标明“资格证明文件”字样，在首次响应文件递交截止时间前单独递交。</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color w:val="auto"/>
          <w:highlight w:val="none"/>
        </w:rPr>
      </w:pPr>
      <w:r>
        <w:rPr>
          <w:rFonts w:hint="eastAsia" w:ascii="宋体" w:hAnsi="宋体" w:cs="宋体"/>
          <w:color w:val="auto"/>
          <w:szCs w:val="21"/>
          <w:highlight w:val="none"/>
          <w:lang w:eastAsia="zh-CN"/>
        </w:rPr>
        <w:t>19.</w:t>
      </w: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响应文件如果未按上述规定密封和加写标记，采购人或采购代理机构</w:t>
      </w:r>
      <w:r>
        <w:rPr>
          <w:rFonts w:hint="eastAsia" w:ascii="宋体" w:hAnsi="宋体" w:cs="宋体"/>
          <w:b/>
          <w:bCs/>
          <w:color w:val="auto"/>
          <w:szCs w:val="21"/>
          <w:highlight w:val="none"/>
          <w:lang w:eastAsia="zh-CN"/>
        </w:rPr>
        <w:t>应当</w:t>
      </w:r>
      <w:r>
        <w:rPr>
          <w:rFonts w:hint="eastAsia" w:ascii="宋体" w:hAnsi="宋体" w:cs="宋体"/>
          <w:b/>
          <w:bCs/>
          <w:color w:val="auto"/>
          <w:szCs w:val="21"/>
          <w:highlight w:val="none"/>
        </w:rPr>
        <w:t>拒收</w:t>
      </w:r>
      <w:r>
        <w:rPr>
          <w:rFonts w:hint="eastAsia" w:ascii="宋体" w:hAnsi="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.响应文件的</w:t>
      </w:r>
      <w:r>
        <w:rPr>
          <w:rFonts w:hint="eastAsia" w:ascii="宋体" w:hAnsi="宋体" w:cs="宋体"/>
          <w:b/>
          <w:color w:val="auto"/>
          <w:kern w:val="0"/>
          <w:szCs w:val="21"/>
          <w:highlight w:val="none"/>
          <w:lang w:val="zh-CN"/>
        </w:rPr>
        <w:t>补充、修改或者撤回</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20.1</w:t>
      </w:r>
      <w:r>
        <w:rPr>
          <w:rFonts w:hint="eastAsia" w:hAnsi="宋体" w:cs="宋体"/>
          <w:color w:val="auto"/>
          <w:sz w:val="21"/>
          <w:highlight w:val="none"/>
        </w:rPr>
        <w:t>供应商在本章第</w:t>
      </w:r>
      <w:r>
        <w:rPr>
          <w:rFonts w:hint="eastAsia" w:hAnsi="宋体" w:cs="宋体"/>
          <w:color w:val="auto"/>
          <w:sz w:val="21"/>
          <w:highlight w:val="none"/>
          <w:lang w:eastAsia="zh-CN"/>
        </w:rPr>
        <w:t>10.1</w:t>
      </w:r>
      <w:r>
        <w:rPr>
          <w:rFonts w:hint="eastAsia" w:hAnsi="宋体" w:cs="宋体"/>
          <w:color w:val="auto"/>
          <w:sz w:val="21"/>
          <w:highlight w:val="none"/>
          <w:lang w:val="zh-CN"/>
        </w:rPr>
        <w:t>款</w:t>
      </w:r>
      <w:r>
        <w:rPr>
          <w:rFonts w:hint="eastAsia" w:hAnsi="宋体" w:cs="宋体"/>
          <w:color w:val="auto"/>
          <w:sz w:val="21"/>
          <w:highlight w:val="none"/>
        </w:rPr>
        <w:t>规定的提交首次响应文件截止时间前，可以对所提交的首次响应文件进行补充、修改或者撤回，并书面通知采购人、采购代理机</w:t>
      </w:r>
      <w:r>
        <w:rPr>
          <w:rFonts w:hint="eastAsia" w:ascii="宋体" w:hAnsi="宋体" w:eastAsia="宋体" w:cs="宋体"/>
          <w:color w:val="auto"/>
          <w:sz w:val="21"/>
          <w:highlight w:val="none"/>
        </w:rPr>
        <w:t>构。该通知应</w:t>
      </w:r>
      <w:r>
        <w:rPr>
          <w:rFonts w:hint="eastAsia" w:ascii="宋体" w:hAnsi="宋体" w:eastAsia="宋体" w:cs="宋体"/>
          <w:color w:val="auto"/>
          <w:sz w:val="21"/>
          <w:highlight w:val="none"/>
          <w:lang w:eastAsia="zh-CN"/>
        </w:rPr>
        <w:t>有</w:t>
      </w:r>
      <w:r>
        <w:rPr>
          <w:rFonts w:hint="eastAsia" w:ascii="宋体" w:hAnsi="宋体" w:eastAsia="宋体" w:cs="宋体"/>
          <w:color w:val="auto"/>
          <w:sz w:val="21"/>
          <w:highlight w:val="none"/>
        </w:rPr>
        <w:t>供应商</w:t>
      </w:r>
      <w:r>
        <w:rPr>
          <w:rFonts w:hint="eastAsia" w:hAnsi="宋体" w:cs="宋体"/>
          <w:color w:val="auto"/>
          <w:sz w:val="21"/>
          <w:highlight w:val="none"/>
        </w:rPr>
        <w:t>代表签字。</w:t>
      </w:r>
      <w:r>
        <w:rPr>
          <w:rFonts w:hint="eastAsia" w:ascii="宋体" w:hAnsi="宋体" w:eastAsia="宋体" w:cs="宋体"/>
          <w:color w:val="auto"/>
          <w:sz w:val="21"/>
          <w:highlight w:val="none"/>
        </w:rPr>
        <w:t>补充、修改的内容作为响应文件的组成部分。</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20.2</w:t>
      </w:r>
      <w:r>
        <w:rPr>
          <w:rFonts w:hint="eastAsia" w:hAnsi="宋体" w:cs="宋体"/>
          <w:color w:val="auto"/>
          <w:sz w:val="21"/>
          <w:highlight w:val="none"/>
          <w:lang w:val="zh-CN"/>
        </w:rPr>
        <w:t>补充、修改的内容与响应文件不一致时，以补充、修改的内容为准。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.响应文件的递交与接收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21.1</w:t>
      </w:r>
      <w:r>
        <w:rPr>
          <w:rFonts w:hint="eastAsia" w:ascii="宋体" w:hAnsi="宋体" w:cs="宋体"/>
          <w:color w:val="auto"/>
          <w:szCs w:val="21"/>
          <w:highlight w:val="none"/>
        </w:rPr>
        <w:t xml:space="preserve"> 供应商应在本章第</w:t>
      </w:r>
      <w:r>
        <w:rPr>
          <w:rFonts w:hint="eastAsia" w:ascii="宋体" w:hAnsi="宋体" w:cs="宋体"/>
          <w:color w:val="auto"/>
          <w:szCs w:val="21"/>
          <w:highlight w:val="none"/>
          <w:lang w:eastAsia="zh-CN"/>
        </w:rPr>
        <w:t>10.1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w:t>
      </w:r>
      <w:r>
        <w:rPr>
          <w:rFonts w:hint="eastAsia" w:ascii="宋体" w:hAnsi="宋体" w:cs="宋体"/>
          <w:color w:val="auto"/>
          <w:kern w:val="0"/>
          <w:szCs w:val="21"/>
          <w:highlight w:val="none"/>
        </w:rPr>
        <w:t>截止时间</w:t>
      </w:r>
      <w:r>
        <w:rPr>
          <w:rFonts w:hint="eastAsia" w:ascii="宋体" w:hAnsi="宋体" w:cs="宋体"/>
          <w:color w:val="auto"/>
          <w:szCs w:val="21"/>
          <w:highlight w:val="none"/>
        </w:rPr>
        <w:t>前，将响应文件送达</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中指定的地点。</w:t>
      </w:r>
      <w:r>
        <w:rPr>
          <w:rFonts w:hint="eastAsia" w:ascii="宋体" w:hAnsi="宋体" w:cs="宋体"/>
          <w:color w:val="auto"/>
          <w:kern w:val="0"/>
          <w:szCs w:val="21"/>
          <w:highlight w:val="none"/>
        </w:rPr>
        <w:t>在截止时间后送达的响应文件，采购人、采购代理机构或者磋商小组应当拒收。</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21.2</w:t>
      </w:r>
      <w:r>
        <w:rPr>
          <w:rFonts w:hint="eastAsia" w:hAnsi="宋体" w:cs="宋体"/>
          <w:color w:val="auto"/>
          <w:sz w:val="21"/>
          <w:highlight w:val="none"/>
        </w:rPr>
        <w:t>在本章第</w:t>
      </w:r>
      <w:r>
        <w:rPr>
          <w:rFonts w:hint="eastAsia" w:hAnsi="宋体" w:cs="宋体"/>
          <w:color w:val="auto"/>
          <w:sz w:val="21"/>
          <w:highlight w:val="none"/>
          <w:lang w:eastAsia="zh-CN"/>
        </w:rPr>
        <w:t>10.1</w:t>
      </w:r>
      <w:r>
        <w:rPr>
          <w:rFonts w:hint="eastAsia" w:hAnsi="宋体" w:cs="宋体"/>
          <w:color w:val="auto"/>
          <w:sz w:val="21"/>
          <w:highlight w:val="none"/>
          <w:lang w:val="zh-CN"/>
        </w:rPr>
        <w:t>款</w:t>
      </w:r>
      <w:r>
        <w:rPr>
          <w:rFonts w:hint="eastAsia" w:hAnsi="宋体" w:cs="宋体"/>
          <w:color w:val="auto"/>
          <w:sz w:val="21"/>
          <w:highlight w:val="none"/>
        </w:rPr>
        <w:t>规定的提交首次响应文件截止时间后，由</w:t>
      </w:r>
      <w:r>
        <w:rPr>
          <w:rFonts w:hint="eastAsia" w:hAnsi="宋体" w:cs="宋体"/>
          <w:bCs/>
          <w:color w:val="auto"/>
          <w:sz w:val="21"/>
          <w:highlight w:val="none"/>
        </w:rPr>
        <w:t>供应商代表</w:t>
      </w:r>
      <w:r>
        <w:rPr>
          <w:rFonts w:hint="eastAsia" w:hAnsi="宋体" w:cs="宋体"/>
          <w:color w:val="auto"/>
          <w:sz w:val="21"/>
          <w:highlight w:val="none"/>
        </w:rPr>
        <w:t>当场查验</w:t>
      </w:r>
      <w:r>
        <w:rPr>
          <w:rFonts w:hint="eastAsia" w:hAnsi="宋体" w:cs="宋体"/>
          <w:bCs/>
          <w:color w:val="auto"/>
          <w:sz w:val="21"/>
          <w:highlight w:val="none"/>
        </w:rPr>
        <w:t>响应文件</w:t>
      </w:r>
      <w:r>
        <w:rPr>
          <w:rFonts w:hint="eastAsia" w:hAnsi="宋体" w:cs="宋体"/>
          <w:color w:val="auto"/>
          <w:sz w:val="21"/>
          <w:highlight w:val="none"/>
        </w:rPr>
        <w:t>的密封状况，采购人或</w:t>
      </w:r>
      <w:r>
        <w:rPr>
          <w:rFonts w:hint="eastAsia" w:hAnsi="宋体" w:cs="宋体"/>
          <w:bCs/>
          <w:color w:val="auto"/>
          <w:sz w:val="21"/>
          <w:highlight w:val="none"/>
        </w:rPr>
        <w:t>采购代理机构</w:t>
      </w:r>
      <w:r>
        <w:rPr>
          <w:rFonts w:hint="eastAsia" w:hAnsi="宋体" w:cs="宋体"/>
          <w:color w:val="auto"/>
          <w:sz w:val="21"/>
          <w:highlight w:val="none"/>
        </w:rPr>
        <w:t>不当场拆封</w:t>
      </w:r>
      <w:r>
        <w:rPr>
          <w:rFonts w:hint="eastAsia" w:hAnsi="宋体" w:cs="宋体"/>
          <w:bCs/>
          <w:color w:val="auto"/>
          <w:sz w:val="21"/>
          <w:highlight w:val="none"/>
        </w:rPr>
        <w:t>响应文件</w:t>
      </w:r>
      <w:r>
        <w:rPr>
          <w:rFonts w:hint="eastAsia" w:hAnsi="宋体" w:cs="宋体"/>
          <w:color w:val="auto"/>
          <w:sz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hanging="632" w:hangingChars="300"/>
        <w:textAlignment w:val="auto"/>
        <w:outlineLvl w:val="2"/>
        <w:rPr>
          <w:rFonts w:hint="eastAsia" w:ascii="宋体" w:hAnsi="宋体" w:cs="宋体"/>
          <w:b/>
          <w:bCs/>
          <w:color w:val="auto"/>
          <w:szCs w:val="21"/>
          <w:highlight w:val="none"/>
        </w:rPr>
      </w:pPr>
      <w:bookmarkStart w:id="22" w:name="_Toc24841"/>
      <w:bookmarkStart w:id="23" w:name="_Toc25544"/>
      <w:r>
        <w:rPr>
          <w:rFonts w:hint="eastAsia" w:ascii="宋体" w:hAnsi="宋体" w:cs="宋体"/>
          <w:b/>
          <w:bCs/>
          <w:color w:val="auto"/>
          <w:szCs w:val="21"/>
          <w:highlight w:val="none"/>
        </w:rPr>
        <w:t>五、响应文件的</w:t>
      </w:r>
      <w:r>
        <w:rPr>
          <w:rFonts w:hint="eastAsia" w:ascii="宋体" w:hAnsi="宋体" w:cs="宋体"/>
          <w:b/>
          <w:color w:val="auto"/>
          <w:szCs w:val="21"/>
          <w:highlight w:val="none"/>
        </w:rPr>
        <w:t>评审与磋商</w:t>
      </w:r>
      <w:bookmarkEnd w:id="22"/>
      <w:bookmarkEnd w:id="23"/>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.供应商资格审查</w:t>
      </w:r>
    </w:p>
    <w:p>
      <w:pPr>
        <w:shd w:val="clear" w:color="auto" w:fill="auto"/>
        <w:adjustRightInd w:val="0"/>
        <w:snapToGrid w:val="0"/>
        <w:spacing w:beforeLines="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22.1</w:t>
      </w:r>
      <w:r>
        <w:rPr>
          <w:rFonts w:hint="eastAsia" w:ascii="宋体" w:hAnsi="宋体" w:eastAsia="宋体"/>
          <w:color w:val="auto"/>
          <w:szCs w:val="21"/>
          <w:highlight w:val="none"/>
        </w:rPr>
        <w:t>采购人</w:t>
      </w:r>
      <w:r>
        <w:rPr>
          <w:rFonts w:hint="eastAsia" w:ascii="宋体" w:hAnsi="宋体"/>
          <w:color w:val="auto"/>
          <w:szCs w:val="21"/>
          <w:highlight w:val="none"/>
          <w:lang w:eastAsia="zh-CN"/>
        </w:rPr>
        <w:t>、</w:t>
      </w:r>
      <w:r>
        <w:rPr>
          <w:rFonts w:hint="eastAsia" w:ascii="宋体" w:hAnsi="宋体" w:eastAsia="宋体"/>
          <w:color w:val="auto"/>
          <w:szCs w:val="21"/>
          <w:highlight w:val="none"/>
        </w:rPr>
        <w:t>采购代理机构</w:t>
      </w:r>
      <w:r>
        <w:rPr>
          <w:rFonts w:hint="eastAsia" w:ascii="宋体" w:hAnsi="宋体" w:eastAsia="宋体" w:cs="Times New Roman"/>
          <w:color w:val="auto"/>
          <w:kern w:val="0"/>
          <w:sz w:val="21"/>
          <w:szCs w:val="21"/>
          <w:highlight w:val="none"/>
          <w:lang w:val="en-US" w:eastAsia="zh-CN" w:bidi="ar-SA"/>
        </w:rPr>
        <w:t>在</w:t>
      </w:r>
      <w:r>
        <w:rPr>
          <w:rFonts w:hint="eastAsia" w:ascii="宋体" w:hAnsi="宋体" w:cs="宋体"/>
          <w:color w:val="auto"/>
          <w:kern w:val="0"/>
          <w:szCs w:val="21"/>
          <w:highlight w:val="none"/>
          <w:lang w:val="zh-CN"/>
        </w:rPr>
        <w:t>将根据磋商文件第三章规定</w:t>
      </w:r>
      <w:r>
        <w:rPr>
          <w:rFonts w:hint="eastAsia" w:ascii="宋体" w:hAnsi="宋体" w:cs="宋体"/>
          <w:color w:val="auto"/>
          <w:kern w:val="0"/>
          <w:szCs w:val="21"/>
          <w:highlight w:val="none"/>
          <w:lang w:val="zh-CN" w:eastAsia="zh-CN"/>
        </w:rPr>
        <w:t>对所有供应商进行资格审查。</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22.2</w:t>
      </w:r>
      <w:r>
        <w:rPr>
          <w:rFonts w:hint="eastAsia" w:ascii="宋体" w:hAnsi="宋体" w:cs="宋体"/>
          <w:color w:val="auto"/>
          <w:szCs w:val="21"/>
          <w:highlight w:val="none"/>
        </w:rPr>
        <w:t>对未通过资格审查的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，采购代理机构应当告知其未通过的原因</w:t>
      </w:r>
      <w:r>
        <w:rPr>
          <w:rFonts w:hint="eastAsia" w:ascii="宋体" w:hAnsi="宋体" w:cs="宋体"/>
          <w:color w:val="auto"/>
          <w:szCs w:val="21"/>
          <w:highlight w:val="none"/>
          <w:lang w:eastAsia="zh-CN"/>
        </w:rPr>
        <w:t>，</w:t>
      </w:r>
      <w:r>
        <w:rPr>
          <w:rFonts w:hint="eastAsia" w:ascii="宋体" w:hAnsi="宋体" w:cs="宋体"/>
          <w:color w:val="auto"/>
          <w:szCs w:val="21"/>
          <w:highlight w:val="none"/>
        </w:rPr>
        <w:t>合格</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不足3家的，不得进入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环节。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lang w:val="zh-CN"/>
        </w:rPr>
      </w:pPr>
      <w:r>
        <w:rPr>
          <w:rFonts w:hint="eastAsia" w:ascii="宋体" w:hAnsi="宋体" w:cs="宋体"/>
          <w:color w:val="auto"/>
          <w:szCs w:val="21"/>
          <w:highlight w:val="none"/>
          <w:lang w:eastAsia="zh-CN"/>
        </w:rPr>
        <w:t>22.3</w:t>
      </w:r>
      <w:r>
        <w:rPr>
          <w:rFonts w:hint="eastAsia" w:ascii="宋体" w:hAnsi="宋体" w:cs="宋体"/>
          <w:color w:val="auto"/>
          <w:szCs w:val="21"/>
          <w:highlight w:val="none"/>
        </w:rPr>
        <w:t>供应商有本章第</w:t>
      </w:r>
      <w:r>
        <w:rPr>
          <w:rFonts w:hint="eastAsia" w:ascii="宋体" w:hAnsi="宋体" w:cs="宋体"/>
          <w:color w:val="auto"/>
          <w:szCs w:val="21"/>
          <w:highlight w:val="none"/>
          <w:lang w:eastAsia="zh-CN"/>
        </w:rPr>
        <w:t>15.1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情形的，</w:t>
      </w:r>
      <w:r>
        <w:rPr>
          <w:rFonts w:hint="eastAsia" w:ascii="宋体" w:hAnsi="宋体" w:eastAsia="宋体"/>
          <w:color w:val="auto"/>
          <w:szCs w:val="21"/>
          <w:highlight w:val="none"/>
        </w:rPr>
        <w:t>采购人、采购代理机构</w:t>
      </w:r>
      <w:r>
        <w:rPr>
          <w:rFonts w:hint="eastAsia" w:ascii="宋体" w:hAnsi="宋体" w:cs="宋体"/>
          <w:bCs/>
          <w:color w:val="auto"/>
          <w:szCs w:val="21"/>
          <w:highlight w:val="none"/>
        </w:rPr>
        <w:t>将</w:t>
      </w:r>
      <w:r>
        <w:rPr>
          <w:rFonts w:hint="eastAsia" w:ascii="宋体" w:hAnsi="宋体" w:cs="宋体"/>
          <w:color w:val="auto"/>
          <w:szCs w:val="21"/>
          <w:highlight w:val="none"/>
        </w:rPr>
        <w:t>根据本章第3.1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规定的供应商资格条件要求，对更新或补充提供的资格证明材料进行审查。不满足资格条件的，视为无效响应。</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22.4</w:t>
      </w:r>
      <w:r>
        <w:rPr>
          <w:rFonts w:hint="eastAsia" w:ascii="宋体" w:hAnsi="宋体" w:cs="宋体"/>
          <w:color w:val="auto"/>
          <w:szCs w:val="21"/>
          <w:highlight w:val="none"/>
        </w:rPr>
        <w:t>供应商</w:t>
      </w:r>
      <w:r>
        <w:rPr>
          <w:rFonts w:hint="eastAsia" w:ascii="宋体" w:hAnsi="宋体" w:cs="宋体"/>
          <w:color w:val="auto"/>
          <w:kern w:val="0"/>
          <w:szCs w:val="21"/>
          <w:highlight w:val="none"/>
          <w:lang w:val="zh-CN"/>
        </w:rPr>
        <w:t>为联合体的，</w:t>
      </w:r>
      <w:r>
        <w:rPr>
          <w:rFonts w:hint="eastAsia" w:ascii="宋体" w:hAnsi="宋体" w:eastAsia="宋体"/>
          <w:color w:val="auto"/>
          <w:szCs w:val="21"/>
          <w:highlight w:val="none"/>
        </w:rPr>
        <w:t>采购人、采购代理机构</w:t>
      </w:r>
      <w:r>
        <w:rPr>
          <w:rFonts w:hint="eastAsia" w:ascii="宋体" w:hAnsi="宋体" w:cs="宋体"/>
          <w:bCs/>
          <w:color w:val="auto"/>
          <w:szCs w:val="21"/>
          <w:highlight w:val="none"/>
        </w:rPr>
        <w:t>将</w:t>
      </w:r>
      <w:r>
        <w:rPr>
          <w:rFonts w:hint="eastAsia" w:ascii="宋体" w:hAnsi="宋体" w:cs="宋体"/>
          <w:color w:val="auto"/>
          <w:szCs w:val="21"/>
          <w:highlight w:val="none"/>
        </w:rPr>
        <w:t>根据本章第6.2</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的规定对联合体各方资格文件、联合体协议进行审查，不满足资格条件的，视为无效响应。</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.磋商程序</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bCs/>
          <w:color w:val="auto"/>
          <w:szCs w:val="21"/>
          <w:highlight w:val="none"/>
        </w:rPr>
      </w:pPr>
      <w:r>
        <w:rPr>
          <w:rFonts w:hint="eastAsia" w:ascii="宋体" w:hAnsi="宋体" w:cs="宋体"/>
          <w:color w:val="auto"/>
          <w:kern w:val="0"/>
          <w:szCs w:val="21"/>
          <w:highlight w:val="none"/>
          <w:lang w:eastAsia="zh-CN"/>
        </w:rPr>
        <w:t>23.1</w:t>
      </w:r>
      <w:r>
        <w:rPr>
          <w:rFonts w:hint="eastAsia" w:ascii="宋体" w:hAnsi="宋体" w:cs="宋体"/>
          <w:color w:val="auto"/>
          <w:kern w:val="0"/>
          <w:szCs w:val="21"/>
          <w:highlight w:val="none"/>
        </w:rPr>
        <w:t>磋商程序：初步审查、磋商（</w:t>
      </w:r>
      <w:r>
        <w:rPr>
          <w:rFonts w:hint="eastAsia" w:ascii="宋体" w:hAnsi="宋体"/>
          <w:bCs/>
          <w:color w:val="auto"/>
          <w:szCs w:val="21"/>
          <w:highlight w:val="none"/>
        </w:rPr>
        <w:t>响应文件审查、澄清</w:t>
      </w:r>
      <w:r>
        <w:rPr>
          <w:rFonts w:hint="eastAsia" w:ascii="宋体" w:hAnsi="宋体" w:cs="宋体"/>
          <w:color w:val="auto"/>
          <w:kern w:val="0"/>
          <w:szCs w:val="21"/>
          <w:highlight w:val="none"/>
        </w:rPr>
        <w:t>）、</w:t>
      </w:r>
      <w:r>
        <w:rPr>
          <w:rFonts w:hint="eastAsia" w:ascii="宋体" w:hAnsi="宋体" w:cs="宋体"/>
          <w:bCs/>
          <w:color w:val="auto"/>
          <w:szCs w:val="21"/>
          <w:highlight w:val="none"/>
        </w:rPr>
        <w:t>提出成交供应商。其中，</w:t>
      </w:r>
      <w:r>
        <w:rPr>
          <w:rFonts w:hint="eastAsia" w:ascii="宋体" w:hAnsi="宋体" w:cs="宋体"/>
          <w:color w:val="auto"/>
          <w:kern w:val="0"/>
          <w:szCs w:val="21"/>
          <w:highlight w:val="none"/>
        </w:rPr>
        <w:t>磋商按</w:t>
      </w:r>
      <w:r>
        <w:rPr>
          <w:rFonts w:hint="eastAsia" w:ascii="宋体" w:hAnsi="宋体" w:cs="宋体"/>
          <w:color w:val="auto"/>
          <w:szCs w:val="21"/>
          <w:highlight w:val="none"/>
        </w:rPr>
        <w:t>本章第</w:t>
      </w:r>
      <w:r>
        <w:rPr>
          <w:rFonts w:hint="eastAsia" w:ascii="宋体" w:hAnsi="宋体" w:cs="宋体"/>
          <w:color w:val="auto"/>
          <w:szCs w:val="21"/>
          <w:highlight w:val="none"/>
          <w:lang w:eastAsia="zh-CN"/>
        </w:rPr>
        <w:t>28.1</w:t>
      </w:r>
      <w:r>
        <w:rPr>
          <w:rFonts w:hint="eastAsia" w:ascii="宋体" w:hAnsi="宋体" w:cs="宋体"/>
          <w:color w:val="auto"/>
          <w:kern w:val="0"/>
          <w:szCs w:val="21"/>
          <w:highlight w:val="none"/>
          <w:lang w:val="zh-CN"/>
        </w:rPr>
        <w:t>款或者</w:t>
      </w:r>
      <w:r>
        <w:rPr>
          <w:rFonts w:hint="eastAsia" w:ascii="宋体" w:hAnsi="宋体" w:cs="宋体"/>
          <w:color w:val="auto"/>
          <w:szCs w:val="21"/>
          <w:highlight w:val="none"/>
        </w:rPr>
        <w:t>第</w:t>
      </w:r>
      <w:r>
        <w:rPr>
          <w:rFonts w:hint="eastAsia" w:ascii="宋体" w:hAnsi="宋体" w:cs="宋体"/>
          <w:color w:val="auto"/>
          <w:szCs w:val="21"/>
          <w:highlight w:val="none"/>
          <w:lang w:eastAsia="zh-CN"/>
        </w:rPr>
        <w:t>28.2</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情形</w:t>
      </w:r>
      <w:r>
        <w:rPr>
          <w:rFonts w:hint="eastAsia" w:ascii="宋体" w:hAnsi="宋体" w:cs="宋体"/>
          <w:bCs/>
          <w:color w:val="auto"/>
          <w:szCs w:val="21"/>
          <w:highlight w:val="none"/>
        </w:rPr>
        <w:t>进行。</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4</w:t>
      </w:r>
      <w:r>
        <w:rPr>
          <w:rFonts w:hint="eastAsia" w:ascii="宋体" w:hAnsi="宋体" w:cs="宋体"/>
          <w:b/>
          <w:color w:val="auto"/>
          <w:kern w:val="0"/>
          <w:szCs w:val="21"/>
          <w:highlight w:val="none"/>
        </w:rPr>
        <w:t>.初步审查</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24.1</w:t>
      </w:r>
      <w:r>
        <w:rPr>
          <w:rFonts w:hint="eastAsia" w:ascii="宋体" w:hAnsi="宋体" w:cs="宋体"/>
          <w:color w:val="auto"/>
          <w:kern w:val="0"/>
          <w:szCs w:val="21"/>
          <w:highlight w:val="none"/>
        </w:rPr>
        <w:t>磋商小组应当对供应商提交的首次响应文件进行初步审查。</w:t>
      </w:r>
      <w:r>
        <w:rPr>
          <w:rFonts w:hint="eastAsia" w:ascii="宋体" w:hAnsi="宋体" w:cs="宋体"/>
          <w:bCs/>
          <w:color w:val="auto"/>
          <w:szCs w:val="21"/>
          <w:highlight w:val="none"/>
        </w:rPr>
        <w:t>响应文件有下列情况之一，</w:t>
      </w:r>
      <w:r>
        <w:rPr>
          <w:rFonts w:hint="eastAsia" w:ascii="宋体" w:hAnsi="宋体" w:cs="宋体"/>
          <w:color w:val="auto"/>
          <w:kern w:val="0"/>
          <w:szCs w:val="21"/>
          <w:highlight w:val="none"/>
          <w:lang w:val="zh-CN"/>
        </w:rPr>
        <w:t>其响应文件无效，</w:t>
      </w:r>
      <w:r>
        <w:rPr>
          <w:rFonts w:hint="eastAsia" w:ascii="宋体" w:hAnsi="宋体" w:cs="宋体"/>
          <w:color w:val="auto"/>
          <w:kern w:val="0"/>
          <w:szCs w:val="21"/>
          <w:highlight w:val="none"/>
        </w:rPr>
        <w:t>磋商小组应当告知有关供应商。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Cs/>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应交未交保证金或金额不足、保函有效期不足、保证金形式或保函出证机构不符合磋商文件要求的；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（2）未按照磋商文件规定要求签署、盖章的；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（3）响应文件有效期不足的；</w:t>
      </w:r>
    </w:p>
    <w:p>
      <w:pPr>
        <w:shd w:val="clear" w:color="auto" w:fill="auto"/>
        <w:adjustRightInd w:val="0"/>
        <w:snapToGrid w:val="0"/>
        <w:spacing w:beforeLines="50"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w:t>
      </w:r>
      <w:r>
        <w:rPr>
          <w:rFonts w:hint="eastAsia" w:ascii="宋体" w:hAnsi="宋体" w:eastAsia="宋体"/>
          <w:color w:val="auto"/>
          <w:szCs w:val="21"/>
          <w:highlight w:val="none"/>
        </w:rPr>
        <w:t>不符合</w:t>
      </w:r>
      <w:r>
        <w:rPr>
          <w:rFonts w:hint="eastAsia" w:ascii="宋体" w:hAnsi="宋体" w:eastAsia="宋体"/>
          <w:color w:val="auto"/>
          <w:szCs w:val="21"/>
          <w:highlight w:val="none"/>
          <w:lang w:eastAsia="zh-CN"/>
        </w:rPr>
        <w:t>“响应文件初步审查表、响应文件</w:t>
      </w:r>
      <w:r>
        <w:rPr>
          <w:rFonts w:hint="eastAsia" w:ascii="宋体" w:hAnsi="宋体" w:eastAsia="宋体"/>
          <w:color w:val="auto"/>
          <w:szCs w:val="21"/>
          <w:highlight w:val="none"/>
        </w:rPr>
        <w:t>符合性审查表</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所列审查项目及审查标准</w:t>
      </w:r>
      <w:r>
        <w:rPr>
          <w:rFonts w:hint="eastAsia" w:ascii="宋体" w:hAnsi="宋体" w:eastAsia="宋体"/>
          <w:color w:val="auto"/>
          <w:szCs w:val="21"/>
          <w:highlight w:val="none"/>
          <w:lang w:eastAsia="zh-CN"/>
        </w:rPr>
        <w:t>的；</w:t>
      </w:r>
    </w:p>
    <w:p>
      <w:pPr>
        <w:shd w:val="clear" w:color="auto" w:fill="auto"/>
        <w:adjustRightInd w:val="0"/>
        <w:snapToGrid w:val="0"/>
        <w:spacing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响应</w:t>
      </w:r>
      <w:r>
        <w:rPr>
          <w:rFonts w:hint="eastAsia" w:ascii="宋体" w:hAnsi="宋体" w:eastAsia="宋体"/>
          <w:color w:val="auto"/>
          <w:szCs w:val="21"/>
          <w:highlight w:val="none"/>
        </w:rPr>
        <w:t>文件没有对</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文件的实质性要求和条件作出响应，或者对</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文件的偏离超出</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文件规定的偏离</w:t>
      </w:r>
      <w:r>
        <w:rPr>
          <w:rFonts w:hint="eastAsia" w:ascii="宋体" w:hAnsi="宋体" w:eastAsia="宋体"/>
          <w:color w:val="auto"/>
          <w:highlight w:val="none"/>
        </w:rPr>
        <w:t>范围和幅度</w:t>
      </w:r>
      <w:r>
        <w:rPr>
          <w:rFonts w:hint="eastAsia" w:ascii="宋体" w:hAnsi="宋体" w:eastAsia="宋体"/>
          <w:color w:val="auto"/>
          <w:szCs w:val="21"/>
          <w:highlight w:val="none"/>
        </w:rPr>
        <w:t>；</w:t>
      </w:r>
    </w:p>
    <w:p>
      <w:pPr>
        <w:shd w:val="clear" w:color="auto" w:fill="auto"/>
        <w:adjustRightInd w:val="0"/>
        <w:snapToGrid w:val="0"/>
        <w:spacing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响应</w:t>
      </w:r>
      <w:r>
        <w:rPr>
          <w:rFonts w:hint="eastAsia" w:ascii="宋体" w:hAnsi="宋体" w:eastAsia="宋体"/>
          <w:color w:val="auto"/>
          <w:szCs w:val="21"/>
          <w:highlight w:val="none"/>
        </w:rPr>
        <w:t>文件含有采购人不能接受的附加条件的；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w:t>
      </w:r>
      <w:r>
        <w:rPr>
          <w:rFonts w:hint="eastAsia" w:ascii="宋体" w:hAnsi="宋体" w:eastAsia="宋体" w:cs="宋体"/>
          <w:color w:val="auto"/>
          <w:kern w:val="0"/>
          <w:szCs w:val="21"/>
          <w:highlight w:val="none"/>
          <w:lang w:val="zh-CN"/>
        </w:rPr>
        <w:t>不符合法律、法规和磋商文件规定的其他响应无效情形</w:t>
      </w:r>
      <w:r>
        <w:rPr>
          <w:rFonts w:hint="eastAsia" w:ascii="宋体" w:hAnsi="宋体" w:eastAsia="宋体"/>
          <w:color w:val="auto"/>
          <w:szCs w:val="21"/>
          <w:highlight w:val="none"/>
        </w:rPr>
        <w:t>。</w:t>
      </w:r>
    </w:p>
    <w:p>
      <w:pPr>
        <w:pStyle w:val="11"/>
        <w:keepNext w:val="0"/>
        <w:keepLines w:val="0"/>
        <w:pageBreakBefore w:val="0"/>
        <w:shd w:val="clear" w:color="auto" w:fill="auto"/>
        <w:tabs>
          <w:tab w:val="center" w:pos="4422"/>
        </w:tabs>
        <w:kinsoku/>
        <w:wordWrap/>
        <w:overflowPunct/>
        <w:topLinePunct w:val="0"/>
        <w:autoSpaceDE/>
        <w:bidi w:val="0"/>
        <w:adjustRightInd w:val="0"/>
        <w:snapToGrid w:val="0"/>
        <w:spacing w:line="360" w:lineRule="auto"/>
        <w:ind w:left="0" w:right="0" w:rightChars="0"/>
        <w:textAlignment w:val="auto"/>
        <w:rPr>
          <w:rFonts w:hint="eastAsia" w:hAnsi="宋体" w:cs="宋体"/>
          <w:b/>
          <w:color w:val="auto"/>
          <w:sz w:val="21"/>
          <w:highlight w:val="none"/>
        </w:rPr>
      </w:pPr>
      <w:r>
        <w:rPr>
          <w:rFonts w:hint="eastAsia" w:hAnsi="宋体" w:cs="宋体"/>
          <w:b/>
          <w:color w:val="auto"/>
          <w:sz w:val="21"/>
          <w:highlight w:val="none"/>
        </w:rPr>
        <w:t>2</w:t>
      </w:r>
      <w:r>
        <w:rPr>
          <w:rFonts w:hint="eastAsia" w:hAnsi="宋体" w:cs="宋体"/>
          <w:b/>
          <w:color w:val="auto"/>
          <w:sz w:val="21"/>
          <w:highlight w:val="none"/>
          <w:lang w:val="en-US" w:eastAsia="zh-CN"/>
        </w:rPr>
        <w:t>5</w:t>
      </w:r>
      <w:r>
        <w:rPr>
          <w:rFonts w:hint="eastAsia" w:hAnsi="宋体" w:cs="宋体"/>
          <w:b/>
          <w:color w:val="auto"/>
          <w:sz w:val="21"/>
          <w:highlight w:val="none"/>
        </w:rPr>
        <w:t>. 偏离</w:t>
      </w:r>
      <w:r>
        <w:rPr>
          <w:rFonts w:hint="eastAsia" w:hAnsi="宋体" w:cs="宋体"/>
          <w:b/>
          <w:color w:val="auto"/>
          <w:sz w:val="21"/>
          <w:highlight w:val="none"/>
        </w:rPr>
        <w:tab/>
      </w:r>
    </w:p>
    <w:p>
      <w:pPr>
        <w:pStyle w:val="18"/>
        <w:keepNext w:val="0"/>
        <w:keepLines w:val="0"/>
        <w:pageBreakBefore w:val="0"/>
        <w:shd w:val="clear" w:color="auto" w:fill="auto"/>
        <w:kinsoku/>
        <w:wordWrap/>
        <w:overflowPunct/>
        <w:topLinePunct w:val="0"/>
        <w:autoSpaceDE/>
        <w:bidi w:val="0"/>
        <w:adjustRightInd w:val="0"/>
        <w:snapToGrid w:val="0"/>
        <w:spacing w:before="0" w:beforeAutospacing="0" w:after="0" w:afterAutospacing="0" w:line="360" w:lineRule="auto"/>
        <w:ind w:left="0" w:right="0" w:rightChars="0" w:firstLine="420" w:firstLineChars="200"/>
        <w:jc w:val="both"/>
        <w:textAlignment w:val="auto"/>
        <w:rPr>
          <w:rFonts w:hint="eastAsia"/>
          <w:color w:val="auto"/>
          <w:sz w:val="21"/>
          <w:szCs w:val="21"/>
          <w:highlight w:val="none"/>
        </w:rPr>
      </w:pPr>
      <w:r>
        <w:rPr>
          <w:rFonts w:hint="eastAsia"/>
          <w:bCs/>
          <w:color w:val="auto"/>
          <w:sz w:val="21"/>
          <w:szCs w:val="21"/>
          <w:highlight w:val="none"/>
          <w:lang w:eastAsia="zh-CN"/>
        </w:rPr>
        <w:t>25.1</w:t>
      </w:r>
      <w:r>
        <w:rPr>
          <w:rFonts w:hint="eastAsia"/>
          <w:bCs/>
          <w:color w:val="auto"/>
          <w:sz w:val="21"/>
          <w:szCs w:val="21"/>
          <w:highlight w:val="none"/>
        </w:rPr>
        <w:t>本条所称</w:t>
      </w:r>
      <w:r>
        <w:rPr>
          <w:rFonts w:hint="eastAsia"/>
          <w:color w:val="auto"/>
          <w:sz w:val="21"/>
          <w:szCs w:val="21"/>
          <w:highlight w:val="none"/>
        </w:rPr>
        <w:t>偏离为</w:t>
      </w:r>
      <w:r>
        <w:rPr>
          <w:rFonts w:hint="eastAsia"/>
          <w:bCs/>
          <w:color w:val="auto"/>
          <w:sz w:val="21"/>
          <w:szCs w:val="21"/>
          <w:highlight w:val="none"/>
        </w:rPr>
        <w:t>响应文件</w:t>
      </w:r>
      <w:r>
        <w:rPr>
          <w:rFonts w:hint="eastAsia"/>
          <w:color w:val="auto"/>
          <w:sz w:val="21"/>
          <w:szCs w:val="21"/>
          <w:highlight w:val="none"/>
        </w:rPr>
        <w:t>对磋商文件的偏离，即不满足、或不响应磋商文件的要求。偏离分为对磋商文件的实质性要求条款偏离和对磋商文件的一般商务</w:t>
      </w:r>
      <w:r>
        <w:rPr>
          <w:rFonts w:hint="eastAsia"/>
          <w:color w:val="auto"/>
          <w:spacing w:val="4"/>
          <w:sz w:val="21"/>
          <w:szCs w:val="21"/>
          <w:highlight w:val="none"/>
        </w:rPr>
        <w:t>和</w:t>
      </w:r>
      <w:r>
        <w:rPr>
          <w:rFonts w:hint="eastAsia"/>
          <w:color w:val="auto"/>
          <w:sz w:val="21"/>
          <w:szCs w:val="21"/>
          <w:highlight w:val="none"/>
        </w:rPr>
        <w:t>技术条款（参数）偏离。</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lang w:eastAsia="zh-CN"/>
        </w:rPr>
        <w:t>25.2</w:t>
      </w:r>
      <w:r>
        <w:rPr>
          <w:rFonts w:hint="eastAsia" w:ascii="宋体" w:hAnsi="宋体" w:cs="宋体"/>
          <w:bCs/>
          <w:color w:val="auto"/>
          <w:szCs w:val="21"/>
          <w:highlight w:val="none"/>
        </w:rPr>
        <w:t>除法律、法规和规章规定外，</w:t>
      </w:r>
      <w:r>
        <w:rPr>
          <w:rFonts w:hint="eastAsia" w:ascii="宋体" w:hAnsi="宋体" w:cs="宋体"/>
          <w:color w:val="auto"/>
          <w:szCs w:val="21"/>
          <w:highlight w:val="none"/>
        </w:rPr>
        <w:t>磋商文件中用“拒绝”、“不接受”、“无效”、“不得”等文字规定或标注“★”符号的条款为实质性要求条款（即重要条款），对其中任何一条的偏离，在磋商时将其视为无效响应文件。未用上述文字规定或符号标注的条款为非实质性要求条款(即一般条款)。</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lang w:eastAsia="zh-CN"/>
        </w:rPr>
        <w:t>25.3</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磋商须知前附表</w:t>
      </w:r>
      <w:r>
        <w:rPr>
          <w:rFonts w:hint="eastAsia" w:ascii="宋体" w:hAnsi="宋体" w:cs="宋体"/>
          <w:color w:val="auto"/>
          <w:szCs w:val="21"/>
          <w:highlight w:val="none"/>
        </w:rPr>
        <w:t>”中和 “技术规格、参数及要求”中的一般商务</w:t>
      </w:r>
      <w:r>
        <w:rPr>
          <w:rFonts w:hint="eastAsia" w:ascii="宋体" w:hAnsi="宋体" w:cs="宋体"/>
          <w:color w:val="auto"/>
          <w:spacing w:val="4"/>
          <w:szCs w:val="21"/>
          <w:highlight w:val="none"/>
        </w:rPr>
        <w:t>和</w:t>
      </w:r>
      <w:r>
        <w:rPr>
          <w:rFonts w:hint="eastAsia" w:ascii="宋体" w:hAnsi="宋体" w:cs="宋体"/>
          <w:color w:val="auto"/>
          <w:szCs w:val="21"/>
          <w:highlight w:val="none"/>
        </w:rPr>
        <w:t>技术条款（参数），在超出允许偏离的条款数（最高项数）时，在磋商时将其视为无效响应文件。前述章节中一般商务</w:t>
      </w:r>
      <w:r>
        <w:rPr>
          <w:rFonts w:hint="eastAsia" w:ascii="宋体" w:hAnsi="宋体" w:cs="宋体"/>
          <w:color w:val="auto"/>
          <w:spacing w:val="4"/>
          <w:szCs w:val="21"/>
          <w:highlight w:val="none"/>
        </w:rPr>
        <w:t>和</w:t>
      </w:r>
      <w:r>
        <w:rPr>
          <w:rFonts w:hint="eastAsia" w:ascii="宋体" w:hAnsi="宋体" w:cs="宋体"/>
          <w:color w:val="auto"/>
          <w:szCs w:val="21"/>
          <w:highlight w:val="none"/>
        </w:rPr>
        <w:t>技术条款允许偏离的最高项数见</w:t>
      </w:r>
      <w:r>
        <w:rPr>
          <w:rFonts w:hint="eastAsia" w:ascii="宋体" w:hAnsi="宋体" w:cs="宋体"/>
          <w:b/>
          <w:color w:val="auto"/>
          <w:szCs w:val="21"/>
          <w:highlight w:val="none"/>
          <w:lang w:eastAsia="zh-CN"/>
        </w:rPr>
        <w:t>磋商须知前附表</w:t>
      </w:r>
      <w:r>
        <w:rPr>
          <w:rFonts w:hint="eastAsia" w:ascii="宋体" w:hAnsi="宋体" w:cs="宋体"/>
          <w:b/>
          <w:color w:val="auto"/>
          <w:szCs w:val="21"/>
          <w:highlight w:val="none"/>
        </w:rPr>
        <w:t>。</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210" w:firstLineChars="100"/>
        <w:textAlignment w:val="auto"/>
        <w:rPr>
          <w:rFonts w:hint="eastAsia" w:hAnsi="宋体" w:cs="宋体"/>
          <w:color w:val="auto"/>
          <w:sz w:val="21"/>
          <w:highlight w:val="none"/>
        </w:rPr>
      </w:pPr>
      <w:r>
        <w:rPr>
          <w:rFonts w:hint="eastAsia" w:hAnsi="宋体" w:cs="宋体"/>
          <w:color w:val="auto"/>
          <w:sz w:val="21"/>
          <w:highlight w:val="none"/>
          <w:lang w:eastAsia="zh-CN"/>
        </w:rPr>
        <w:t>25.4</w:t>
      </w:r>
      <w:r>
        <w:rPr>
          <w:rFonts w:hint="eastAsia" w:hAnsi="宋体" w:cs="宋体"/>
          <w:color w:val="auto"/>
          <w:sz w:val="21"/>
          <w:highlight w:val="none"/>
        </w:rPr>
        <w:t>本章第</w:t>
      </w:r>
      <w:r>
        <w:rPr>
          <w:rFonts w:hint="eastAsia" w:hAnsi="宋体" w:cs="宋体"/>
          <w:color w:val="auto"/>
          <w:sz w:val="21"/>
          <w:highlight w:val="none"/>
          <w:lang w:eastAsia="zh-CN"/>
        </w:rPr>
        <w:t>25.3</w:t>
      </w:r>
      <w:r>
        <w:rPr>
          <w:rFonts w:hint="eastAsia" w:hAnsi="宋体" w:cs="宋体"/>
          <w:color w:val="auto"/>
          <w:sz w:val="21"/>
          <w:highlight w:val="none"/>
          <w:lang w:val="zh-CN"/>
        </w:rPr>
        <w:t>款</w:t>
      </w:r>
      <w:r>
        <w:rPr>
          <w:rFonts w:hint="eastAsia" w:hAnsi="宋体" w:cs="宋体"/>
          <w:color w:val="auto"/>
          <w:sz w:val="21"/>
          <w:highlight w:val="none"/>
        </w:rPr>
        <w:t>所称条款数（最高项数）的统计方法见</w:t>
      </w:r>
      <w:r>
        <w:rPr>
          <w:rFonts w:hint="eastAsia" w:hAnsi="宋体" w:cs="宋体"/>
          <w:b/>
          <w:color w:val="auto"/>
          <w:sz w:val="21"/>
          <w:highlight w:val="none"/>
          <w:lang w:eastAsia="zh-CN"/>
        </w:rPr>
        <w:t>磋商须知前附表</w:t>
      </w:r>
      <w:r>
        <w:rPr>
          <w:rFonts w:hint="eastAsia" w:hAnsi="宋体" w:cs="宋体"/>
          <w:b/>
          <w:color w:val="auto"/>
          <w:sz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6</w:t>
      </w:r>
      <w:r>
        <w:rPr>
          <w:rFonts w:hint="eastAsia" w:ascii="宋体" w:hAnsi="宋体" w:cs="宋体"/>
          <w:b/>
          <w:color w:val="auto"/>
          <w:kern w:val="0"/>
          <w:szCs w:val="21"/>
          <w:highlight w:val="none"/>
        </w:rPr>
        <w:t>.澄清</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26.1</w:t>
      </w:r>
      <w:r>
        <w:rPr>
          <w:rFonts w:hint="eastAsia" w:ascii="宋体" w:hAnsi="宋体" w:cs="宋体"/>
          <w:color w:val="auto"/>
          <w:kern w:val="0"/>
          <w:szCs w:val="21"/>
          <w:highlight w:val="none"/>
        </w:rPr>
        <w:t xml:space="preserve">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磋商文件的范围或者改变响应文件的实质性内容。</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26.2</w:t>
      </w:r>
      <w:r>
        <w:rPr>
          <w:rFonts w:hint="eastAsia" w:ascii="宋体" w:hAnsi="宋体" w:cs="宋体"/>
          <w:color w:val="auto"/>
          <w:kern w:val="0"/>
          <w:szCs w:val="21"/>
          <w:highlight w:val="none"/>
        </w:rPr>
        <w:t xml:space="preserve"> 最后报价计算错误修正的原则：最后报价的大写金额和小写金额不一致的，以大写金额为准；总价金额与按分项报价</w:t>
      </w:r>
      <w:r>
        <w:rPr>
          <w:rFonts w:hint="eastAsia" w:ascii="宋体" w:hAnsi="宋体" w:cs="宋体"/>
          <w:color w:val="auto"/>
          <w:kern w:val="0"/>
          <w:szCs w:val="21"/>
          <w:highlight w:val="none"/>
          <w:lang w:eastAsia="zh-CN"/>
        </w:rPr>
        <w:t>（</w:t>
      </w:r>
      <w:r>
        <w:rPr>
          <w:rFonts w:hint="eastAsia" w:ascii="宋体" w:hAnsi="宋体" w:cs="宋体"/>
          <w:color w:val="auto"/>
          <w:kern w:val="2"/>
          <w:sz w:val="21"/>
          <w:szCs w:val="21"/>
          <w:highlight w:val="none"/>
          <w:lang w:val="en-US" w:eastAsia="zh-CN" w:bidi="ar-SA"/>
        </w:rPr>
        <w:t>已标价工程量清单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汇总金额不一致的，以分项报价金额计算结果为准；分项报价</w:t>
      </w:r>
      <w:r>
        <w:rPr>
          <w:rFonts w:hint="eastAsia" w:ascii="宋体" w:hAnsi="宋体" w:cs="宋体"/>
          <w:color w:val="auto"/>
          <w:kern w:val="0"/>
          <w:szCs w:val="21"/>
          <w:highlight w:val="none"/>
          <w:lang w:eastAsia="zh-CN"/>
        </w:rPr>
        <w:t>（</w:t>
      </w:r>
      <w:r>
        <w:rPr>
          <w:rFonts w:hint="eastAsia" w:ascii="宋体" w:hAnsi="宋体" w:cs="宋体"/>
          <w:color w:val="auto"/>
          <w:kern w:val="2"/>
          <w:sz w:val="21"/>
          <w:szCs w:val="21"/>
          <w:highlight w:val="none"/>
          <w:lang w:val="en-US" w:eastAsia="zh-CN" w:bidi="ar-SA"/>
        </w:rPr>
        <w:t>已标价工程量清单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金额小数点有明显错位的，应以总价为准，并修改分项报价</w:t>
      </w:r>
      <w:r>
        <w:rPr>
          <w:rFonts w:hint="eastAsia" w:ascii="宋体" w:hAnsi="宋体" w:cs="宋体"/>
          <w:color w:val="auto"/>
          <w:kern w:val="0"/>
          <w:szCs w:val="21"/>
          <w:highlight w:val="none"/>
          <w:lang w:eastAsia="zh-CN"/>
        </w:rPr>
        <w:t>（</w:t>
      </w:r>
      <w:r>
        <w:rPr>
          <w:rFonts w:hint="eastAsia" w:ascii="宋体" w:hAnsi="宋体" w:cs="宋体"/>
          <w:color w:val="auto"/>
          <w:kern w:val="2"/>
          <w:sz w:val="21"/>
          <w:szCs w:val="21"/>
          <w:highlight w:val="none"/>
          <w:lang w:val="en-US" w:eastAsia="zh-CN" w:bidi="ar-SA"/>
        </w:rPr>
        <w:t>已标价工程量清单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rPr>
        <w:t>.符合性审查</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27.1</w:t>
      </w:r>
      <w:r>
        <w:rPr>
          <w:rFonts w:hint="eastAsia" w:ascii="宋体" w:hAnsi="宋体" w:cs="宋体"/>
          <w:color w:val="auto"/>
          <w:kern w:val="0"/>
          <w:szCs w:val="21"/>
          <w:highlight w:val="none"/>
        </w:rPr>
        <w:t>对响应文件(包括首次</w:t>
      </w:r>
      <w:r>
        <w:rPr>
          <w:rFonts w:hint="eastAsia" w:ascii="宋体" w:hAnsi="宋体" w:cs="宋体"/>
          <w:color w:val="auto"/>
          <w:szCs w:val="21"/>
          <w:highlight w:val="none"/>
        </w:rPr>
        <w:t>提交的</w:t>
      </w:r>
      <w:r>
        <w:rPr>
          <w:rFonts w:hint="eastAsia" w:ascii="宋体" w:hAnsi="宋体" w:cs="宋体"/>
          <w:color w:val="auto"/>
          <w:kern w:val="0"/>
          <w:szCs w:val="21"/>
          <w:highlight w:val="none"/>
        </w:rPr>
        <w:t>响应文件、重新提交的响应文件)的符合性审查。磋商小组应当对响应文件进行符合性审查，供应商响应文件有下列情况之一，其响应文件无效（供应商不参加磋商），磋商小组应当告知有关供应商：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（1）不满足本章第</w:t>
      </w:r>
      <w:r>
        <w:rPr>
          <w:rFonts w:hint="eastAsia" w:ascii="宋体" w:hAnsi="宋体" w:cs="宋体"/>
          <w:color w:val="auto"/>
          <w:kern w:val="0"/>
          <w:szCs w:val="21"/>
          <w:highlight w:val="none"/>
          <w:lang w:eastAsia="zh-CN"/>
        </w:rPr>
        <w:t>25.1</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规定的实质性要求的；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（2）不符合法律、规章、规范性文件和磋商文件规定的。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eastAsia="zh-CN"/>
        </w:rPr>
        <w:t>27.2</w:t>
      </w:r>
      <w:r>
        <w:rPr>
          <w:rFonts w:hint="eastAsia" w:ascii="宋体" w:hAnsi="宋体" w:cs="宋体"/>
          <w:color w:val="auto"/>
          <w:kern w:val="0"/>
          <w:szCs w:val="21"/>
          <w:highlight w:val="none"/>
        </w:rPr>
        <w:t>符合性审查结束后</w:t>
      </w:r>
      <w:r>
        <w:rPr>
          <w:rFonts w:hint="eastAsia" w:ascii="宋体" w:hAnsi="宋体" w:cs="宋体"/>
          <w:bCs/>
          <w:color w:val="auto"/>
          <w:szCs w:val="21"/>
          <w:highlight w:val="none"/>
        </w:rPr>
        <w:t>，</w:t>
      </w:r>
      <w:r>
        <w:rPr>
          <w:rFonts w:hint="eastAsia" w:ascii="宋体" w:hAnsi="宋体" w:cs="宋体"/>
          <w:color w:val="auto"/>
          <w:kern w:val="0"/>
          <w:szCs w:val="21"/>
          <w:highlight w:val="none"/>
        </w:rPr>
        <w:t>磋商小组所有成员集中与单一供应商分别进行磋商，并给予所有参加磋商的供应商平等的磋商机会。供应商应派其法定代表人或委托代理人参加磋商。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8</w:t>
      </w:r>
      <w:r>
        <w:rPr>
          <w:rFonts w:hint="eastAsia" w:ascii="宋体" w:hAnsi="宋体" w:cs="宋体"/>
          <w:b/>
          <w:color w:val="auto"/>
          <w:kern w:val="0"/>
          <w:szCs w:val="21"/>
          <w:highlight w:val="none"/>
        </w:rPr>
        <w:t>.磋商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eastAsia="zh-CN"/>
        </w:rPr>
        <w:t>28.1</w:t>
      </w:r>
      <w:r>
        <w:rPr>
          <w:rFonts w:hint="eastAsia" w:ascii="宋体" w:hAnsi="宋体" w:cs="宋体"/>
          <w:color w:val="auto"/>
          <w:kern w:val="0"/>
          <w:szCs w:val="21"/>
          <w:highlight w:val="none"/>
        </w:rPr>
        <w:t>对于</w:t>
      </w:r>
      <w:r>
        <w:rPr>
          <w:rFonts w:hint="eastAsia" w:ascii="宋体" w:hAnsi="宋体" w:cs="宋体"/>
          <w:color w:val="auto"/>
          <w:szCs w:val="21"/>
          <w:highlight w:val="none"/>
        </w:rPr>
        <w:t>本章第10.3项</w:t>
      </w:r>
      <w:r>
        <w:rPr>
          <w:rFonts w:hint="eastAsia" w:ascii="宋体" w:hAnsi="宋体" w:cs="宋体"/>
          <w:color w:val="auto"/>
          <w:kern w:val="0"/>
          <w:szCs w:val="21"/>
          <w:highlight w:val="none"/>
        </w:rPr>
        <w:t>未明确磋商文件实质性变动内容，或者磋商文件明确了可能发生实质性变动内容，但在磋商过程中，</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根据磋商情况</w:t>
      </w:r>
      <w:r>
        <w:rPr>
          <w:rFonts w:hint="eastAsia" w:ascii="宋体" w:hAnsi="宋体" w:cs="宋体"/>
          <w:bCs/>
          <w:color w:val="auto"/>
          <w:szCs w:val="21"/>
          <w:highlight w:val="none"/>
        </w:rPr>
        <w:t>认为</w:t>
      </w:r>
      <w:r>
        <w:rPr>
          <w:rFonts w:hint="eastAsia" w:ascii="宋体" w:hAnsi="宋体" w:cs="宋体"/>
          <w:color w:val="auto"/>
          <w:kern w:val="0"/>
          <w:szCs w:val="21"/>
          <w:highlight w:val="none"/>
        </w:rPr>
        <w:t>磋商文件无需发生实质性变动的，磋商小组应当</w:t>
      </w:r>
      <w:r>
        <w:rPr>
          <w:rFonts w:hint="eastAsia" w:ascii="宋体" w:hAnsi="宋体" w:cs="宋体"/>
          <w:color w:val="auto"/>
          <w:szCs w:val="21"/>
          <w:highlight w:val="none"/>
        </w:rPr>
        <w:t>根据本章第</w:t>
      </w:r>
      <w:r>
        <w:rPr>
          <w:rFonts w:hint="eastAsia" w:ascii="宋体" w:hAnsi="宋体" w:cs="宋体"/>
          <w:color w:val="auto"/>
          <w:szCs w:val="21"/>
          <w:highlight w:val="none"/>
          <w:lang w:eastAsia="zh-CN"/>
        </w:rPr>
        <w:t>27.1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对供应商提交的首次响应文件进行符合性审查，直接与实质性响应磋商文件要求的供应商就价格组织多轮磋商。</w:t>
      </w:r>
    </w:p>
    <w:p>
      <w:pPr>
        <w:keepNext w:val="0"/>
        <w:keepLines w:val="0"/>
        <w:pageBreakBefore w:val="0"/>
        <w:widowControl/>
        <w:shd w:val="clear" w:color="auto" w:fill="auto"/>
        <w:tabs>
          <w:tab w:val="left" w:pos="1080"/>
          <w:tab w:val="left" w:pos="1260"/>
        </w:tabs>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（1）磋商结束后，磋商小组应当要求所有继续参加磋商的供应商在磋商小组规定时间内提交最后报价。</w:t>
      </w:r>
    </w:p>
    <w:p>
      <w:pPr>
        <w:keepNext w:val="0"/>
        <w:keepLines w:val="0"/>
        <w:pageBreakBefore w:val="0"/>
        <w:widowControl/>
        <w:shd w:val="clear" w:color="auto" w:fill="auto"/>
        <w:tabs>
          <w:tab w:val="left" w:pos="1080"/>
          <w:tab w:val="left" w:pos="1260"/>
        </w:tabs>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（2）磋商文件明确可能发生实质性变动，但在磋商过程中</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根据磋商情况</w:t>
      </w:r>
      <w:r>
        <w:rPr>
          <w:rFonts w:hint="eastAsia" w:ascii="宋体" w:hAnsi="宋体" w:cs="宋体"/>
          <w:bCs/>
          <w:color w:val="auto"/>
          <w:szCs w:val="21"/>
          <w:highlight w:val="none"/>
        </w:rPr>
        <w:t>认为</w:t>
      </w:r>
      <w:r>
        <w:rPr>
          <w:rFonts w:hint="eastAsia" w:ascii="宋体" w:hAnsi="宋体" w:cs="宋体"/>
          <w:color w:val="auto"/>
          <w:kern w:val="0"/>
          <w:szCs w:val="21"/>
          <w:highlight w:val="none"/>
        </w:rPr>
        <w:t>磋商文件无需发生实质性变动的，磋商小组不另行通知。</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28.2</w:t>
      </w:r>
      <w:r>
        <w:rPr>
          <w:rFonts w:hint="eastAsia" w:ascii="宋体" w:hAnsi="宋体" w:cs="宋体"/>
          <w:color w:val="auto"/>
          <w:kern w:val="0"/>
          <w:szCs w:val="21"/>
          <w:highlight w:val="none"/>
        </w:rPr>
        <w:t>对于</w:t>
      </w:r>
      <w:r>
        <w:rPr>
          <w:rFonts w:hint="eastAsia" w:ascii="宋体" w:hAnsi="宋体" w:cs="宋体"/>
          <w:color w:val="auto"/>
          <w:szCs w:val="21"/>
          <w:highlight w:val="none"/>
        </w:rPr>
        <w:t>本章第10.3</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明确磋商文件实质性变动内容，且在磋商过程中磋商文件实质性内容发生变动的，</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可以组织多轮磋商。</w:t>
      </w:r>
      <w:r>
        <w:rPr>
          <w:rFonts w:hint="eastAsia" w:ascii="宋体" w:hAnsi="宋体" w:cs="宋体"/>
          <w:bCs/>
          <w:color w:val="auto"/>
          <w:szCs w:val="21"/>
          <w:highlight w:val="none"/>
        </w:rPr>
        <w:t>在每一轮磋商中，磋商小组</w:t>
      </w:r>
      <w:r>
        <w:rPr>
          <w:rFonts w:hint="eastAsia" w:ascii="宋体" w:hAnsi="宋体" w:cs="宋体"/>
          <w:color w:val="auto"/>
          <w:kern w:val="0"/>
          <w:szCs w:val="21"/>
          <w:highlight w:val="none"/>
        </w:rPr>
        <w:t>可以根据磋商文件规定和磋商情况，</w:t>
      </w:r>
      <w:r>
        <w:rPr>
          <w:rFonts w:hint="eastAsia" w:ascii="宋体" w:hAnsi="宋体" w:cs="宋体"/>
          <w:bCs/>
          <w:color w:val="auto"/>
          <w:szCs w:val="21"/>
          <w:highlight w:val="none"/>
        </w:rPr>
        <w:t>对磋商文件的</w:t>
      </w:r>
      <w:r>
        <w:rPr>
          <w:rFonts w:hint="eastAsia" w:ascii="宋体" w:hAnsi="宋体" w:cs="宋体"/>
          <w:color w:val="auto"/>
          <w:kern w:val="0"/>
          <w:szCs w:val="21"/>
          <w:highlight w:val="none"/>
        </w:rPr>
        <w:t>采购需求中的技术、服务要求以及合同草案条款</w:t>
      </w:r>
      <w:r>
        <w:rPr>
          <w:rFonts w:hint="eastAsia" w:ascii="宋体" w:hAnsi="宋体" w:cs="宋体"/>
          <w:bCs/>
          <w:color w:val="auto"/>
          <w:szCs w:val="21"/>
          <w:highlight w:val="none"/>
        </w:rPr>
        <w:t>作实质性变动(磋商文件的实质性变动内容为磋商文件的组成部分)，并以书面形式要求</w:t>
      </w:r>
      <w:r>
        <w:rPr>
          <w:rFonts w:hint="eastAsia" w:ascii="宋体" w:hAnsi="宋体" w:cs="宋体"/>
          <w:color w:val="auto"/>
          <w:kern w:val="0"/>
          <w:szCs w:val="21"/>
          <w:highlight w:val="none"/>
        </w:rPr>
        <w:t>符合性审查合格</w:t>
      </w:r>
      <w:r>
        <w:rPr>
          <w:rFonts w:hint="eastAsia" w:ascii="宋体" w:hAnsi="宋体" w:cs="宋体"/>
          <w:bCs/>
          <w:color w:val="auto"/>
          <w:szCs w:val="21"/>
          <w:highlight w:val="none"/>
        </w:rPr>
        <w:t>的供应商，在规定的</w:t>
      </w:r>
      <w:r>
        <w:rPr>
          <w:rFonts w:hint="eastAsia" w:ascii="宋体" w:hAnsi="宋体" w:cs="宋体"/>
          <w:color w:val="auto"/>
          <w:kern w:val="0"/>
          <w:szCs w:val="21"/>
          <w:highlight w:val="none"/>
        </w:rPr>
        <w:t>截止时间前</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新提交响应文件</w:t>
      </w:r>
      <w:r>
        <w:rPr>
          <w:rFonts w:hint="eastAsia" w:ascii="宋体" w:hAnsi="宋体" w:cs="宋体"/>
          <w:bCs/>
          <w:color w:val="auto"/>
          <w:szCs w:val="21"/>
          <w:highlight w:val="none"/>
        </w:rPr>
        <w:t>。</w:t>
      </w:r>
      <w:r>
        <w:rPr>
          <w:rFonts w:hint="eastAsia" w:ascii="宋体" w:hAnsi="宋体" w:cs="宋体"/>
          <w:color w:val="auto"/>
          <w:kern w:val="0"/>
          <w:szCs w:val="21"/>
          <w:highlight w:val="none"/>
        </w:rPr>
        <w:t>磋商小组应当</w:t>
      </w:r>
      <w:r>
        <w:rPr>
          <w:rFonts w:hint="eastAsia" w:ascii="宋体" w:hAnsi="宋体" w:cs="宋体"/>
          <w:color w:val="auto"/>
          <w:szCs w:val="21"/>
          <w:highlight w:val="none"/>
        </w:rPr>
        <w:t>根据本章第</w:t>
      </w:r>
      <w:r>
        <w:rPr>
          <w:rFonts w:hint="eastAsia" w:ascii="宋体" w:hAnsi="宋体" w:cs="宋体"/>
          <w:color w:val="auto"/>
          <w:szCs w:val="21"/>
          <w:highlight w:val="none"/>
          <w:lang w:eastAsia="zh-CN"/>
        </w:rPr>
        <w:t>27.1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对供应商重新提交的响应文件进行符合性审查。供应商重新提交的响应文件未通过符合性审查的，不得进入下一轮磋商，也不得要求提交最后报价。</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（1）磋商文件能够详细列明采购需求的技术、服务要求的，磋商结束后，磋商小组应当要求所有继续参加磋商的供应商在规定时间内提交最后报价。</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eastAsia="zh-CN"/>
        </w:rPr>
        <w:t>28.3</w:t>
      </w:r>
      <w:r>
        <w:rPr>
          <w:rFonts w:hint="eastAsia" w:ascii="宋体" w:hAnsi="宋体" w:cs="宋体"/>
          <w:color w:val="auto"/>
          <w:szCs w:val="21"/>
          <w:highlight w:val="none"/>
        </w:rPr>
        <w:t xml:space="preserve"> </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新提交的响应文件</w:t>
      </w:r>
      <w:r>
        <w:rPr>
          <w:rFonts w:hint="eastAsia" w:ascii="宋体" w:hAnsi="宋体" w:cs="宋体"/>
          <w:color w:val="auto"/>
          <w:szCs w:val="21"/>
          <w:highlight w:val="none"/>
        </w:rPr>
        <w:t>或者最后报价应按</w:t>
      </w:r>
      <w:r>
        <w:rPr>
          <w:rFonts w:hint="eastAsia" w:ascii="宋体" w:hAnsi="宋体" w:cs="宋体"/>
          <w:color w:val="auto"/>
          <w:kern w:val="0"/>
          <w:szCs w:val="21"/>
          <w:highlight w:val="none"/>
        </w:rPr>
        <w:t>本章第</w:t>
      </w:r>
      <w:r>
        <w:rPr>
          <w:rFonts w:hint="eastAsia" w:ascii="宋体" w:hAnsi="宋体" w:cs="宋体"/>
          <w:color w:val="auto"/>
          <w:szCs w:val="21"/>
          <w:highlight w:val="none"/>
          <w:lang w:eastAsia="zh-CN"/>
        </w:rPr>
        <w:t>18.3</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由其法定代表人或其委托代理人签字或者加盖供应商单位章，在规定时间内密封递交给磋商小组</w:t>
      </w:r>
      <w:r>
        <w:rPr>
          <w:rFonts w:hint="eastAsia" w:ascii="宋体" w:hAnsi="宋体" w:cs="宋体"/>
          <w:bCs/>
          <w:color w:val="auto"/>
          <w:szCs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28.4</w:t>
      </w:r>
      <w:r>
        <w:rPr>
          <w:rFonts w:hint="eastAsia" w:ascii="宋体" w:hAnsi="宋体" w:cs="宋体"/>
          <w:color w:val="auto"/>
          <w:kern w:val="0"/>
          <w:szCs w:val="21"/>
          <w:highlight w:val="none"/>
          <w:lang w:val="zh-CN"/>
        </w:rPr>
        <w:t>供应商的</w:t>
      </w:r>
      <w:r>
        <w:rPr>
          <w:rFonts w:hint="eastAsia" w:ascii="宋体" w:hAnsi="宋体" w:cs="宋体"/>
          <w:bCs/>
          <w:color w:val="auto"/>
          <w:szCs w:val="21"/>
          <w:highlight w:val="none"/>
        </w:rPr>
        <w:t>最</w:t>
      </w:r>
      <w:r>
        <w:rPr>
          <w:rFonts w:hint="eastAsia" w:ascii="宋体" w:hAnsi="宋体" w:cs="宋体"/>
          <w:color w:val="auto"/>
          <w:kern w:val="0"/>
          <w:szCs w:val="21"/>
          <w:highlight w:val="none"/>
          <w:lang w:val="zh-CN"/>
        </w:rPr>
        <w:t>后</w:t>
      </w:r>
      <w:r>
        <w:rPr>
          <w:rFonts w:hint="eastAsia" w:ascii="宋体" w:hAnsi="宋体" w:cs="宋体"/>
          <w:bCs/>
          <w:color w:val="auto"/>
          <w:szCs w:val="21"/>
          <w:highlight w:val="none"/>
        </w:rPr>
        <w:t>报价及</w:t>
      </w:r>
      <w:r>
        <w:rPr>
          <w:rFonts w:hint="eastAsia" w:ascii="宋体" w:hAnsi="宋体" w:cs="宋体"/>
          <w:color w:val="auto"/>
          <w:kern w:val="0"/>
          <w:szCs w:val="21"/>
          <w:highlight w:val="none"/>
        </w:rPr>
        <w:t>政府采购政策规定的价格扣除情况，磋商小组应召集所有参加最后报价的供应商当场开封</w:t>
      </w:r>
      <w:r>
        <w:rPr>
          <w:rFonts w:hint="eastAsia" w:ascii="宋体" w:hAnsi="宋体" w:cs="宋体"/>
          <w:bCs/>
          <w:color w:val="auto"/>
          <w:szCs w:val="21"/>
          <w:highlight w:val="none"/>
        </w:rPr>
        <w:t>公布，并由供应商代表签字确认。</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28.5</w:t>
      </w:r>
      <w:r>
        <w:rPr>
          <w:rFonts w:hint="eastAsia" w:ascii="宋体" w:hAnsi="宋体" w:cs="宋体"/>
          <w:color w:val="auto"/>
          <w:kern w:val="0"/>
          <w:szCs w:val="21"/>
          <w:highlight w:val="none"/>
        </w:rPr>
        <w:t>提交首次响应文件的供应商，在提交最后报价之前，可以根据磋商情况退出磋商，并书面通知采购代理机构或者磋商小组。</w:t>
      </w:r>
      <w:r>
        <w:rPr>
          <w:rFonts w:hint="eastAsia" w:ascii="宋体" w:hAnsi="宋体" w:cs="宋体"/>
          <w:color w:val="auto"/>
          <w:szCs w:val="21"/>
          <w:highlight w:val="none"/>
        </w:rPr>
        <w:t>该通知由供应商法定代表人或其委托代理人签字。</w:t>
      </w:r>
      <w:r>
        <w:rPr>
          <w:rFonts w:hint="eastAsia" w:ascii="宋体" w:hAnsi="宋体" w:cs="宋体"/>
          <w:color w:val="auto"/>
          <w:kern w:val="0"/>
          <w:szCs w:val="21"/>
          <w:highlight w:val="none"/>
        </w:rPr>
        <w:t>采购代理机构按本章第</w:t>
      </w:r>
      <w:r>
        <w:rPr>
          <w:rFonts w:hint="eastAsia" w:ascii="宋体" w:hAnsi="宋体" w:cs="宋体"/>
          <w:color w:val="auto"/>
          <w:szCs w:val="21"/>
          <w:highlight w:val="none"/>
          <w:lang w:eastAsia="zh-CN"/>
        </w:rPr>
        <w:t>16.4</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退还退出磋商的供应商的保证金。</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eastAsia="zh-CN"/>
        </w:rPr>
        <w:t>28.6</w:t>
      </w:r>
      <w:r>
        <w:rPr>
          <w:rFonts w:hint="eastAsia" w:ascii="宋体" w:hAnsi="宋体" w:cs="宋体"/>
          <w:color w:val="auto"/>
          <w:kern w:val="0"/>
          <w:szCs w:val="21"/>
          <w:highlight w:val="none"/>
        </w:rPr>
        <w:t>提交首次响应文件的供应商，未按磋商文件规定及磋商小组要求提交最后报价(或者</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新提交的响应文件和最后报价)，且又未按本章第</w:t>
      </w:r>
      <w:r>
        <w:rPr>
          <w:rFonts w:hint="eastAsia" w:ascii="宋体" w:hAnsi="宋体" w:cs="宋体"/>
          <w:color w:val="auto"/>
          <w:szCs w:val="21"/>
          <w:highlight w:val="none"/>
          <w:lang w:eastAsia="zh-CN"/>
        </w:rPr>
        <w:t>28.5</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退出磋商的，供应商的保证金不予退还。</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bCs/>
          <w:color w:val="auto"/>
          <w:szCs w:val="21"/>
          <w:highlight w:val="none"/>
        </w:rPr>
      </w:pPr>
      <w:r>
        <w:rPr>
          <w:rFonts w:hint="eastAsia" w:ascii="宋体" w:hAnsi="宋体" w:eastAsia="宋体" w:cs="宋体"/>
          <w:b/>
          <w:bCs/>
          <w:color w:val="auto"/>
          <w:szCs w:val="21"/>
          <w:highlight w:val="none"/>
          <w:lang w:val="en-US" w:eastAsia="zh-CN"/>
        </w:rPr>
        <w:t>29</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rPr>
        <w:t>提出成交供应商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lang w:eastAsia="zh-CN"/>
        </w:rPr>
        <w:t>29.1</w:t>
      </w:r>
      <w:r>
        <w:rPr>
          <w:rFonts w:hint="eastAsia" w:ascii="宋体" w:hAnsi="宋体" w:cs="宋体"/>
          <w:color w:val="auto"/>
          <w:kern w:val="0"/>
          <w:szCs w:val="21"/>
          <w:highlight w:val="none"/>
        </w:rPr>
        <w:t>磋商小组应当按照综合评分由高到低的顺序提出3名以上成交候选人，并编写评审报告。</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31.确定成交供应商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30.1</w:t>
      </w:r>
      <w:r>
        <w:rPr>
          <w:rFonts w:hint="eastAsia" w:ascii="宋体" w:hAnsi="宋体" w:cs="宋体"/>
          <w:color w:val="auto"/>
          <w:kern w:val="0"/>
          <w:szCs w:val="21"/>
          <w:highlight w:val="none"/>
        </w:rPr>
        <w:t>采购代理机构应当在评审结束后2个工作日内将评审报告送采购人确认。</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30.2</w:t>
      </w:r>
      <w:r>
        <w:rPr>
          <w:rFonts w:hint="eastAsia" w:ascii="宋体" w:hAnsi="宋体" w:cs="宋体"/>
          <w:color w:val="auto"/>
          <w:kern w:val="0"/>
          <w:szCs w:val="21"/>
          <w:highlight w:val="none"/>
        </w:rPr>
        <w:t>采购人应当在收到评审报告后5个工作日内，从评审报告提出的成交候选人中，根据综合评分得分最高的原则确定成交供应商，也可以书面授权磋商小组直接确定成交供应商。</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hanging="632" w:hangingChars="300"/>
        <w:textAlignment w:val="auto"/>
        <w:rPr>
          <w:rFonts w:hint="eastAsia" w:hAnsi="宋体" w:cs="宋体"/>
          <w:b/>
          <w:color w:val="auto"/>
          <w:sz w:val="21"/>
          <w:highlight w:val="none"/>
        </w:rPr>
      </w:pPr>
      <w:r>
        <w:rPr>
          <w:rFonts w:hint="eastAsia" w:hAnsi="宋体" w:cs="宋体"/>
          <w:b/>
          <w:color w:val="auto"/>
          <w:sz w:val="21"/>
          <w:highlight w:val="none"/>
        </w:rPr>
        <w:t>3</w:t>
      </w:r>
      <w:r>
        <w:rPr>
          <w:rFonts w:hint="eastAsia" w:hAnsi="宋体" w:cs="宋体"/>
          <w:b/>
          <w:color w:val="auto"/>
          <w:sz w:val="21"/>
          <w:highlight w:val="none"/>
          <w:lang w:val="en-US" w:eastAsia="zh-CN"/>
        </w:rPr>
        <w:t>1</w:t>
      </w:r>
      <w:r>
        <w:rPr>
          <w:rFonts w:hint="eastAsia" w:hAnsi="宋体" w:cs="宋体"/>
          <w:b/>
          <w:color w:val="auto"/>
          <w:sz w:val="21"/>
          <w:highlight w:val="none"/>
        </w:rPr>
        <w:t>.磋商的特殊情形</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31.1</w:t>
      </w:r>
      <w:r>
        <w:rPr>
          <w:rFonts w:hint="eastAsia" w:ascii="宋体" w:hAnsi="宋体" w:cs="宋体"/>
          <w:color w:val="auto"/>
          <w:kern w:val="0"/>
          <w:szCs w:val="21"/>
          <w:highlight w:val="none"/>
        </w:rPr>
        <w:t>采用竞争性磋商采购方式采购的政府购买服务项目（含政府和社会资本合作项目），在采购过程中符合要求的供应商只有2家的，竞争性磋商采购活动可以继续进行。采购过程中符合要求的供应商只有1家的，</w:t>
      </w:r>
      <w:r>
        <w:rPr>
          <w:rFonts w:hint="default" w:ascii="宋体" w:hAnsi="宋体" w:cs="宋体"/>
          <w:color w:val="auto"/>
          <w:kern w:val="0"/>
          <w:szCs w:val="21"/>
          <w:highlight w:val="none"/>
        </w:rPr>
        <w:fldChar w:fldCharType="begin"/>
      </w:r>
      <w:r>
        <w:rPr>
          <w:rFonts w:hint="default" w:ascii="宋体" w:hAnsi="宋体" w:cs="宋体"/>
          <w:color w:val="auto"/>
          <w:kern w:val="0"/>
          <w:szCs w:val="21"/>
          <w:highlight w:val="none"/>
        </w:rPr>
        <w:instrText xml:space="preserve"> HYPERLINK "https://baike.baidu.com/item/%E9%87%87%E8%B4%AD%E4%BA%BA" \t "https://baike.baidu.com/item/%E8%B4%A2%E6%94%BF%E9%83%A8%E5%85%B3%E4%BA%8E%E6%94%BF%E5%BA%9C%E9%87%87%E8%B4%AD%E7%AB%9E%E4%BA%89%E6%80%A7%E7%A3%8B%E5%95%86%E9%87%87%E8%B4%AD%E6%96%B9%E5%BC%8F%E7%AE%A1%E7%90%86%E6%9A%82%E8%A1%8C%E5%8A%9E%E6%B3%95%E6%9C%89%E5%85%B3%E9%97%AE%E9%A2%98%E7%9A%84%E8%A1%A5%E5%85%85%E9%80%9A%E7%9F%A5/_blank" </w:instrText>
      </w:r>
      <w:r>
        <w:rPr>
          <w:rFonts w:hint="default" w:ascii="宋体" w:hAnsi="宋体" w:cs="宋体"/>
          <w:color w:val="auto"/>
          <w:kern w:val="0"/>
          <w:szCs w:val="21"/>
          <w:highlight w:val="none"/>
        </w:rPr>
        <w:fldChar w:fldCharType="separate"/>
      </w:r>
      <w:r>
        <w:rPr>
          <w:rFonts w:hint="default" w:ascii="宋体" w:hAnsi="宋体" w:cs="宋体"/>
          <w:color w:val="auto"/>
          <w:kern w:val="0"/>
          <w:szCs w:val="21"/>
          <w:highlight w:val="none"/>
        </w:rPr>
        <w:t>采购人</w:t>
      </w:r>
      <w:r>
        <w:rPr>
          <w:rFonts w:hint="default" w:ascii="宋体" w:hAnsi="宋体" w:cs="宋体"/>
          <w:color w:val="auto"/>
          <w:kern w:val="0"/>
          <w:szCs w:val="21"/>
          <w:highlight w:val="none"/>
        </w:rPr>
        <w:fldChar w:fldCharType="end"/>
      </w:r>
      <w:r>
        <w:rPr>
          <w:rFonts w:hint="default" w:ascii="宋体" w:hAnsi="宋体" w:cs="宋体"/>
          <w:color w:val="auto"/>
          <w:kern w:val="0"/>
          <w:szCs w:val="21"/>
          <w:highlight w:val="none"/>
        </w:rPr>
        <w:t>或者采购代理机构应当终止竞争性磋商采购活动，发布项目终止公告并说明原因，重新开展采购活动</w:t>
      </w:r>
      <w:r>
        <w:rPr>
          <w:rFonts w:hint="eastAsia" w:ascii="宋体" w:hAnsi="宋体" w:cs="宋体"/>
          <w:color w:val="auto"/>
          <w:kern w:val="0"/>
          <w:szCs w:val="21"/>
          <w:highlight w:val="none"/>
        </w:rPr>
        <w:t>。符合本款情形的，本章第</w:t>
      </w:r>
      <w:r>
        <w:rPr>
          <w:rFonts w:hint="eastAsia" w:ascii="宋体" w:hAnsi="宋体" w:cs="宋体"/>
          <w:color w:val="auto"/>
          <w:kern w:val="0"/>
          <w:szCs w:val="21"/>
          <w:highlight w:val="none"/>
          <w:lang w:val="zh-CN"/>
        </w:rPr>
        <w:t>28.1款、第28.2款、第29.1款、第32.1款</w:t>
      </w:r>
      <w:r>
        <w:rPr>
          <w:rFonts w:hint="eastAsia" w:ascii="宋体" w:hAnsi="宋体" w:cs="宋体"/>
          <w:color w:val="auto"/>
          <w:kern w:val="0"/>
          <w:szCs w:val="21"/>
          <w:highlight w:val="none"/>
        </w:rPr>
        <w:t>中规定的供应商最低数量可以为两家。</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hanging="632" w:hangingChars="300"/>
        <w:textAlignment w:val="auto"/>
        <w:rPr>
          <w:rFonts w:hint="eastAsia" w:hAnsi="宋体" w:cs="宋体"/>
          <w:b/>
          <w:color w:val="auto"/>
          <w:sz w:val="21"/>
          <w:highlight w:val="none"/>
        </w:rPr>
      </w:pPr>
      <w:r>
        <w:rPr>
          <w:rFonts w:hint="eastAsia" w:hAnsi="宋体" w:cs="宋体"/>
          <w:b/>
          <w:color w:val="auto"/>
          <w:sz w:val="21"/>
          <w:highlight w:val="none"/>
        </w:rPr>
        <w:t>3</w:t>
      </w:r>
      <w:r>
        <w:rPr>
          <w:rFonts w:hint="eastAsia" w:hAnsi="宋体" w:cs="宋体"/>
          <w:b/>
          <w:color w:val="auto"/>
          <w:sz w:val="21"/>
          <w:highlight w:val="none"/>
          <w:lang w:val="en-US" w:eastAsia="zh-CN"/>
        </w:rPr>
        <w:t>2</w:t>
      </w:r>
      <w:r>
        <w:rPr>
          <w:rFonts w:hint="eastAsia" w:hAnsi="宋体" w:cs="宋体"/>
          <w:b/>
          <w:color w:val="auto"/>
          <w:sz w:val="21"/>
          <w:highlight w:val="none"/>
        </w:rPr>
        <w:t>.磋商终止</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eastAsia="zh-CN"/>
        </w:rPr>
        <w:t>32.1</w:t>
      </w:r>
      <w:r>
        <w:rPr>
          <w:rFonts w:hint="eastAsia" w:ascii="宋体" w:hAnsi="宋体" w:cs="宋体"/>
          <w:color w:val="auto"/>
          <w:kern w:val="0"/>
          <w:szCs w:val="21"/>
          <w:highlight w:val="none"/>
        </w:rPr>
        <w:t>出现下列情形之一的，采购人或者采购代理机构应当终止竞争性磋商采购活动，</w:t>
      </w:r>
      <w:r>
        <w:rPr>
          <w:rFonts w:hint="eastAsia" w:ascii="宋体" w:hAnsi="宋体" w:cs="宋体"/>
          <w:color w:val="auto"/>
          <w:szCs w:val="21"/>
          <w:highlight w:val="none"/>
        </w:rPr>
        <w:t>在省级以上财政部门指定的媒体上</w:t>
      </w:r>
      <w:r>
        <w:rPr>
          <w:rFonts w:hint="eastAsia" w:ascii="宋体" w:hAnsi="宋体" w:cs="宋体"/>
          <w:color w:val="auto"/>
          <w:kern w:val="0"/>
          <w:szCs w:val="21"/>
          <w:highlight w:val="none"/>
        </w:rPr>
        <w:t xml:space="preserve">发布项目终止公告并说明原因，重新开展采购活动： </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（1）因情况变化，不再符合规定的竞争性磋商采购方式适用情形的；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（3）在采购过程中符合竞争要求的供应商或者报价未超过采购预算的供应商不足3家的，或者提交最后报价的供应商少于3家的；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b/>
          <w:bCs/>
          <w:color w:val="auto"/>
          <w:szCs w:val="21"/>
          <w:highlight w:val="none"/>
        </w:rPr>
      </w:pPr>
      <w:r>
        <w:rPr>
          <w:rFonts w:hint="eastAsia" w:ascii="宋体" w:hAnsi="宋体" w:cs="宋体"/>
          <w:color w:val="auto"/>
          <w:kern w:val="0"/>
          <w:szCs w:val="21"/>
          <w:highlight w:val="none"/>
        </w:rPr>
        <w:t>（4）</w:t>
      </w:r>
      <w:r>
        <w:rPr>
          <w:rFonts w:hint="eastAsia" w:ascii="宋体" w:hAnsi="宋体" w:cs="宋体"/>
          <w:bCs/>
          <w:color w:val="auto"/>
          <w:szCs w:val="21"/>
          <w:highlight w:val="none"/>
        </w:rPr>
        <w:t>因重大变故，采购任务取消的。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w:t>
      </w:r>
      <w:r>
        <w:rPr>
          <w:rFonts w:hint="eastAsia" w:ascii="宋体" w:hAnsi="宋体" w:cs="宋体"/>
          <w:b/>
          <w:color w:val="auto"/>
          <w:kern w:val="0"/>
          <w:szCs w:val="21"/>
          <w:highlight w:val="none"/>
          <w:lang w:val="en-US" w:eastAsia="zh-CN"/>
        </w:rPr>
        <w:t>3</w:t>
      </w:r>
      <w:r>
        <w:rPr>
          <w:rFonts w:hint="eastAsia" w:ascii="宋体" w:hAnsi="宋体" w:cs="宋体"/>
          <w:b/>
          <w:color w:val="auto"/>
          <w:kern w:val="0"/>
          <w:szCs w:val="21"/>
          <w:highlight w:val="none"/>
        </w:rPr>
        <w:t>．重新评审</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33.1</w:t>
      </w:r>
      <w:r>
        <w:rPr>
          <w:rFonts w:hint="eastAsia" w:ascii="宋体" w:hAnsi="宋体" w:cs="宋体"/>
          <w:color w:val="auto"/>
          <w:kern w:val="0"/>
          <w:szCs w:val="21"/>
          <w:highlight w:val="none"/>
        </w:rPr>
        <w:t>除资格性审查认定错误和价格计算错误外，采购人或者采购代理机构不以任何理由组织重新评审。采购人、采购代理机构发现磋商小组未按照</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文件规定的评定成交的标准进行评审的，应当重新开展采购活动，并同时书面报告财政部。</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.保密及串通行为</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34.1</w:t>
      </w:r>
      <w:r>
        <w:rPr>
          <w:rFonts w:hint="eastAsia" w:ascii="宋体" w:hAnsi="宋体" w:cs="宋体"/>
          <w:color w:val="auto"/>
          <w:szCs w:val="21"/>
          <w:highlight w:val="none"/>
        </w:rPr>
        <w:t>磋商小组成员以及与评审工作有关的人员不得泄露评审情况以及评审过程中获悉的国家秘密、商业秘密。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34.2</w:t>
      </w:r>
      <w:r>
        <w:rPr>
          <w:rFonts w:hint="eastAsia" w:ascii="宋体" w:hAnsi="宋体" w:cs="宋体"/>
          <w:color w:val="auto"/>
          <w:kern w:val="0"/>
          <w:szCs w:val="21"/>
          <w:highlight w:val="none"/>
        </w:rPr>
        <w:t>供应商</w:t>
      </w:r>
      <w:r>
        <w:rPr>
          <w:rFonts w:hint="eastAsia" w:ascii="宋体" w:hAnsi="宋体" w:cs="宋体"/>
          <w:color w:val="auto"/>
          <w:szCs w:val="21"/>
          <w:highlight w:val="none"/>
        </w:rPr>
        <w:t>不得与</w:t>
      </w:r>
      <w:r>
        <w:rPr>
          <w:rFonts w:hint="eastAsia" w:ascii="宋体" w:hAnsi="宋体" w:cs="宋体"/>
          <w:color w:val="auto"/>
          <w:kern w:val="0"/>
          <w:szCs w:val="21"/>
          <w:highlight w:val="none"/>
        </w:rPr>
        <w:t>采购人、采购代理机构、其他供应商恶意</w:t>
      </w:r>
      <w:r>
        <w:rPr>
          <w:rFonts w:hint="eastAsia" w:ascii="宋体" w:hAnsi="宋体" w:cs="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s="宋体"/>
          <w:color w:val="auto"/>
          <w:szCs w:val="21"/>
          <w:highlight w:val="none"/>
        </w:rPr>
        <w:t>或者磋商小组成员行贿或者提供其他不正当利益；不得提供虚假材料谋取成交；不得以任何方式干扰、影响采购工作。</w:t>
      </w:r>
    </w:p>
    <w:p>
      <w:pPr>
        <w:pStyle w:val="18"/>
        <w:keepNext w:val="0"/>
        <w:keepLines w:val="0"/>
        <w:pageBreakBefore w:val="0"/>
        <w:shd w:val="clear" w:color="auto" w:fill="auto"/>
        <w:kinsoku/>
        <w:wordWrap/>
        <w:overflowPunct/>
        <w:topLinePunct w:val="0"/>
        <w:autoSpaceDE/>
        <w:bidi w:val="0"/>
        <w:adjustRightInd w:val="0"/>
        <w:snapToGrid w:val="0"/>
        <w:spacing w:before="0" w:beforeAutospacing="0" w:after="0" w:afterAutospacing="0" w:line="360" w:lineRule="auto"/>
        <w:ind w:left="0" w:right="0" w:rightChars="0" w:firstLine="420" w:firstLineChars="200"/>
        <w:textAlignment w:val="auto"/>
        <w:rPr>
          <w:rFonts w:hint="eastAsia"/>
          <w:color w:val="auto"/>
          <w:sz w:val="21"/>
          <w:szCs w:val="21"/>
          <w:highlight w:val="none"/>
          <w:lang w:val="zh-CN"/>
        </w:rPr>
      </w:pPr>
      <w:r>
        <w:rPr>
          <w:rFonts w:hint="eastAsia"/>
          <w:color w:val="auto"/>
          <w:sz w:val="21"/>
          <w:szCs w:val="21"/>
          <w:highlight w:val="none"/>
          <w:lang w:eastAsia="zh-CN"/>
        </w:rPr>
        <w:t>34.3</w:t>
      </w:r>
      <w:r>
        <w:rPr>
          <w:rFonts w:hint="eastAsia"/>
          <w:color w:val="auto"/>
          <w:sz w:val="21"/>
          <w:szCs w:val="21"/>
          <w:highlight w:val="none"/>
        </w:rPr>
        <w:t>有下列情形之一的，</w:t>
      </w:r>
      <w:r>
        <w:rPr>
          <w:rFonts w:hint="eastAsia"/>
          <w:color w:val="auto"/>
          <w:sz w:val="21"/>
          <w:szCs w:val="21"/>
          <w:highlight w:val="none"/>
          <w:lang w:val="zh-CN"/>
        </w:rPr>
        <w:t>属于恶意串通，</w:t>
      </w:r>
      <w:r>
        <w:rPr>
          <w:rFonts w:hint="eastAsia"/>
          <w:color w:val="auto"/>
          <w:sz w:val="21"/>
          <w:szCs w:val="21"/>
          <w:highlight w:val="none"/>
        </w:rPr>
        <w:t>成交无效，并</w:t>
      </w:r>
      <w:r>
        <w:rPr>
          <w:rFonts w:hint="eastAsia"/>
          <w:color w:val="auto"/>
          <w:sz w:val="21"/>
          <w:szCs w:val="21"/>
          <w:highlight w:val="none"/>
          <w:lang w:val="zh-CN"/>
        </w:rPr>
        <w:t>依照《政府采购法》第七十七条的规定追究法律责任：</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w:t>
      </w:r>
      <w:r>
        <w:rPr>
          <w:rFonts w:hint="eastAsia" w:ascii="宋体" w:hAnsi="宋体" w:cs="宋体"/>
          <w:bCs/>
          <w:color w:val="auto"/>
          <w:szCs w:val="21"/>
          <w:highlight w:val="none"/>
        </w:rPr>
        <w:t>采购人、采购代理机构</w:t>
      </w:r>
      <w:r>
        <w:rPr>
          <w:rFonts w:hint="eastAsia" w:ascii="宋体" w:hAnsi="宋体" w:cs="宋体"/>
          <w:color w:val="auto"/>
          <w:szCs w:val="21"/>
          <w:highlight w:val="none"/>
        </w:rPr>
        <w:t>获得其他供应商的响应情况，并修改其响应文件的；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采购人、采购代理机构</w:t>
      </w:r>
      <w:r>
        <w:rPr>
          <w:rFonts w:hint="eastAsia" w:ascii="宋体" w:hAnsi="宋体" w:cs="宋体"/>
          <w:color w:val="auto"/>
          <w:szCs w:val="21"/>
          <w:highlight w:val="none"/>
        </w:rPr>
        <w:t>授意供应商撤换、修改响应文件的；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（3）供应商之间协商技术方案、合同条款以及报价等响应文件实质性内容的；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（4）属于同一集团、协会、商会等组织成员的供应商按照该组织要求协同参加竞争性磋商政府采购活动的；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（5）供应商之间事先约定由某一特定供应商成交的；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（6）供应商之间商定部分供应商放弃提交响应文件或者退出磋商或者放弃成交的；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（7）供应商与</w:t>
      </w:r>
      <w:r>
        <w:rPr>
          <w:rFonts w:hint="eastAsia" w:ascii="宋体" w:hAnsi="宋体" w:cs="宋体"/>
          <w:bCs/>
          <w:color w:val="auto"/>
          <w:szCs w:val="21"/>
          <w:highlight w:val="none"/>
        </w:rPr>
        <w:t>采购人、采购代理机构以及</w:t>
      </w:r>
      <w:r>
        <w:rPr>
          <w:rFonts w:hint="eastAsia" w:ascii="宋体" w:hAnsi="宋体" w:cs="宋体"/>
          <w:color w:val="auto"/>
          <w:szCs w:val="21"/>
          <w:highlight w:val="none"/>
        </w:rPr>
        <w:t>磋商小组成员之间、供应商相互之间，为谋求特定供应商成交或者排斥其他供应商的其他串通行为的。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（8）法律、行政法规或规章规定的其他串通行为。</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cs="宋体"/>
          <w:b/>
          <w:color w:val="auto"/>
          <w:szCs w:val="21"/>
          <w:highlight w:val="none"/>
        </w:rPr>
      </w:pPr>
      <w:bookmarkStart w:id="24" w:name="_Toc19265"/>
      <w:bookmarkStart w:id="25" w:name="_Toc30413"/>
      <w:r>
        <w:rPr>
          <w:rFonts w:hint="eastAsia" w:ascii="宋体" w:hAnsi="宋体" w:cs="宋体"/>
          <w:b/>
          <w:color w:val="auto"/>
          <w:szCs w:val="21"/>
          <w:highlight w:val="none"/>
        </w:rPr>
        <w:t>六、成交结果信息公布与授予合同</w:t>
      </w:r>
      <w:bookmarkEnd w:id="24"/>
      <w:bookmarkEnd w:id="25"/>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.成交信息的公布</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35.1</w:t>
      </w:r>
      <w:r>
        <w:rPr>
          <w:rFonts w:hint="eastAsia" w:hAnsi="宋体" w:cs="宋体"/>
          <w:color w:val="auto"/>
          <w:sz w:val="21"/>
          <w:highlight w:val="none"/>
        </w:rPr>
        <w:t>成交供应商确定后2个工作日内，采购人或者采购代理机构应将成交结果信息在</w:t>
      </w:r>
      <w:r>
        <w:rPr>
          <w:rFonts w:hint="eastAsia" w:hAnsi="宋体" w:cs="宋体"/>
          <w:b/>
          <w:color w:val="auto"/>
          <w:sz w:val="21"/>
          <w:highlight w:val="none"/>
        </w:rPr>
        <w:t>磋商须知前附表</w:t>
      </w:r>
      <w:r>
        <w:rPr>
          <w:rFonts w:hint="eastAsia" w:hAnsi="宋体" w:cs="宋体"/>
          <w:color w:val="auto"/>
          <w:sz w:val="21"/>
          <w:highlight w:val="none"/>
        </w:rPr>
        <w:t>指定的媒体上公布。</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.询问及质疑</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36.1</w:t>
      </w:r>
      <w:r>
        <w:rPr>
          <w:rFonts w:hint="eastAsia" w:ascii="宋体" w:hAnsi="宋体" w:cs="宋体"/>
          <w:color w:val="auto"/>
          <w:szCs w:val="21"/>
          <w:highlight w:val="none"/>
        </w:rPr>
        <w:t>供应商对政府采购活动事项有疑问的，可以向采购人或采购代理机构提出询问。</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36.2</w:t>
      </w:r>
      <w:r>
        <w:rPr>
          <w:rFonts w:hint="eastAsia" w:ascii="宋体" w:hAnsi="宋体" w:cs="宋体"/>
          <w:color w:val="auto"/>
          <w:szCs w:val="21"/>
          <w:highlight w:val="none"/>
        </w:rPr>
        <w:t>供应商若认为磋商文件、采购过程和成交结果使自己的权益受到损害，可以按法律、规章及财政部相关文件规定向采购人或采购代理机构提出质疑。</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.成交通知</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37.1</w:t>
      </w:r>
      <w:r>
        <w:rPr>
          <w:rFonts w:hint="eastAsia" w:hAnsi="宋体" w:cs="宋体"/>
          <w:color w:val="auto"/>
          <w:sz w:val="21"/>
          <w:highlight w:val="none"/>
        </w:rPr>
        <w:t>成交供应商确定后，采购人或采购代理机构将以书面形式向成交供应商发出成交通知书。成交通知书对采购人和成交供应商具有同等法律效力。</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37.2</w:t>
      </w:r>
      <w:r>
        <w:rPr>
          <w:rFonts w:hint="eastAsia" w:hAnsi="宋体" w:cs="宋体"/>
          <w:color w:val="auto"/>
          <w:sz w:val="21"/>
          <w:highlight w:val="none"/>
        </w:rPr>
        <w:t xml:space="preserve"> 成交通知书是合同文件的组成部分。</w:t>
      </w:r>
    </w:p>
    <w:p>
      <w:pPr>
        <w:keepNext w:val="0"/>
        <w:keepLines w:val="0"/>
        <w:pageBreakBefore w:val="0"/>
        <w:shd w:val="clear" w:color="auto" w:fill="auto"/>
        <w:tabs>
          <w:tab w:val="left" w:pos="7560"/>
          <w:tab w:val="left" w:pos="7740"/>
          <w:tab w:val="left" w:pos="7920"/>
        </w:tabs>
        <w:kinsoku/>
        <w:wordWrap/>
        <w:overflowPunct/>
        <w:topLinePunct w:val="0"/>
        <w:autoSpaceDE/>
        <w:autoSpaceDN w:val="0"/>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eastAsia="zh-CN"/>
        </w:rPr>
        <w:t>37.3</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成交供应商在收到采购代理机构的成交通知书后10日内，应按照</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的规定，向采购人提交履约担保。联合体成交的，履约担保由联合体各方或联合体中牵头人的名义提交。</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37.4</w:t>
      </w:r>
      <w:r>
        <w:rPr>
          <w:rFonts w:hint="eastAsia" w:hAnsi="宋体" w:cs="宋体"/>
          <w:color w:val="auto"/>
          <w:sz w:val="21"/>
          <w:highlight w:val="none"/>
        </w:rPr>
        <w:t xml:space="preserve"> 成交供应商</w:t>
      </w:r>
      <w:r>
        <w:rPr>
          <w:rFonts w:hint="eastAsia" w:hAnsi="宋体" w:cs="宋体"/>
          <w:color w:val="auto"/>
          <w:spacing w:val="4"/>
          <w:sz w:val="21"/>
          <w:highlight w:val="none"/>
        </w:rPr>
        <w:t>没有按照本章第</w:t>
      </w:r>
      <w:r>
        <w:rPr>
          <w:rFonts w:hint="eastAsia" w:hAnsi="宋体" w:cs="宋体"/>
          <w:color w:val="auto"/>
          <w:spacing w:val="4"/>
          <w:sz w:val="21"/>
          <w:highlight w:val="none"/>
          <w:lang w:eastAsia="zh-CN"/>
        </w:rPr>
        <w:t>37.3</w:t>
      </w:r>
      <w:r>
        <w:rPr>
          <w:rFonts w:hint="eastAsia" w:hAnsi="宋体" w:cs="宋体"/>
          <w:color w:val="auto"/>
          <w:sz w:val="21"/>
          <w:highlight w:val="none"/>
          <w:lang w:val="zh-CN"/>
        </w:rPr>
        <w:t>款</w:t>
      </w:r>
      <w:r>
        <w:rPr>
          <w:rFonts w:hint="eastAsia" w:hAnsi="宋体" w:cs="宋体"/>
          <w:color w:val="auto"/>
          <w:spacing w:val="4"/>
          <w:sz w:val="21"/>
          <w:highlight w:val="none"/>
        </w:rPr>
        <w:t>规定</w:t>
      </w:r>
      <w:r>
        <w:rPr>
          <w:rFonts w:hint="eastAsia" w:hAnsi="宋体" w:cs="宋体"/>
          <w:color w:val="auto"/>
          <w:sz w:val="21"/>
          <w:highlight w:val="none"/>
        </w:rPr>
        <w:t>提交履约担保的</w:t>
      </w:r>
      <w:r>
        <w:rPr>
          <w:rFonts w:hint="eastAsia" w:hAnsi="宋体" w:cs="宋体"/>
          <w:color w:val="auto"/>
          <w:spacing w:val="4"/>
          <w:sz w:val="21"/>
          <w:highlight w:val="none"/>
        </w:rPr>
        <w:t>，视为放弃</w:t>
      </w:r>
      <w:r>
        <w:rPr>
          <w:rFonts w:hint="eastAsia" w:hAnsi="宋体" w:cs="宋体"/>
          <w:color w:val="auto"/>
          <w:sz w:val="21"/>
          <w:highlight w:val="none"/>
        </w:rPr>
        <w:t>成交资格</w:t>
      </w:r>
      <w:r>
        <w:rPr>
          <w:rFonts w:hint="eastAsia" w:hAnsi="宋体" w:cs="宋体"/>
          <w:color w:val="auto"/>
          <w:spacing w:val="4"/>
          <w:sz w:val="21"/>
          <w:highlight w:val="none"/>
        </w:rPr>
        <w:t>，</w:t>
      </w:r>
      <w:r>
        <w:rPr>
          <w:rFonts w:hint="eastAsia" w:hAnsi="宋体" w:cs="宋体"/>
          <w:color w:val="auto"/>
          <w:spacing w:val="2"/>
          <w:sz w:val="21"/>
          <w:highlight w:val="none"/>
        </w:rPr>
        <w:t>其保证金不予退还。</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.签订合同</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38.1</w:t>
      </w:r>
      <w:r>
        <w:rPr>
          <w:rFonts w:hint="eastAsia" w:hAnsi="宋体" w:cs="宋体"/>
          <w:color w:val="auto"/>
          <w:sz w:val="21"/>
          <w:highlight w:val="none"/>
        </w:rPr>
        <w:t xml:space="preserve"> 磋商文件、成交供应商的响应文件及其补充的响应文件等均为签订政府采购合同的依据。</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38.2</w:t>
      </w:r>
      <w:r>
        <w:rPr>
          <w:rFonts w:hint="eastAsia" w:hAnsi="宋体" w:cs="宋体"/>
          <w:color w:val="auto"/>
          <w:sz w:val="21"/>
          <w:highlight w:val="none"/>
        </w:rPr>
        <w:t xml:space="preserve"> 成交供应商应当在成交通知书发出之日起30日内与采购人签订政府采购合同。</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38.3</w:t>
      </w:r>
      <w:r>
        <w:rPr>
          <w:rFonts w:hint="eastAsia" w:hAnsi="宋体" w:cs="宋体"/>
          <w:color w:val="auto"/>
          <w:sz w:val="21"/>
          <w:highlight w:val="none"/>
        </w:rPr>
        <w:t xml:space="preserve"> 成交供应商应当按照合同约定履行义务。成交供应商不得向他人转让成交项目，也不得将成交项目分包后分别向他人转让。</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38.4</w:t>
      </w:r>
      <w:r>
        <w:rPr>
          <w:rFonts w:hint="eastAsia" w:hAnsi="宋体" w:cs="宋体"/>
          <w:color w:val="auto"/>
          <w:sz w:val="21"/>
          <w:highlight w:val="none"/>
        </w:rPr>
        <w:t xml:space="preserve"> 成交供应商有下列情形之一的，责令限期改正，情节严重的，列入不良行为记录名单，在1至3年内禁止参加政府采购活动，并予以通报：</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（一）成交后无正当理由不与采购人签订合同的；</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（二）未按照</w:t>
      </w:r>
      <w:r>
        <w:rPr>
          <w:rFonts w:hint="eastAsia" w:hAnsi="宋体" w:cs="宋体"/>
          <w:color w:val="auto"/>
          <w:sz w:val="21"/>
          <w:highlight w:val="none"/>
          <w:lang w:eastAsia="zh-CN"/>
        </w:rPr>
        <w:t>采购</w:t>
      </w:r>
      <w:r>
        <w:rPr>
          <w:rFonts w:hint="eastAsia" w:hAnsi="宋体" w:cs="宋体"/>
          <w:color w:val="auto"/>
          <w:sz w:val="21"/>
          <w:highlight w:val="none"/>
        </w:rPr>
        <w:t>文件确定的事项签订政府采购合同，或者与采购人另行订立背离合同实质性内容的协议的；</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（三）拒绝履行合同义务的；</w:t>
      </w:r>
    </w:p>
    <w:p>
      <w:pPr>
        <w:pStyle w:val="1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（四）违反法律、规章、规范性文件规定的。</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jc w:val="left"/>
        <w:textAlignment w:val="auto"/>
        <w:outlineLvl w:val="2"/>
        <w:rPr>
          <w:rFonts w:hint="eastAsia" w:hAnsi="宋体" w:eastAsia="宋体" w:cs="宋体"/>
          <w:b/>
          <w:color w:val="auto"/>
          <w:sz w:val="21"/>
          <w:highlight w:val="none"/>
          <w:lang w:eastAsia="zh-CN"/>
        </w:rPr>
      </w:pPr>
      <w:bookmarkStart w:id="26" w:name="_Toc21709"/>
      <w:bookmarkStart w:id="27" w:name="_Toc26254"/>
      <w:r>
        <w:rPr>
          <w:rFonts w:hint="eastAsia" w:hAnsi="宋体" w:cs="宋体"/>
          <w:b/>
          <w:color w:val="auto"/>
          <w:sz w:val="21"/>
          <w:highlight w:val="none"/>
        </w:rPr>
        <w:t>七、</w:t>
      </w:r>
      <w:r>
        <w:rPr>
          <w:rFonts w:hint="eastAsia" w:hAnsi="宋体" w:cs="宋体"/>
          <w:b/>
          <w:color w:val="auto"/>
          <w:sz w:val="21"/>
          <w:highlight w:val="none"/>
          <w:lang w:eastAsia="zh-CN"/>
        </w:rPr>
        <w:t>政府采购政策</w:t>
      </w:r>
      <w:bookmarkEnd w:id="26"/>
      <w:bookmarkEnd w:id="27"/>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jc w:val="left"/>
        <w:textAlignment w:val="auto"/>
        <w:outlineLvl w:val="9"/>
        <w:rPr>
          <w:rFonts w:hint="default" w:hAnsi="宋体" w:eastAsia="宋体" w:cs="宋体"/>
          <w:b/>
          <w:color w:val="auto"/>
          <w:sz w:val="21"/>
          <w:highlight w:val="none"/>
          <w:lang w:val="en-US" w:eastAsia="zh-CN"/>
        </w:rPr>
      </w:pPr>
      <w:r>
        <w:rPr>
          <w:rFonts w:hint="eastAsia" w:ascii="宋体" w:hAnsi="宋体" w:eastAsia="宋体" w:cs="宋体"/>
          <w:b/>
          <w:color w:val="auto"/>
          <w:kern w:val="2"/>
          <w:sz w:val="21"/>
          <w:szCs w:val="21"/>
          <w:highlight w:val="none"/>
          <w:lang w:val="en-US" w:eastAsia="zh-CN" w:bidi="ar-SA"/>
        </w:rPr>
        <w:t>39.政府采购政策</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39.1</w:t>
      </w:r>
      <w:r>
        <w:rPr>
          <w:rFonts w:hint="eastAsia" w:ascii="宋体" w:hAnsi="宋体" w:eastAsia="宋体" w:cs="宋体"/>
          <w:color w:val="auto"/>
          <w:kern w:val="0"/>
          <w:highlight w:val="none"/>
        </w:rPr>
        <w:t>优</w:t>
      </w:r>
      <w:r>
        <w:rPr>
          <w:rFonts w:hint="eastAsia" w:ascii="宋体" w:hAnsi="宋体" w:eastAsia="宋体" w:cs="宋体"/>
          <w:color w:val="auto"/>
          <w:kern w:val="0"/>
          <w:sz w:val="21"/>
          <w:szCs w:val="21"/>
          <w:highlight w:val="none"/>
          <w:lang w:val="en-US" w:eastAsia="zh-CN" w:bidi="ar-SA"/>
        </w:rPr>
        <w:t>先</w:t>
      </w:r>
      <w:r>
        <w:rPr>
          <w:rFonts w:hint="eastAsia" w:ascii="宋体" w:hAnsi="宋体" w:eastAsia="宋体" w:cs="宋体"/>
          <w:color w:val="auto"/>
          <w:szCs w:val="21"/>
          <w:highlight w:val="none"/>
          <w:lang w:val="en-US" w:eastAsia="zh-CN"/>
        </w:rPr>
        <w:t>采购</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（1）纳入财政部会同国务院有关部门发布的节能产品、环境标志产品政府采购品目清单，实施政府优先采购的，评审时按</w:t>
      </w:r>
      <w:r>
        <w:rPr>
          <w:rFonts w:hint="eastAsia" w:ascii="宋体" w:hAnsi="宋体" w:cs="宋体"/>
          <w:b/>
          <w:color w:val="auto"/>
          <w:szCs w:val="21"/>
          <w:highlight w:val="none"/>
        </w:rPr>
        <w:t>磋商须知前附表</w:t>
      </w:r>
      <w:r>
        <w:rPr>
          <w:rFonts w:hint="eastAsia" w:ascii="宋体" w:hAnsi="宋体" w:eastAsia="宋体" w:cs="宋体"/>
          <w:color w:val="auto"/>
          <w:szCs w:val="21"/>
          <w:highlight w:val="none"/>
          <w:lang w:val="en-US" w:eastAsia="zh-CN"/>
        </w:rPr>
        <w:t xml:space="preserve">有关规定给予一定比例的价格折扣或者加分； </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（2）纳入湖南省财政厅等有关部门发布的湖南省两型产品政府采购目录的，实施政府优先采购，评审时按</w:t>
      </w:r>
      <w:r>
        <w:rPr>
          <w:rFonts w:hint="eastAsia" w:ascii="宋体" w:hAnsi="宋体" w:cs="宋体"/>
          <w:b/>
          <w:color w:val="auto"/>
          <w:szCs w:val="21"/>
          <w:highlight w:val="none"/>
        </w:rPr>
        <w:t>磋商须知前附表</w:t>
      </w:r>
      <w:r>
        <w:rPr>
          <w:rFonts w:hint="eastAsia" w:ascii="宋体" w:hAnsi="宋体" w:eastAsia="宋体" w:cs="宋体"/>
          <w:color w:val="auto"/>
          <w:szCs w:val="21"/>
          <w:highlight w:val="none"/>
          <w:lang w:val="en-US" w:eastAsia="zh-CN"/>
        </w:rPr>
        <w:t>有关规定给予一定比例的价格折扣或者加分。</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39.2强制</w:t>
      </w:r>
      <w:r>
        <w:rPr>
          <w:rFonts w:hint="eastAsia" w:ascii="宋体" w:hAnsi="宋体" w:eastAsia="宋体" w:cs="宋体"/>
          <w:color w:val="auto"/>
          <w:szCs w:val="21"/>
          <w:highlight w:val="none"/>
          <w:lang w:val="en-US" w:eastAsia="zh-CN"/>
        </w:rPr>
        <w:t>采购</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eastAsia="宋体" w:cs="宋体"/>
          <w:b/>
          <w:color w:val="auto"/>
          <w:sz w:val="21"/>
          <w:highlight w:val="none"/>
          <w:lang w:val="en-US" w:eastAsia="zh-CN"/>
        </w:rPr>
      </w:pPr>
      <w:r>
        <w:rPr>
          <w:rFonts w:hint="eastAsia" w:ascii="宋体" w:hAnsi="宋体" w:eastAsia="宋体" w:cs="宋体"/>
          <w:color w:val="auto"/>
          <w:szCs w:val="21"/>
          <w:highlight w:val="none"/>
          <w:lang w:val="en-US" w:eastAsia="zh-CN"/>
        </w:rPr>
        <w:t>（1）纳入财政部会同国务院有关部门发布的节能产品政府采购品目清单，实施政府强制采购的（品目清单标注</w:t>
      </w:r>
      <w:r>
        <w:rPr>
          <w:rFonts w:hint="eastAsia" w:ascii="宋体" w:hAnsi="宋体" w:eastAsia="宋体" w:cs="宋体"/>
          <w:color w:val="auto"/>
          <w:szCs w:val="21"/>
          <w:highlight w:val="none"/>
          <w:lang w:val="en-US" w:eastAsia="zh-CN"/>
        </w:rPr>
        <w:sym w:font="Wingdings" w:char="F0AB"/>
      </w:r>
      <w:r>
        <w:rPr>
          <w:rFonts w:hint="eastAsia" w:ascii="宋体" w:hAnsi="宋体" w:eastAsia="宋体" w:cs="宋体"/>
          <w:color w:val="auto"/>
          <w:szCs w:val="21"/>
          <w:highlight w:val="none"/>
          <w:lang w:val="en-US" w:eastAsia="zh-CN"/>
        </w:rPr>
        <w:t>符号产品），投标人投标产品应当取得国家确定的认证机构出具的、处于有效期之内的节能产品认证证书，否</w:t>
      </w:r>
      <w:r>
        <w:rPr>
          <w:rFonts w:hint="eastAsia" w:ascii="宋体" w:hAnsi="宋体" w:eastAsia="宋体" w:cs="宋体"/>
          <w:color w:val="auto"/>
          <w:kern w:val="0"/>
          <w:highlight w:val="none"/>
        </w:rPr>
        <w:t>则其</w:t>
      </w:r>
      <w:r>
        <w:rPr>
          <w:rFonts w:hint="eastAsia" w:ascii="宋体" w:hAnsi="宋体" w:eastAsia="宋体" w:cs="宋体"/>
          <w:b/>
          <w:color w:val="auto"/>
          <w:kern w:val="0"/>
          <w:szCs w:val="21"/>
          <w:highlight w:val="none"/>
        </w:rPr>
        <w:t>投标无效</w:t>
      </w:r>
      <w:r>
        <w:rPr>
          <w:rFonts w:hint="eastAsia" w:ascii="宋体" w:hAnsi="宋体" w:eastAsia="宋体" w:cs="宋体"/>
          <w:b/>
          <w:color w:val="auto"/>
          <w:kern w:val="0"/>
          <w:szCs w:val="21"/>
          <w:highlight w:val="none"/>
          <w:lang w:eastAsia="zh-CN"/>
        </w:rPr>
        <w:t>。</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39.3价格评审优惠</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w:t>
      </w:r>
      <w:r>
        <w:rPr>
          <w:rFonts w:ascii="宋体" w:hAnsi="宋体" w:eastAsia="宋体" w:cs="宋体"/>
          <w:color w:val="auto"/>
          <w:sz w:val="21"/>
          <w:szCs w:val="21"/>
          <w:highlight w:val="none"/>
        </w:rPr>
        <w:t>供应商提供的货物、工程或者服务符合下列情形的，享受</w:t>
      </w:r>
      <w:r>
        <w:rPr>
          <w:rFonts w:hint="eastAsia" w:ascii="宋体" w:hAnsi="宋体" w:eastAsia="宋体" w:cs="宋体"/>
          <w:color w:val="auto"/>
          <w:sz w:val="21"/>
          <w:szCs w:val="21"/>
          <w:highlight w:val="none"/>
          <w:lang w:eastAsia="zh-CN"/>
        </w:rPr>
        <w:t>《政府采购促进中小企业发展管理办法》</w:t>
      </w:r>
      <w:r>
        <w:rPr>
          <w:rFonts w:ascii="宋体" w:hAnsi="宋体" w:eastAsia="宋体" w:cs="宋体"/>
          <w:color w:val="auto"/>
          <w:sz w:val="21"/>
          <w:szCs w:val="21"/>
          <w:highlight w:val="none"/>
        </w:rPr>
        <w:t>规定的中小企业扶持政策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价格</w:t>
      </w:r>
      <w:r>
        <w:rPr>
          <w:rFonts w:hint="eastAsia" w:ascii="宋体" w:hAnsi="宋体" w:cs="宋体"/>
          <w:color w:val="auto"/>
          <w:sz w:val="21"/>
          <w:szCs w:val="21"/>
          <w:highlight w:val="none"/>
          <w:lang w:val="en-US" w:eastAsia="zh-CN"/>
        </w:rPr>
        <w:t>评审时按</w:t>
      </w:r>
      <w:r>
        <w:rPr>
          <w:rFonts w:hint="eastAsia" w:ascii="宋体" w:hAnsi="宋体" w:cs="宋体"/>
          <w:b/>
          <w:color w:val="auto"/>
          <w:sz w:val="21"/>
          <w:szCs w:val="21"/>
          <w:highlight w:val="none"/>
        </w:rPr>
        <w:t>磋商须知前附表</w:t>
      </w:r>
      <w:r>
        <w:rPr>
          <w:rFonts w:hint="eastAsia" w:ascii="宋体" w:hAnsi="宋体" w:cs="宋体"/>
          <w:b w:val="0"/>
          <w:bCs/>
          <w:color w:val="auto"/>
          <w:sz w:val="21"/>
          <w:szCs w:val="21"/>
          <w:highlight w:val="none"/>
          <w:lang w:eastAsia="zh-CN"/>
        </w:rPr>
        <w:t>有关规定给予一定比例的扣除，</w:t>
      </w:r>
      <w:r>
        <w:rPr>
          <w:rFonts w:hint="eastAsia" w:ascii="宋体" w:hAnsi="宋体" w:eastAsia="宋体"/>
          <w:color w:val="auto"/>
          <w:highlight w:val="none"/>
        </w:rPr>
        <w:t>用扣除后的价格参</w:t>
      </w:r>
      <w:r>
        <w:rPr>
          <w:rFonts w:hint="eastAsia" w:ascii="宋体" w:hAnsi="宋体" w:eastAsia="宋体"/>
          <w:color w:val="auto"/>
          <w:highlight w:val="none"/>
          <w:lang w:eastAsia="zh-CN"/>
        </w:rPr>
        <w:t>加</w:t>
      </w:r>
      <w:r>
        <w:rPr>
          <w:rFonts w:hint="eastAsia" w:ascii="宋体" w:hAnsi="宋体" w:eastAsia="宋体"/>
          <w:color w:val="auto"/>
          <w:highlight w:val="none"/>
        </w:rPr>
        <w:t>评审</w:t>
      </w:r>
      <w:r>
        <w:rPr>
          <w:rFonts w:ascii="宋体" w:hAnsi="宋体" w:eastAsia="宋体" w:cs="宋体"/>
          <w:color w:val="auto"/>
          <w:sz w:val="21"/>
          <w:szCs w:val="21"/>
          <w:highlight w:val="none"/>
        </w:rPr>
        <w:t>:在货物采购项目中，货物由中小企业制造，即货物由中小企业生产且使用该中小企业商号或者注册商标</w:t>
      </w:r>
      <w:r>
        <w:rPr>
          <w:rFonts w:hint="eastAsia" w:ascii="宋体" w:hAnsi="宋体" w:eastAsia="宋体" w:cs="宋体"/>
          <w:color w:val="auto"/>
          <w:sz w:val="21"/>
          <w:szCs w:val="21"/>
          <w:highlight w:val="none"/>
          <w:lang w:val="en-US" w:eastAsia="zh-CN"/>
        </w:rPr>
        <w:t>；</w:t>
      </w:r>
      <w:r>
        <w:rPr>
          <w:rFonts w:ascii="宋体" w:hAnsi="宋体" w:eastAsia="宋体" w:cs="宋体"/>
          <w:color w:val="auto"/>
          <w:sz w:val="21"/>
          <w:szCs w:val="21"/>
          <w:highlight w:val="none"/>
        </w:rPr>
        <w:t>在工程采购项目中，工程由中小企业承建，即工程施工单位为中小企业</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中小企业扶持政策。 </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 w:val="21"/>
          <w:szCs w:val="21"/>
          <w:highlight w:val="none"/>
          <w:lang w:eastAsia="zh-CN"/>
        </w:rPr>
        <w:t>对于</w:t>
      </w:r>
      <w:r>
        <w:rPr>
          <w:rFonts w:hint="eastAsia" w:ascii="宋体" w:hAnsi="宋体" w:eastAsia="宋体" w:cs="宋体"/>
          <w:color w:val="auto"/>
          <w:szCs w:val="21"/>
          <w:highlight w:val="none"/>
          <w:lang w:val="en-US" w:eastAsia="zh-CN"/>
        </w:rPr>
        <w:t>联合协议</w:t>
      </w:r>
      <w:r>
        <w:rPr>
          <w:rFonts w:hint="eastAsia" w:ascii="宋体" w:hAnsi="宋体" w:cs="宋体"/>
          <w:color w:val="auto"/>
          <w:szCs w:val="21"/>
          <w:highlight w:val="none"/>
          <w:lang w:val="en-US" w:eastAsia="zh-CN"/>
        </w:rPr>
        <w:t>或者分包协议约定小微企业的合同份额占到合同总金额</w:t>
      </w:r>
      <w:r>
        <w:rPr>
          <w:rFonts w:hint="eastAsia" w:ascii="宋体" w:hAnsi="宋体" w:eastAsia="宋体" w:cs="宋体"/>
          <w:color w:val="auto"/>
          <w:szCs w:val="21"/>
          <w:highlight w:val="none"/>
          <w:lang w:val="en-US" w:eastAsia="zh-CN"/>
        </w:rPr>
        <w:t>30%以上的，价格评审</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按</w:t>
      </w:r>
      <w:r>
        <w:rPr>
          <w:rFonts w:hint="eastAsia" w:ascii="宋体" w:hAnsi="宋体" w:cs="宋体"/>
          <w:b/>
          <w:bCs/>
          <w:color w:val="auto"/>
          <w:szCs w:val="21"/>
          <w:highlight w:val="none"/>
          <w:lang w:val="en-US" w:eastAsia="zh-CN"/>
        </w:rPr>
        <w:t>磋商须知前附表</w:t>
      </w:r>
      <w:r>
        <w:rPr>
          <w:rFonts w:hint="eastAsia" w:ascii="宋体" w:hAnsi="宋体" w:eastAsia="宋体" w:cs="宋体"/>
          <w:color w:val="auto"/>
          <w:szCs w:val="21"/>
          <w:highlight w:val="none"/>
          <w:lang w:val="en-US" w:eastAsia="zh-CN"/>
        </w:rPr>
        <w:t>有关规定给予一定比例的扣</w:t>
      </w:r>
      <w:r>
        <w:rPr>
          <w:rFonts w:hint="eastAsia" w:ascii="宋体" w:hAnsi="宋体" w:cs="宋体"/>
          <w:color w:val="auto"/>
          <w:szCs w:val="21"/>
          <w:highlight w:val="none"/>
          <w:lang w:val="en-US" w:eastAsia="zh-CN"/>
        </w:rPr>
        <w:t>除</w:t>
      </w:r>
      <w:r>
        <w:rPr>
          <w:rFonts w:hint="eastAsia" w:ascii="宋体" w:hAnsi="宋体" w:eastAsia="宋体" w:cs="宋体"/>
          <w:color w:val="auto"/>
          <w:szCs w:val="21"/>
          <w:highlight w:val="none"/>
          <w:lang w:val="en-US" w:eastAsia="zh-CN"/>
        </w:rPr>
        <w:t>，用扣除后的价格参</w:t>
      </w:r>
      <w:r>
        <w:rPr>
          <w:rFonts w:hint="eastAsia" w:ascii="宋体" w:hAnsi="宋体" w:cs="宋体"/>
          <w:color w:val="auto"/>
          <w:szCs w:val="21"/>
          <w:highlight w:val="none"/>
          <w:lang w:val="en-US" w:eastAsia="zh-CN"/>
        </w:rPr>
        <w:t>加</w:t>
      </w:r>
      <w:r>
        <w:rPr>
          <w:rFonts w:hint="eastAsia" w:ascii="宋体" w:hAnsi="宋体" w:eastAsia="宋体" w:cs="宋体"/>
          <w:color w:val="auto"/>
          <w:szCs w:val="21"/>
          <w:highlight w:val="none"/>
          <w:lang w:val="en-US" w:eastAsia="zh-CN"/>
        </w:rPr>
        <w:t>评审。</w:t>
      </w:r>
      <w:r>
        <w:rPr>
          <w:rFonts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（3）监狱企业、残疾人福利性单位视同小型、微型企业，享受评审中价格扣除等促进中小企业发展的政府采购政策。</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39.4政府采购政策交叉与叠加</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（1）投标产品取得两个及以上优先采购产品认证的，评审时只有其中一项产品能享受优先采购优惠（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自行选择，并在投标文件中并填报相关信息及数据）</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同时符合小型、微型企业及监狱企业、残疾人福利性单位要求的，评审时只有一种类型享受价格评审优惠政策；</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（3）小型和微型企业的价格评审优惠可以与同时属于“节能产品”、“环境标志产品”及“两型产品”中的一项优先采购优惠累加计算。</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w:t>
      </w:r>
      <w:r>
        <w:rPr>
          <w:rFonts w:hint="eastAsia" w:ascii="宋体" w:hAnsi="宋体" w:cs="宋体"/>
          <w:color w:val="auto"/>
          <w:szCs w:val="21"/>
          <w:highlight w:val="none"/>
          <w:lang w:val="en-US" w:eastAsia="zh-CN"/>
        </w:rPr>
        <w:t>5供应商</w:t>
      </w:r>
      <w:r>
        <w:rPr>
          <w:rFonts w:hint="eastAsia" w:ascii="宋体" w:hAnsi="宋体" w:eastAsia="宋体" w:cs="宋体"/>
          <w:color w:val="auto"/>
          <w:szCs w:val="21"/>
          <w:highlight w:val="none"/>
          <w:lang w:val="en-US" w:eastAsia="zh-CN"/>
        </w:rPr>
        <w:t>符合本章第39.1款、第39.2款、第39.3款规定的，应提供相关证明资料。</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（1）节能产品、环境标志产品：提供国家确定的认证机构出具的、处于有效期之内的节能产品、环境标志产品认证证书（复印件）。</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（2）两型产品：提供《湖南省两型产品政府采购目录》（最新一期）文件首页和投标产品所在页（截图）。</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（3）中小企业参加政府采购活动，应当按《关于印发＜政府采购促进中小企业发展管理办法＞的通知》(财库〔2020〕46号)的规定出具《中小企业声明函》</w:t>
      </w:r>
      <w:r>
        <w:rPr>
          <w:rFonts w:hint="eastAsia" w:ascii="宋体" w:hAnsi="宋体" w:cs="宋体"/>
          <w:color w:val="auto"/>
          <w:szCs w:val="21"/>
          <w:highlight w:val="none"/>
          <w:lang w:val="en-US" w:eastAsia="zh-CN"/>
        </w:rPr>
        <w:t>，否则不得享受相关中小企业扶持政策</w:t>
      </w:r>
      <w:r>
        <w:rPr>
          <w:rFonts w:hint="eastAsia" w:ascii="宋体" w:hAnsi="宋体" w:eastAsia="宋体" w:cs="宋体"/>
          <w:color w:val="auto"/>
          <w:szCs w:val="21"/>
          <w:highlight w:val="none"/>
          <w:lang w:val="en-US" w:eastAsia="zh-CN"/>
        </w:rPr>
        <w:t>。</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（4）监狱企业：按《关于政府采购支持监狱企业发展有关问题的通知》(财库〔2014〕68号)文件规定提供证明文件（复印件）。</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（5）残疾人福利性单位：按《关于促进残疾人就业政府采购政策的通知》(财库〔2017〕141号)文件规定提供《残疾人福利性单位声明函》（格式）。</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6供应商</w:t>
      </w:r>
      <w:r>
        <w:rPr>
          <w:rFonts w:hint="eastAsia" w:ascii="宋体" w:hAnsi="宋体" w:eastAsia="宋体" w:cs="宋体"/>
          <w:color w:val="auto"/>
          <w:szCs w:val="21"/>
          <w:highlight w:val="none"/>
          <w:lang w:val="en-US" w:eastAsia="zh-CN"/>
        </w:rPr>
        <w:t>有融资、担保需求的，可登陆中国湖南政府采购网查询相关银行、担保机构业务。。</w:t>
      </w:r>
    </w:p>
    <w:p>
      <w:pPr>
        <w:pStyle w:val="11"/>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jc w:val="left"/>
        <w:textAlignment w:val="auto"/>
        <w:outlineLvl w:val="2"/>
        <w:rPr>
          <w:rFonts w:hint="eastAsia" w:hAnsi="宋体" w:cs="宋体"/>
          <w:b/>
          <w:color w:val="auto"/>
          <w:sz w:val="21"/>
          <w:highlight w:val="none"/>
        </w:rPr>
      </w:pPr>
      <w:bookmarkStart w:id="28" w:name="_Toc15755"/>
      <w:bookmarkStart w:id="29" w:name="_Toc16190"/>
      <w:r>
        <w:rPr>
          <w:rFonts w:hint="eastAsia" w:hAnsi="宋体" w:cs="宋体"/>
          <w:b/>
          <w:color w:val="auto"/>
          <w:sz w:val="21"/>
          <w:highlight w:val="none"/>
          <w:lang w:eastAsia="zh-CN"/>
        </w:rPr>
        <w:t>八、</w:t>
      </w:r>
      <w:r>
        <w:rPr>
          <w:rFonts w:hint="eastAsia" w:hAnsi="宋体" w:cs="宋体"/>
          <w:b/>
          <w:color w:val="auto"/>
          <w:sz w:val="21"/>
          <w:highlight w:val="none"/>
        </w:rPr>
        <w:t>其他规定</w:t>
      </w:r>
      <w:bookmarkEnd w:id="28"/>
      <w:bookmarkEnd w:id="29"/>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eastAsia="zh-CN"/>
        </w:rPr>
        <w:t>80</w:t>
      </w:r>
      <w:r>
        <w:rPr>
          <w:rFonts w:hint="eastAsia" w:ascii="宋体" w:hAnsi="宋体" w:cs="宋体"/>
          <w:b/>
          <w:color w:val="auto"/>
          <w:szCs w:val="21"/>
          <w:highlight w:val="none"/>
        </w:rPr>
        <w:t>.采购代理服务费</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80</w:t>
      </w:r>
      <w:r>
        <w:rPr>
          <w:rFonts w:hint="eastAsia" w:ascii="宋体" w:hAnsi="宋体" w:cs="宋体"/>
          <w:color w:val="auto"/>
          <w:szCs w:val="21"/>
          <w:highlight w:val="none"/>
        </w:rPr>
        <w:t>.1采购代理机构应按</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规定收取采购代理服务费。</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80</w:t>
      </w:r>
      <w:r>
        <w:rPr>
          <w:rFonts w:hint="eastAsia" w:ascii="宋体" w:hAnsi="宋体" w:cs="宋体"/>
          <w:color w:val="auto"/>
          <w:szCs w:val="21"/>
          <w:highlight w:val="none"/>
        </w:rPr>
        <w:t>.2集中采购机构不得收取采购代理服务费。</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41. 其他规定</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41.1磋商文件的其他规定见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w:t>
      </w:r>
    </w:p>
    <w:p>
      <w:pPr>
        <w:rPr>
          <w:rFonts w:hint="eastAsia"/>
        </w:rPr>
      </w:pPr>
      <w:r>
        <w:rPr>
          <w:rFonts w:hint="eastAsia"/>
        </w:rPr>
        <w:br w:type="page"/>
      </w:r>
    </w:p>
    <w:p>
      <w:pPr>
        <w:adjustRightInd w:val="0"/>
        <w:snapToGrid w:val="0"/>
        <w:spacing w:before="120" w:beforeLines="50" w:line="360" w:lineRule="auto"/>
        <w:jc w:val="center"/>
        <w:outlineLvl w:val="0"/>
        <w:rPr>
          <w:rFonts w:hint="eastAsia" w:asciiTheme="majorEastAsia" w:hAnsiTheme="majorEastAsia" w:eastAsiaTheme="majorEastAsia" w:cstheme="majorEastAsia"/>
          <w:b/>
          <w:bCs/>
          <w:color w:val="auto"/>
          <w:sz w:val="32"/>
          <w:szCs w:val="32"/>
          <w:lang w:val="en-US" w:eastAsia="zh-CN"/>
        </w:rPr>
      </w:pPr>
      <w:bookmarkStart w:id="30" w:name="_Toc2736"/>
      <w:r>
        <w:rPr>
          <w:rFonts w:hint="eastAsia" w:asciiTheme="majorEastAsia" w:hAnsiTheme="majorEastAsia" w:eastAsiaTheme="majorEastAsia" w:cstheme="majorEastAsia"/>
          <w:b/>
          <w:bCs/>
          <w:color w:val="auto"/>
          <w:sz w:val="32"/>
          <w:szCs w:val="32"/>
          <w:lang w:val="en-US" w:eastAsia="zh-CN"/>
        </w:rPr>
        <w:t>第三章 资格审查</w:t>
      </w:r>
      <w:bookmarkEnd w:id="30"/>
    </w:p>
    <w:p>
      <w:pPr>
        <w:pStyle w:val="11"/>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lang w:eastAsia="zh-CN"/>
        </w:rPr>
      </w:pPr>
      <w:bookmarkStart w:id="31" w:name="_Toc14676"/>
      <w:r>
        <w:rPr>
          <w:rFonts w:hint="eastAsia" w:asciiTheme="majorEastAsia" w:hAnsiTheme="majorEastAsia" w:eastAsiaTheme="majorEastAsia" w:cstheme="majorEastAsia"/>
          <w:b/>
          <w:bCs/>
          <w:color w:val="auto"/>
          <w:sz w:val="21"/>
          <w:lang w:val="en-US" w:eastAsia="zh-CN"/>
        </w:rPr>
        <w:t>1.</w:t>
      </w:r>
      <w:r>
        <w:rPr>
          <w:rFonts w:hint="eastAsia" w:asciiTheme="majorEastAsia" w:hAnsiTheme="majorEastAsia" w:eastAsiaTheme="majorEastAsia" w:cstheme="majorEastAsia"/>
          <w:b/>
          <w:bCs/>
          <w:color w:val="auto"/>
          <w:sz w:val="21"/>
          <w:lang w:eastAsia="zh-CN"/>
        </w:rPr>
        <w:t>资格审查主体</w:t>
      </w:r>
      <w:bookmarkEnd w:id="31"/>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1.1</w:t>
      </w:r>
      <w:r>
        <w:rPr>
          <w:rFonts w:hint="eastAsia" w:asciiTheme="majorEastAsia" w:hAnsiTheme="majorEastAsia" w:eastAsiaTheme="majorEastAsia" w:cstheme="majorEastAsia"/>
          <w:color w:val="auto"/>
          <w:sz w:val="21"/>
        </w:rPr>
        <w:t>资格审查主体：采购人、采购代理机构负责资格审查。</w:t>
      </w:r>
    </w:p>
    <w:p>
      <w:pPr>
        <w:pStyle w:val="11"/>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rPr>
      </w:pPr>
      <w:bookmarkStart w:id="32" w:name="_bookmark23"/>
      <w:bookmarkEnd w:id="32"/>
      <w:bookmarkStart w:id="33" w:name="_bookmark23"/>
      <w:bookmarkEnd w:id="33"/>
      <w:bookmarkStart w:id="34" w:name="2．资格审查"/>
      <w:bookmarkEnd w:id="34"/>
      <w:bookmarkStart w:id="35" w:name="_Toc20330"/>
      <w:r>
        <w:rPr>
          <w:rFonts w:hint="eastAsia" w:asciiTheme="majorEastAsia" w:hAnsiTheme="majorEastAsia" w:eastAsiaTheme="majorEastAsia" w:cstheme="majorEastAsia"/>
          <w:b/>
          <w:bCs/>
          <w:color w:val="auto"/>
          <w:sz w:val="21"/>
          <w:lang w:val="en-US" w:eastAsia="zh-CN"/>
        </w:rPr>
        <w:t>2.</w:t>
      </w:r>
      <w:r>
        <w:rPr>
          <w:rFonts w:hint="eastAsia" w:asciiTheme="majorEastAsia" w:hAnsiTheme="majorEastAsia" w:eastAsiaTheme="majorEastAsia" w:cstheme="majorEastAsia"/>
          <w:b/>
          <w:bCs/>
          <w:color w:val="auto"/>
          <w:sz w:val="21"/>
        </w:rPr>
        <w:t>资格审查</w:t>
      </w:r>
      <w:bookmarkEnd w:id="35"/>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2.1</w:t>
      </w:r>
      <w:r>
        <w:rPr>
          <w:rFonts w:hint="eastAsia" w:asciiTheme="majorEastAsia" w:hAnsiTheme="majorEastAsia" w:eastAsiaTheme="majorEastAsia" w:cstheme="majorEastAsia"/>
          <w:color w:val="auto"/>
          <w:sz w:val="21"/>
        </w:rPr>
        <w:t>资格审查依据法律法规和磋商文件的规定，对响应文件中的资格证明文件、磋商保证金  等进行审查，以确定供应商是否具备磋商资格。</w:t>
      </w:r>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2.2</w:t>
      </w:r>
      <w:r>
        <w:rPr>
          <w:rFonts w:hint="eastAsia" w:asciiTheme="majorEastAsia" w:hAnsiTheme="majorEastAsia" w:eastAsiaTheme="majorEastAsia" w:cstheme="majorEastAsia"/>
          <w:color w:val="auto"/>
          <w:sz w:val="21"/>
        </w:rPr>
        <w:t>采购人、采购代理机构按本章附表 1“供应商资格审查表”所列审查项目及审查标准， 对供应商资格进行审查。</w:t>
      </w:r>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2.3</w:t>
      </w:r>
      <w:r>
        <w:rPr>
          <w:rFonts w:hint="eastAsia" w:asciiTheme="majorEastAsia" w:hAnsiTheme="majorEastAsia" w:eastAsiaTheme="majorEastAsia" w:cstheme="majorEastAsia"/>
          <w:color w:val="auto"/>
          <w:sz w:val="21"/>
        </w:rPr>
        <w:t>在资格审查时，供应商存在下列情况之一的，资格审查不合格，其响应无效：</w:t>
      </w:r>
    </w:p>
    <w:p>
      <w:pPr>
        <w:pStyle w:val="11"/>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不具备磋商文件中规定的资格要求的，或提交的资格证明文件不符合磋商文件要求的；</w:t>
      </w:r>
    </w:p>
    <w:p>
      <w:pPr>
        <w:pStyle w:val="11"/>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联合体磋商未提交联合体协议书，或未提交联合体各方资格证明文件的；</w:t>
      </w:r>
    </w:p>
    <w:p>
      <w:pPr>
        <w:pStyle w:val="11"/>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响应文件的资格证明文件未按照磋商文件要求签署、盖章的；</w:t>
      </w:r>
    </w:p>
    <w:p>
      <w:pPr>
        <w:pStyle w:val="11"/>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未按照磋商文件的规定提交响应保证金的；</w:t>
      </w:r>
    </w:p>
    <w:p>
      <w:pPr>
        <w:pStyle w:val="11"/>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5</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法律、法规和招标文件规定的其他投标无效情形的</w:t>
      </w:r>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2.4</w:t>
      </w:r>
      <w:r>
        <w:rPr>
          <w:rFonts w:hint="eastAsia" w:asciiTheme="majorEastAsia" w:hAnsiTheme="majorEastAsia" w:eastAsiaTheme="majorEastAsia" w:cstheme="majorEastAsia"/>
          <w:color w:val="auto"/>
          <w:sz w:val="21"/>
        </w:rPr>
        <w:t>信用记录。开标结束后资格审查时，采购人、采购代理机构将对供应商信用记录进行甄别。</w:t>
      </w:r>
    </w:p>
    <w:p>
      <w:pPr>
        <w:pStyle w:val="11"/>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信用信息查询的查询渠道：信用中国网（</w:t>
      </w:r>
      <w:r>
        <w:rPr>
          <w:rFonts w:hint="eastAsia" w:asciiTheme="majorEastAsia" w:hAnsiTheme="majorEastAsia" w:eastAsiaTheme="majorEastAsia" w:cstheme="majorEastAsia"/>
          <w:color w:val="auto"/>
          <w:sz w:val="21"/>
        </w:rPr>
        <w:fldChar w:fldCharType="begin"/>
      </w:r>
      <w:r>
        <w:rPr>
          <w:rFonts w:hint="eastAsia" w:asciiTheme="majorEastAsia" w:hAnsiTheme="majorEastAsia" w:eastAsiaTheme="majorEastAsia" w:cstheme="majorEastAsia"/>
          <w:color w:val="auto"/>
          <w:sz w:val="21"/>
        </w:rPr>
        <w:instrText xml:space="preserve"> HYPERLINK "http://www.creditchina.gov.cn/" \h </w:instrText>
      </w:r>
      <w:r>
        <w:rPr>
          <w:rFonts w:hint="eastAsia" w:asciiTheme="majorEastAsia" w:hAnsiTheme="majorEastAsia" w:eastAsiaTheme="majorEastAsia" w:cstheme="majorEastAsia"/>
          <w:color w:val="auto"/>
          <w:sz w:val="21"/>
        </w:rPr>
        <w:fldChar w:fldCharType="separate"/>
      </w:r>
      <w:r>
        <w:rPr>
          <w:rFonts w:hint="eastAsia" w:asciiTheme="majorEastAsia" w:hAnsiTheme="majorEastAsia" w:eastAsiaTheme="majorEastAsia" w:cstheme="majorEastAsia"/>
          <w:color w:val="auto"/>
          <w:sz w:val="21"/>
        </w:rPr>
        <w:t>www.creditchina.gov.cn</w:t>
      </w:r>
      <w:r>
        <w:rPr>
          <w:rFonts w:hint="eastAsia" w:asciiTheme="majorEastAsia" w:hAnsiTheme="majorEastAsia" w:eastAsiaTheme="majorEastAsia" w:cstheme="majorEastAsia"/>
          <w:color w:val="auto"/>
          <w:sz w:val="21"/>
        </w:rPr>
        <w:fldChar w:fldCharType="end"/>
      </w:r>
      <w:r>
        <w:rPr>
          <w:rFonts w:hint="eastAsia" w:asciiTheme="majorEastAsia" w:hAnsiTheme="majorEastAsia" w:eastAsiaTheme="majorEastAsia" w:cstheme="majorEastAsia"/>
          <w:color w:val="auto"/>
          <w:sz w:val="21"/>
        </w:rPr>
        <w:t>）、中国政府采购网（</w:t>
      </w:r>
      <w:r>
        <w:rPr>
          <w:rFonts w:hint="eastAsia" w:asciiTheme="majorEastAsia" w:hAnsiTheme="majorEastAsia" w:eastAsiaTheme="majorEastAsia" w:cstheme="majorEastAsia"/>
          <w:color w:val="auto"/>
          <w:sz w:val="21"/>
        </w:rPr>
        <w:fldChar w:fldCharType="begin"/>
      </w:r>
      <w:r>
        <w:rPr>
          <w:rFonts w:hint="eastAsia" w:asciiTheme="majorEastAsia" w:hAnsiTheme="majorEastAsia" w:eastAsiaTheme="majorEastAsia" w:cstheme="majorEastAsia"/>
          <w:color w:val="auto"/>
          <w:sz w:val="21"/>
        </w:rPr>
        <w:instrText xml:space="preserve"> HYPERLINK "http://www.ccgp.gov.cn/" \h </w:instrText>
      </w:r>
      <w:r>
        <w:rPr>
          <w:rFonts w:hint="eastAsia" w:asciiTheme="majorEastAsia" w:hAnsiTheme="majorEastAsia" w:eastAsiaTheme="majorEastAsia" w:cstheme="majorEastAsia"/>
          <w:color w:val="auto"/>
          <w:sz w:val="21"/>
        </w:rPr>
        <w:fldChar w:fldCharType="separate"/>
      </w:r>
      <w:r>
        <w:rPr>
          <w:rFonts w:hint="eastAsia" w:asciiTheme="majorEastAsia" w:hAnsiTheme="majorEastAsia" w:eastAsiaTheme="majorEastAsia" w:cstheme="majorEastAsia"/>
          <w:color w:val="auto"/>
          <w:sz w:val="21"/>
        </w:rPr>
        <w:t>www.ccgp.gov.cn</w:t>
      </w:r>
      <w:r>
        <w:rPr>
          <w:rFonts w:hint="eastAsia" w:asciiTheme="majorEastAsia" w:hAnsiTheme="majorEastAsia" w:eastAsiaTheme="majorEastAsia" w:cstheme="majorEastAsia"/>
          <w:color w:val="auto"/>
          <w:sz w:val="21"/>
        </w:rPr>
        <w:fldChar w:fldCharType="end"/>
      </w:r>
      <w:r>
        <w:rPr>
          <w:rFonts w:hint="eastAsia" w:asciiTheme="majorEastAsia" w:hAnsiTheme="majorEastAsia" w:eastAsiaTheme="majorEastAsia" w:cstheme="majorEastAsia"/>
          <w:color w:val="auto"/>
          <w:sz w:val="21"/>
        </w:rPr>
        <w:t>）；</w:t>
      </w:r>
    </w:p>
    <w:p>
      <w:pPr>
        <w:pStyle w:val="11"/>
        <w:adjustRightInd w:val="0"/>
        <w:snapToGrid w:val="0"/>
        <w:spacing w:line="360" w:lineRule="auto"/>
        <w:ind w:firstLine="420" w:firstLineChars="2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（2）不良信用记录是指：投标人在“信用中国”网站被列入失信被执行人和重大税收违法案  件当事人名单，或在“中国政府采购网”网站被列入政府采购严重违法失信行为记录名单。供应商有上述不良信用记录的，其投标无效，其中，列入政府采购严重违法失信行为记录名单的，按处罚结果执行。</w:t>
      </w:r>
    </w:p>
    <w:p>
      <w:pPr>
        <w:pStyle w:val="11"/>
        <w:adjustRightInd w:val="0"/>
        <w:snapToGrid w:val="0"/>
        <w:spacing w:line="360" w:lineRule="auto"/>
        <w:ind w:left="420" w:leftChars="200" w:firstLine="0" w:firstLineChars="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3）联合体形式磋商的，联合体成员存在不良信用记录的，视同联合体存在不良信用记录。（4）信用信息查询记录和证据留存具体方式：采购人、采购代理机构经办人将查询网页截图、打印、签字，作为查询记录和证据，与其他采购文件一并保存。供应商不良信用记录以采购人、采购代理机构查询结果为准。</w:t>
      </w:r>
    </w:p>
    <w:p>
      <w:pPr>
        <w:pStyle w:val="11"/>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lang w:val="en-US" w:eastAsia="zh-CN"/>
        </w:rPr>
      </w:pPr>
      <w:bookmarkStart w:id="36" w:name="_bookmark24"/>
      <w:bookmarkEnd w:id="36"/>
      <w:bookmarkStart w:id="37" w:name="_bookmark24"/>
      <w:bookmarkEnd w:id="37"/>
      <w:bookmarkStart w:id="38" w:name="3．资格审查结果"/>
      <w:bookmarkEnd w:id="38"/>
      <w:bookmarkStart w:id="39" w:name="_Toc12052"/>
      <w:r>
        <w:rPr>
          <w:rFonts w:hint="eastAsia" w:asciiTheme="majorEastAsia" w:hAnsiTheme="majorEastAsia" w:eastAsiaTheme="majorEastAsia" w:cstheme="majorEastAsia"/>
          <w:b/>
          <w:bCs/>
          <w:color w:val="auto"/>
          <w:sz w:val="21"/>
          <w:lang w:val="en-US" w:eastAsia="zh-CN"/>
        </w:rPr>
        <w:t>3.资格审查结果</w:t>
      </w:r>
      <w:bookmarkEnd w:id="39"/>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bookmarkStart w:id="40" w:name="附表1  供应商资格审查表"/>
      <w:bookmarkEnd w:id="40"/>
      <w:bookmarkStart w:id="41" w:name="附表1  供应商资格审查表"/>
      <w:bookmarkEnd w:id="41"/>
      <w:r>
        <w:rPr>
          <w:rFonts w:hint="eastAsia" w:asciiTheme="majorEastAsia" w:hAnsiTheme="majorEastAsia" w:eastAsiaTheme="majorEastAsia" w:cstheme="majorEastAsia"/>
          <w:color w:val="auto"/>
          <w:sz w:val="21"/>
          <w:lang w:val="en-US" w:eastAsia="zh-CN"/>
        </w:rPr>
        <w:t>3.1未通过资格审查的供应商，采购人、采购代理机构应当告知其未通过的原因。</w:t>
      </w:r>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3.2资格审查结束后，采购人、采购代理机构应将资格审查结果告知磋商小组。</w:t>
      </w:r>
    </w:p>
    <w:p>
      <w:pPr>
        <w:pStyle w:val="11"/>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lang w:val="en-US" w:eastAsia="zh-CN"/>
        </w:rPr>
      </w:pPr>
      <w:bookmarkStart w:id="42" w:name="4．其他"/>
      <w:bookmarkEnd w:id="42"/>
      <w:bookmarkStart w:id="43" w:name="_bookmark25"/>
      <w:bookmarkEnd w:id="43"/>
      <w:bookmarkStart w:id="44" w:name="_bookmark25"/>
      <w:bookmarkEnd w:id="44"/>
      <w:bookmarkStart w:id="45" w:name="_Toc21121"/>
      <w:r>
        <w:rPr>
          <w:rFonts w:hint="eastAsia" w:asciiTheme="majorEastAsia" w:hAnsiTheme="majorEastAsia" w:eastAsiaTheme="majorEastAsia" w:cstheme="majorEastAsia"/>
          <w:b/>
          <w:bCs/>
          <w:color w:val="auto"/>
          <w:sz w:val="21"/>
          <w:lang w:val="en-US" w:eastAsia="zh-CN"/>
        </w:rPr>
        <w:t>4.其他</w:t>
      </w:r>
      <w:bookmarkEnd w:id="45"/>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4.1资格预审合格的供应商在提交响应文件的截止时间前资格发生变化的，应当通知采购人、采购代理机构，并按新情况更新或补充其在申请资格预审时提供的证明资料，以证实其各项资格条件仍能继续满足资格预审公告的要求。</w:t>
      </w:r>
    </w:p>
    <w:p>
      <w:pPr>
        <w:pStyle w:val="11"/>
        <w:adjustRightInd w:val="0"/>
        <w:snapToGrid w:val="0"/>
        <w:spacing w:line="360" w:lineRule="auto"/>
        <w:ind w:firstLine="602" w:firstLineChars="300"/>
        <w:rPr>
          <w:rFonts w:hint="default" w:asciiTheme="majorEastAsia" w:hAnsiTheme="majorEastAsia" w:eastAsiaTheme="majorEastAsia" w:cstheme="majorEastAsia"/>
          <w:b/>
          <w:bCs/>
          <w:color w:val="auto"/>
          <w:szCs w:val="21"/>
          <w:highlight w:val="none"/>
          <w:u w:val="none"/>
          <w:lang w:val="en-US" w:eastAsia="zh-CN"/>
        </w:rPr>
      </w:pPr>
      <w:r>
        <w:rPr>
          <w:rFonts w:hint="eastAsia" w:asciiTheme="majorEastAsia" w:hAnsiTheme="majorEastAsia" w:eastAsiaTheme="majorEastAsia" w:cstheme="majorEastAsia"/>
          <w:b/>
          <w:bCs/>
          <w:color w:val="auto"/>
          <w:szCs w:val="21"/>
          <w:highlight w:val="none"/>
          <w:u w:val="none"/>
          <w:lang w:eastAsia="zh-CN"/>
        </w:rPr>
        <w:t>附表：</w:t>
      </w:r>
      <w:r>
        <w:rPr>
          <w:rFonts w:hint="eastAsia" w:asciiTheme="majorEastAsia" w:hAnsiTheme="majorEastAsia" w:eastAsiaTheme="majorEastAsia" w:cstheme="majorEastAsia"/>
          <w:b/>
          <w:bCs/>
          <w:color w:val="auto"/>
          <w:szCs w:val="21"/>
          <w:highlight w:val="none"/>
          <w:u w:val="none"/>
          <w:lang w:val="en-US" w:eastAsia="zh-CN"/>
        </w:rPr>
        <w:t>1</w:t>
      </w:r>
    </w:p>
    <w:p>
      <w:pPr>
        <w:spacing w:before="0"/>
        <w:ind w:left="651" w:right="0" w:firstLine="0"/>
        <w:jc w:val="center"/>
        <w:rPr>
          <w:b/>
          <w:sz w:val="28"/>
        </w:rPr>
      </w:pPr>
      <w:r>
        <w:rPr>
          <w:b/>
          <w:sz w:val="28"/>
        </w:rPr>
        <w:t>供应商资格审查表</w:t>
      </w:r>
    </w:p>
    <w:p>
      <w:pPr>
        <w:pStyle w:val="11"/>
        <w:adjustRightInd w:val="0"/>
        <w:snapToGrid w:val="0"/>
        <w:spacing w:line="360" w:lineRule="auto"/>
        <w:rPr>
          <w:rFonts w:hint="eastAsia" w:asciiTheme="majorEastAsia" w:hAnsiTheme="majorEastAsia" w:eastAsiaTheme="majorEastAsia" w:cstheme="majorEastAsia"/>
          <w:b/>
          <w:bCs/>
          <w:color w:val="auto"/>
          <w:szCs w:val="21"/>
          <w:highlight w:val="none"/>
          <w:u w:val="none"/>
          <w:lang w:val="en-US" w:eastAsia="zh-CN"/>
        </w:rPr>
      </w:pPr>
    </w:p>
    <w:tbl>
      <w:tblPr>
        <w:tblStyle w:val="20"/>
        <w:tblW w:w="9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835"/>
        <w:gridCol w:w="3828"/>
        <w:gridCol w:w="1337"/>
        <w:gridCol w:w="1230"/>
        <w:gridCol w:w="1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578" w:type="dxa"/>
            <w:vMerge w:val="restart"/>
            <w:vAlign w:val="center"/>
          </w:tcPr>
          <w:p>
            <w:pPr>
              <w:pStyle w:val="47"/>
              <w:spacing w:before="12"/>
              <w:jc w:val="both"/>
              <w:rPr>
                <w:b/>
                <w:sz w:val="21"/>
              </w:rPr>
            </w:pPr>
            <w:bookmarkStart w:id="46" w:name="_Toc3395_WPSOffice_Level2"/>
          </w:p>
          <w:p>
            <w:pPr>
              <w:pStyle w:val="47"/>
              <w:ind w:left="108"/>
              <w:jc w:val="both"/>
              <w:rPr>
                <w:sz w:val="21"/>
              </w:rPr>
            </w:pPr>
            <w:r>
              <w:rPr>
                <w:sz w:val="21"/>
              </w:rPr>
              <w:t>序号</w:t>
            </w:r>
          </w:p>
        </w:tc>
        <w:tc>
          <w:tcPr>
            <w:tcW w:w="4663" w:type="dxa"/>
            <w:gridSpan w:val="2"/>
            <w:vMerge w:val="restart"/>
            <w:vAlign w:val="center"/>
          </w:tcPr>
          <w:p>
            <w:pPr>
              <w:pStyle w:val="47"/>
              <w:spacing w:before="12"/>
              <w:jc w:val="both"/>
              <w:rPr>
                <w:b/>
                <w:sz w:val="21"/>
              </w:rPr>
            </w:pPr>
          </w:p>
          <w:p>
            <w:pPr>
              <w:pStyle w:val="47"/>
              <w:ind w:left="2012" w:right="1761"/>
              <w:jc w:val="both"/>
              <w:rPr>
                <w:sz w:val="21"/>
              </w:rPr>
            </w:pPr>
            <w:r>
              <w:rPr>
                <w:sz w:val="21"/>
              </w:rPr>
              <w:t>检查内容</w:t>
            </w:r>
          </w:p>
        </w:tc>
        <w:tc>
          <w:tcPr>
            <w:tcW w:w="3782" w:type="dxa"/>
            <w:gridSpan w:val="3"/>
            <w:vAlign w:val="center"/>
          </w:tcPr>
          <w:p>
            <w:pPr>
              <w:pStyle w:val="47"/>
              <w:spacing w:before="82"/>
              <w:ind w:left="963"/>
              <w:jc w:val="both"/>
              <w:rPr>
                <w:sz w:val="21"/>
              </w:rPr>
            </w:pPr>
            <w:r>
              <w:rPr>
                <w:sz w:val="21"/>
              </w:rPr>
              <w:t>供应商名单及审查意见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578" w:type="dxa"/>
            <w:vMerge w:val="continue"/>
            <w:tcBorders>
              <w:top w:val="nil"/>
            </w:tcBorders>
            <w:vAlign w:val="center"/>
          </w:tcPr>
          <w:p>
            <w:pPr>
              <w:jc w:val="both"/>
              <w:rPr>
                <w:sz w:val="2"/>
                <w:szCs w:val="2"/>
              </w:rPr>
            </w:pPr>
          </w:p>
        </w:tc>
        <w:tc>
          <w:tcPr>
            <w:tcW w:w="4663" w:type="dxa"/>
            <w:gridSpan w:val="2"/>
            <w:vMerge w:val="continue"/>
            <w:tcBorders>
              <w:top w:val="nil"/>
            </w:tcBorders>
            <w:vAlign w:val="center"/>
          </w:tcPr>
          <w:p>
            <w:pPr>
              <w:jc w:val="both"/>
              <w:rPr>
                <w:sz w:val="2"/>
                <w:szCs w:val="2"/>
              </w:rPr>
            </w:pP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jc w:val="center"/>
        </w:trPr>
        <w:tc>
          <w:tcPr>
            <w:tcW w:w="578" w:type="dxa"/>
            <w:vAlign w:val="center"/>
          </w:tcPr>
          <w:p>
            <w:pPr>
              <w:pStyle w:val="47"/>
              <w:spacing w:before="136"/>
              <w:ind w:left="235"/>
              <w:jc w:val="both"/>
              <w:rPr>
                <w:sz w:val="21"/>
              </w:rPr>
            </w:pPr>
            <w:r>
              <w:rPr>
                <w:w w:val="99"/>
                <w:sz w:val="21"/>
              </w:rPr>
              <w:t>1</w:t>
            </w:r>
          </w:p>
        </w:tc>
        <w:tc>
          <w:tcPr>
            <w:tcW w:w="4663" w:type="dxa"/>
            <w:gridSpan w:val="2"/>
            <w:vAlign w:val="center"/>
          </w:tcPr>
          <w:p>
            <w:pPr>
              <w:pStyle w:val="47"/>
              <w:spacing w:before="1"/>
              <w:ind w:left="108"/>
              <w:jc w:val="both"/>
              <w:rPr>
                <w:sz w:val="21"/>
              </w:rPr>
            </w:pPr>
            <w:r>
              <w:rPr>
                <w:sz w:val="21"/>
              </w:rPr>
              <w:t>资格证明文件装订、签署、盖章是否符合磋商文</w:t>
            </w:r>
          </w:p>
          <w:p>
            <w:pPr>
              <w:pStyle w:val="47"/>
              <w:spacing w:before="2" w:line="252" w:lineRule="exact"/>
              <w:ind w:left="108"/>
              <w:jc w:val="both"/>
              <w:rPr>
                <w:sz w:val="21"/>
              </w:rPr>
            </w:pPr>
            <w:r>
              <w:rPr>
                <w:sz w:val="21"/>
              </w:rPr>
              <w:t>件第二章“磋商须知”第</w:t>
            </w:r>
            <w:r>
              <w:rPr>
                <w:rFonts w:hint="eastAsia"/>
                <w:sz w:val="21"/>
                <w:lang w:val="en-US" w:eastAsia="zh-CN"/>
              </w:rPr>
              <w:t>18</w:t>
            </w:r>
            <w:r>
              <w:rPr>
                <w:sz w:val="21"/>
              </w:rPr>
              <w:t>条要求</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5" w:hRule="atLeast"/>
          <w:jc w:val="center"/>
        </w:trPr>
        <w:tc>
          <w:tcPr>
            <w:tcW w:w="578" w:type="dxa"/>
            <w:vAlign w:val="center"/>
          </w:tcPr>
          <w:p>
            <w:pPr>
              <w:pStyle w:val="47"/>
              <w:spacing w:before="56"/>
              <w:ind w:left="235"/>
              <w:jc w:val="both"/>
              <w:rPr>
                <w:sz w:val="21"/>
              </w:rPr>
            </w:pPr>
            <w:r>
              <w:rPr>
                <w:w w:val="99"/>
                <w:sz w:val="21"/>
              </w:rPr>
              <w:t>2</w:t>
            </w:r>
          </w:p>
        </w:tc>
        <w:tc>
          <w:tcPr>
            <w:tcW w:w="4663" w:type="dxa"/>
            <w:gridSpan w:val="2"/>
            <w:vAlign w:val="center"/>
          </w:tcPr>
          <w:p>
            <w:pPr>
              <w:pStyle w:val="47"/>
              <w:spacing w:before="56"/>
              <w:ind w:left="108"/>
              <w:jc w:val="both"/>
              <w:rPr>
                <w:sz w:val="21"/>
              </w:rPr>
            </w:pPr>
            <w:r>
              <w:rPr>
                <w:sz w:val="21"/>
              </w:rPr>
              <w:t>蹉商响应声明</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 w:hRule="atLeast"/>
          <w:jc w:val="center"/>
        </w:trPr>
        <w:tc>
          <w:tcPr>
            <w:tcW w:w="578" w:type="dxa"/>
            <w:vAlign w:val="center"/>
          </w:tcPr>
          <w:p>
            <w:pPr>
              <w:pStyle w:val="47"/>
              <w:spacing w:before="4"/>
              <w:jc w:val="both"/>
              <w:rPr>
                <w:b/>
                <w:sz w:val="21"/>
              </w:rPr>
            </w:pPr>
          </w:p>
          <w:p>
            <w:pPr>
              <w:pStyle w:val="47"/>
              <w:ind w:left="235"/>
              <w:jc w:val="both"/>
              <w:rPr>
                <w:sz w:val="21"/>
              </w:rPr>
            </w:pPr>
            <w:r>
              <w:rPr>
                <w:w w:val="99"/>
                <w:sz w:val="21"/>
              </w:rPr>
              <w:t>3</w:t>
            </w:r>
          </w:p>
        </w:tc>
        <w:tc>
          <w:tcPr>
            <w:tcW w:w="4663" w:type="dxa"/>
            <w:gridSpan w:val="2"/>
            <w:vAlign w:val="center"/>
          </w:tcPr>
          <w:p>
            <w:pPr>
              <w:pStyle w:val="47"/>
              <w:spacing w:before="1"/>
              <w:ind w:left="108"/>
              <w:jc w:val="both"/>
              <w:rPr>
                <w:rFonts w:ascii="宋体" w:hAnsi="宋体" w:eastAsia="宋体" w:cs="宋体"/>
                <w:sz w:val="21"/>
              </w:rPr>
            </w:pPr>
            <w:r>
              <w:rPr>
                <w:rFonts w:ascii="宋体" w:hAnsi="宋体" w:eastAsia="宋体" w:cs="宋体"/>
                <w:sz w:val="21"/>
              </w:rPr>
              <w:t>供应商代表的有效身份证明资料（由单位法定代 表人持法人证明书和有效身份证原件或被授权人 持授权委托书及本人有效身份证）</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578" w:type="dxa"/>
            <w:vAlign w:val="center"/>
          </w:tcPr>
          <w:p>
            <w:pPr>
              <w:pStyle w:val="47"/>
              <w:spacing w:before="10"/>
              <w:jc w:val="both"/>
              <w:rPr>
                <w:b/>
                <w:sz w:val="14"/>
              </w:rPr>
            </w:pPr>
          </w:p>
          <w:p>
            <w:pPr>
              <w:pStyle w:val="47"/>
              <w:spacing w:before="1"/>
              <w:ind w:left="235"/>
              <w:jc w:val="both"/>
              <w:rPr>
                <w:sz w:val="21"/>
              </w:rPr>
            </w:pPr>
            <w:r>
              <w:rPr>
                <w:w w:val="99"/>
                <w:sz w:val="21"/>
              </w:rPr>
              <w:t>4</w:t>
            </w:r>
          </w:p>
        </w:tc>
        <w:tc>
          <w:tcPr>
            <w:tcW w:w="4663" w:type="dxa"/>
            <w:gridSpan w:val="2"/>
            <w:vAlign w:val="center"/>
          </w:tcPr>
          <w:p>
            <w:pPr>
              <w:pStyle w:val="47"/>
              <w:spacing w:before="1"/>
              <w:ind w:left="108"/>
              <w:jc w:val="both"/>
              <w:rPr>
                <w:rFonts w:ascii="宋体" w:hAnsi="宋体" w:eastAsia="宋体" w:cs="宋体"/>
                <w:sz w:val="21"/>
              </w:rPr>
            </w:pPr>
            <w:r>
              <w:rPr>
                <w:rFonts w:ascii="宋体" w:hAnsi="宋体" w:eastAsia="宋体" w:cs="宋体"/>
                <w:sz w:val="21"/>
              </w:rPr>
              <w:t xml:space="preserve">磋商保证金金额、提交方式、到账时间等是否符合第二章“磋商须知”第 </w:t>
            </w:r>
            <w:r>
              <w:rPr>
                <w:rFonts w:hint="eastAsia" w:cs="宋体"/>
                <w:sz w:val="21"/>
                <w:lang w:val="en-US" w:eastAsia="zh-CN"/>
              </w:rPr>
              <w:t>16</w:t>
            </w:r>
            <w:r>
              <w:rPr>
                <w:rFonts w:ascii="宋体" w:hAnsi="宋体" w:eastAsia="宋体" w:cs="宋体"/>
                <w:sz w:val="21"/>
              </w:rPr>
              <w:t xml:space="preserve"> 条规定</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jc w:val="center"/>
        </w:trPr>
        <w:tc>
          <w:tcPr>
            <w:tcW w:w="578" w:type="dxa"/>
            <w:vAlign w:val="center"/>
          </w:tcPr>
          <w:p>
            <w:pPr>
              <w:pStyle w:val="47"/>
              <w:spacing w:before="136"/>
              <w:ind w:left="235"/>
              <w:jc w:val="both"/>
              <w:rPr>
                <w:sz w:val="21"/>
              </w:rPr>
            </w:pPr>
            <w:r>
              <w:rPr>
                <w:w w:val="99"/>
                <w:sz w:val="21"/>
              </w:rPr>
              <w:t>5</w:t>
            </w:r>
          </w:p>
        </w:tc>
        <w:tc>
          <w:tcPr>
            <w:tcW w:w="4663" w:type="dxa"/>
            <w:gridSpan w:val="2"/>
            <w:vAlign w:val="center"/>
          </w:tcPr>
          <w:p>
            <w:pPr>
              <w:pStyle w:val="47"/>
              <w:spacing w:before="1"/>
              <w:ind w:left="108"/>
              <w:jc w:val="both"/>
              <w:rPr>
                <w:rFonts w:ascii="宋体" w:hAnsi="宋体" w:eastAsia="宋体" w:cs="宋体"/>
                <w:sz w:val="21"/>
              </w:rPr>
            </w:pPr>
            <w:r>
              <w:rPr>
                <w:rFonts w:ascii="宋体" w:hAnsi="宋体" w:eastAsia="宋体" w:cs="宋体"/>
                <w:sz w:val="21"/>
              </w:rPr>
              <w:t>法人或者其他组织的营业执照等主体资格证明文件</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jc w:val="center"/>
        </w:trPr>
        <w:tc>
          <w:tcPr>
            <w:tcW w:w="578" w:type="dxa"/>
            <w:vAlign w:val="center"/>
          </w:tcPr>
          <w:p>
            <w:pPr>
              <w:pStyle w:val="47"/>
              <w:spacing w:before="95"/>
              <w:ind w:left="235"/>
              <w:jc w:val="both"/>
              <w:rPr>
                <w:sz w:val="21"/>
              </w:rPr>
            </w:pPr>
            <w:r>
              <w:rPr>
                <w:w w:val="99"/>
                <w:sz w:val="21"/>
              </w:rPr>
              <w:t>6</w:t>
            </w:r>
          </w:p>
        </w:tc>
        <w:tc>
          <w:tcPr>
            <w:tcW w:w="4663" w:type="dxa"/>
            <w:gridSpan w:val="2"/>
            <w:vAlign w:val="center"/>
          </w:tcPr>
          <w:p>
            <w:pPr>
              <w:pStyle w:val="47"/>
              <w:spacing w:before="1"/>
              <w:ind w:left="108"/>
              <w:jc w:val="both"/>
              <w:rPr>
                <w:rFonts w:ascii="宋体" w:hAnsi="宋体" w:eastAsia="宋体" w:cs="宋体"/>
                <w:sz w:val="21"/>
              </w:rPr>
            </w:pPr>
            <w:r>
              <w:rPr>
                <w:rFonts w:ascii="宋体" w:hAnsi="宋体" w:eastAsia="宋体" w:cs="宋体"/>
                <w:sz w:val="21"/>
              </w:rPr>
              <w:t>供应商资格声明</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jc w:val="center"/>
        </w:trPr>
        <w:tc>
          <w:tcPr>
            <w:tcW w:w="578" w:type="dxa"/>
            <w:vAlign w:val="center"/>
          </w:tcPr>
          <w:p>
            <w:pPr>
              <w:pStyle w:val="47"/>
              <w:spacing w:before="136"/>
              <w:ind w:left="235"/>
              <w:jc w:val="both"/>
              <w:rPr>
                <w:sz w:val="21"/>
              </w:rPr>
            </w:pPr>
            <w:r>
              <w:rPr>
                <w:w w:val="99"/>
                <w:sz w:val="21"/>
              </w:rPr>
              <w:t>7</w:t>
            </w:r>
          </w:p>
        </w:tc>
        <w:tc>
          <w:tcPr>
            <w:tcW w:w="4663" w:type="dxa"/>
            <w:gridSpan w:val="2"/>
            <w:vAlign w:val="center"/>
          </w:tcPr>
          <w:p>
            <w:pPr>
              <w:pStyle w:val="47"/>
              <w:spacing w:before="1"/>
              <w:ind w:left="108"/>
              <w:jc w:val="both"/>
              <w:rPr>
                <w:rFonts w:ascii="宋体" w:hAnsi="宋体" w:eastAsia="宋体" w:cs="宋体"/>
                <w:sz w:val="21"/>
              </w:rPr>
            </w:pPr>
            <w:r>
              <w:rPr>
                <w:rFonts w:ascii="宋体" w:hAnsi="宋体" w:eastAsia="宋体" w:cs="宋体"/>
                <w:sz w:val="21"/>
              </w:rPr>
              <w:t>2020年度经会计事务所审计的财务审计报告或者基本开户银行出具的资信证明</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 w:hRule="atLeast"/>
          <w:jc w:val="center"/>
        </w:trPr>
        <w:tc>
          <w:tcPr>
            <w:tcW w:w="578" w:type="dxa"/>
            <w:vAlign w:val="center"/>
          </w:tcPr>
          <w:p>
            <w:pPr>
              <w:pStyle w:val="47"/>
              <w:spacing w:before="4"/>
              <w:jc w:val="both"/>
              <w:rPr>
                <w:b/>
                <w:sz w:val="21"/>
              </w:rPr>
            </w:pPr>
          </w:p>
          <w:p>
            <w:pPr>
              <w:pStyle w:val="47"/>
              <w:ind w:left="235"/>
              <w:jc w:val="both"/>
              <w:rPr>
                <w:sz w:val="21"/>
              </w:rPr>
            </w:pPr>
            <w:r>
              <w:rPr>
                <w:w w:val="99"/>
                <w:sz w:val="21"/>
              </w:rPr>
              <w:t>8</w:t>
            </w:r>
          </w:p>
        </w:tc>
        <w:tc>
          <w:tcPr>
            <w:tcW w:w="4663" w:type="dxa"/>
            <w:gridSpan w:val="2"/>
            <w:vAlign w:val="center"/>
          </w:tcPr>
          <w:p>
            <w:pPr>
              <w:pStyle w:val="47"/>
              <w:spacing w:before="1"/>
              <w:ind w:left="108"/>
              <w:jc w:val="both"/>
              <w:rPr>
                <w:rFonts w:ascii="宋体" w:hAnsi="宋体" w:eastAsia="宋体" w:cs="宋体"/>
                <w:sz w:val="21"/>
              </w:rPr>
            </w:pPr>
            <w:r>
              <w:rPr>
                <w:rFonts w:ascii="宋体" w:hAnsi="宋体" w:eastAsia="宋体" w:cs="宋体"/>
                <w:color w:val="000000" w:themeColor="text1"/>
                <w:sz w:val="21"/>
                <w14:textFill>
                  <w14:solidFill>
                    <w14:schemeClr w14:val="tx1"/>
                  </w14:solidFill>
                </w14:textFill>
              </w:rPr>
              <w:t>税务登记证和社保证或者首次响应文件递交截止时间前近</w:t>
            </w:r>
            <w:r>
              <w:rPr>
                <w:rFonts w:hint="eastAsia" w:cs="宋体"/>
                <w:color w:val="000000" w:themeColor="text1"/>
                <w:sz w:val="21"/>
                <w:lang w:eastAsia="zh-CN"/>
                <w14:textFill>
                  <w14:solidFill>
                    <w14:schemeClr w14:val="tx1"/>
                  </w14:solidFill>
                </w14:textFill>
              </w:rPr>
              <w:t>六</w:t>
            </w:r>
            <w:r>
              <w:rPr>
                <w:rFonts w:ascii="宋体" w:hAnsi="宋体" w:eastAsia="宋体" w:cs="宋体"/>
                <w:color w:val="000000" w:themeColor="text1"/>
                <w:sz w:val="21"/>
                <w14:textFill>
                  <w14:solidFill>
                    <w14:schemeClr w14:val="tx1"/>
                  </w14:solidFill>
                </w14:textFill>
              </w:rPr>
              <w:t>个月依法连续缴纳税收和社会保险费的证明(或者纳税及缴费凭证复印件）</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78" w:type="dxa"/>
            <w:vAlign w:val="center"/>
          </w:tcPr>
          <w:p>
            <w:pPr>
              <w:pStyle w:val="47"/>
              <w:spacing w:before="5"/>
              <w:jc w:val="both"/>
              <w:rPr>
                <w:b/>
                <w:sz w:val="21"/>
              </w:rPr>
            </w:pPr>
          </w:p>
          <w:p>
            <w:pPr>
              <w:pStyle w:val="47"/>
              <w:ind w:left="235"/>
              <w:jc w:val="both"/>
              <w:rPr>
                <w:sz w:val="21"/>
              </w:rPr>
            </w:pPr>
            <w:r>
              <w:rPr>
                <w:w w:val="99"/>
                <w:sz w:val="21"/>
              </w:rPr>
              <w:t>9</w:t>
            </w:r>
          </w:p>
        </w:tc>
        <w:tc>
          <w:tcPr>
            <w:tcW w:w="4663" w:type="dxa"/>
            <w:gridSpan w:val="2"/>
            <w:vAlign w:val="center"/>
          </w:tcPr>
          <w:p>
            <w:pPr>
              <w:pStyle w:val="47"/>
              <w:spacing w:before="1"/>
              <w:ind w:left="108"/>
              <w:jc w:val="both"/>
              <w:rPr>
                <w:rFonts w:ascii="宋体" w:hAnsi="宋体" w:eastAsia="宋体" w:cs="宋体"/>
                <w:sz w:val="21"/>
              </w:rPr>
            </w:pPr>
            <w:r>
              <w:rPr>
                <w:rFonts w:ascii="宋体" w:hAnsi="宋体" w:eastAsia="宋体" w:cs="宋体"/>
                <w:sz w:val="21"/>
              </w:rPr>
              <w:t>具有履行合同所必需的设备和专业技术能力的承</w:t>
            </w:r>
          </w:p>
          <w:p>
            <w:pPr>
              <w:pStyle w:val="47"/>
              <w:spacing w:before="1"/>
              <w:ind w:left="108"/>
              <w:jc w:val="both"/>
              <w:rPr>
                <w:rFonts w:ascii="宋体" w:hAnsi="宋体" w:eastAsia="宋体" w:cs="宋体"/>
                <w:sz w:val="21"/>
              </w:rPr>
            </w:pPr>
            <w:r>
              <w:rPr>
                <w:rFonts w:ascii="宋体" w:hAnsi="宋体" w:eastAsia="宋体" w:cs="宋体"/>
                <w:sz w:val="21"/>
              </w:rPr>
              <w:t>诺，或者设备发票复印件和专业技术能力的相关证明材料复印件等</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578" w:type="dxa"/>
            <w:vMerge w:val="restart"/>
            <w:vAlign w:val="center"/>
          </w:tcPr>
          <w:p>
            <w:pPr>
              <w:pStyle w:val="47"/>
              <w:jc w:val="both"/>
              <w:rPr>
                <w:b/>
                <w:sz w:val="20"/>
              </w:rPr>
            </w:pPr>
          </w:p>
          <w:p>
            <w:pPr>
              <w:pStyle w:val="47"/>
              <w:jc w:val="both"/>
              <w:rPr>
                <w:b/>
                <w:sz w:val="20"/>
              </w:rPr>
            </w:pPr>
          </w:p>
          <w:p>
            <w:pPr>
              <w:pStyle w:val="47"/>
              <w:jc w:val="both"/>
              <w:rPr>
                <w:b/>
                <w:sz w:val="20"/>
              </w:rPr>
            </w:pPr>
          </w:p>
          <w:p>
            <w:pPr>
              <w:pStyle w:val="47"/>
              <w:jc w:val="both"/>
              <w:rPr>
                <w:b/>
                <w:sz w:val="20"/>
              </w:rPr>
            </w:pPr>
          </w:p>
          <w:p>
            <w:pPr>
              <w:pStyle w:val="47"/>
              <w:spacing w:before="5"/>
              <w:jc w:val="both"/>
              <w:rPr>
                <w:b/>
                <w:sz w:val="26"/>
              </w:rPr>
            </w:pPr>
          </w:p>
          <w:p>
            <w:pPr>
              <w:pStyle w:val="47"/>
              <w:ind w:left="182"/>
              <w:jc w:val="both"/>
              <w:rPr>
                <w:sz w:val="21"/>
              </w:rPr>
            </w:pPr>
            <w:r>
              <w:rPr>
                <w:sz w:val="21"/>
              </w:rPr>
              <w:t>10</w:t>
            </w:r>
          </w:p>
        </w:tc>
        <w:tc>
          <w:tcPr>
            <w:tcW w:w="835" w:type="dxa"/>
            <w:vMerge w:val="restart"/>
            <w:vAlign w:val="center"/>
          </w:tcPr>
          <w:p>
            <w:pPr>
              <w:pStyle w:val="47"/>
              <w:jc w:val="both"/>
              <w:rPr>
                <w:b/>
                <w:sz w:val="20"/>
              </w:rPr>
            </w:pPr>
          </w:p>
          <w:p>
            <w:pPr>
              <w:pStyle w:val="47"/>
              <w:jc w:val="both"/>
              <w:rPr>
                <w:b/>
                <w:sz w:val="20"/>
              </w:rPr>
            </w:pPr>
          </w:p>
          <w:p>
            <w:pPr>
              <w:pStyle w:val="47"/>
              <w:spacing w:before="169" w:line="242" w:lineRule="auto"/>
              <w:ind w:left="206" w:right="198"/>
              <w:jc w:val="both"/>
              <w:rPr>
                <w:sz w:val="21"/>
              </w:rPr>
            </w:pPr>
            <w:r>
              <w:rPr>
                <w:sz w:val="21"/>
              </w:rPr>
              <w:t>符合特定资格条件证明材料</w:t>
            </w:r>
          </w:p>
        </w:tc>
        <w:tc>
          <w:tcPr>
            <w:tcW w:w="3828" w:type="dxa"/>
            <w:vAlign w:val="center"/>
          </w:tcPr>
          <w:p>
            <w:pPr>
              <w:jc w:val="left"/>
              <w:rPr>
                <w:rFonts w:ascii="宋体" w:hAnsi="宋体" w:eastAsia="宋体" w:cs="宋体"/>
                <w:sz w:val="21"/>
              </w:rPr>
            </w:pPr>
            <w:r>
              <w:rPr>
                <w:rFonts w:hint="eastAsia" w:ascii="宋体" w:hAnsi="宋体"/>
                <w:szCs w:val="21"/>
              </w:rPr>
              <w:t>安全生产许可证处于有效期</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78" w:type="dxa"/>
            <w:vMerge w:val="continue"/>
            <w:tcBorders>
              <w:top w:val="nil"/>
            </w:tcBorders>
            <w:vAlign w:val="center"/>
          </w:tcPr>
          <w:p>
            <w:pPr>
              <w:jc w:val="both"/>
              <w:rPr>
                <w:sz w:val="2"/>
                <w:szCs w:val="2"/>
              </w:rPr>
            </w:pPr>
          </w:p>
        </w:tc>
        <w:tc>
          <w:tcPr>
            <w:tcW w:w="835" w:type="dxa"/>
            <w:vMerge w:val="continue"/>
            <w:tcBorders>
              <w:top w:val="nil"/>
            </w:tcBorders>
            <w:vAlign w:val="center"/>
          </w:tcPr>
          <w:p>
            <w:pPr>
              <w:jc w:val="both"/>
              <w:rPr>
                <w:sz w:val="2"/>
                <w:szCs w:val="2"/>
              </w:rPr>
            </w:pPr>
          </w:p>
        </w:tc>
        <w:tc>
          <w:tcPr>
            <w:tcW w:w="3828" w:type="dxa"/>
            <w:vAlign w:val="center"/>
          </w:tcPr>
          <w:p>
            <w:pPr>
              <w:jc w:val="left"/>
              <w:rPr>
                <w:rFonts w:ascii="宋体" w:hAnsi="宋体" w:eastAsia="宋体" w:cs="宋体"/>
                <w:sz w:val="21"/>
              </w:rPr>
            </w:pPr>
            <w:r>
              <w:t>具备建设主管部门颁发的</w:t>
            </w:r>
            <w:r>
              <w:rPr>
                <w:rFonts w:hint="eastAsia" w:ascii="宋体" w:hAnsi="宋体" w:cs="宋体"/>
                <w:szCs w:val="21"/>
                <w:lang w:eastAsia="zh-CN"/>
              </w:rPr>
              <w:t>公路工程施工总承包叁级及以上资质</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578" w:type="dxa"/>
            <w:vMerge w:val="continue"/>
            <w:tcBorders>
              <w:top w:val="nil"/>
            </w:tcBorders>
            <w:vAlign w:val="center"/>
          </w:tcPr>
          <w:p>
            <w:pPr>
              <w:jc w:val="both"/>
              <w:rPr>
                <w:sz w:val="2"/>
                <w:szCs w:val="2"/>
              </w:rPr>
            </w:pPr>
          </w:p>
        </w:tc>
        <w:tc>
          <w:tcPr>
            <w:tcW w:w="835" w:type="dxa"/>
            <w:vMerge w:val="continue"/>
            <w:tcBorders>
              <w:top w:val="nil"/>
            </w:tcBorders>
            <w:vAlign w:val="center"/>
          </w:tcPr>
          <w:p>
            <w:pPr>
              <w:jc w:val="both"/>
              <w:rPr>
                <w:sz w:val="2"/>
                <w:szCs w:val="2"/>
              </w:rPr>
            </w:pPr>
          </w:p>
        </w:tc>
        <w:tc>
          <w:tcPr>
            <w:tcW w:w="3828" w:type="dxa"/>
            <w:vAlign w:val="center"/>
          </w:tcPr>
          <w:p>
            <w:pPr>
              <w:jc w:val="left"/>
              <w:rPr>
                <w:rFonts w:ascii="宋体" w:hAnsi="宋体" w:eastAsia="宋体" w:cs="宋体"/>
                <w:sz w:val="21"/>
              </w:rPr>
            </w:pPr>
            <w:r>
              <w:rPr>
                <w:rFonts w:hint="eastAsia" w:ascii="宋体" w:hAnsi="宋体"/>
                <w:szCs w:val="21"/>
              </w:rPr>
              <w:t>关键岗位人员的证书（有效期内）</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578" w:type="dxa"/>
            <w:vMerge w:val="continue"/>
            <w:tcBorders>
              <w:top w:val="nil"/>
            </w:tcBorders>
            <w:vAlign w:val="center"/>
          </w:tcPr>
          <w:p>
            <w:pPr>
              <w:jc w:val="both"/>
              <w:rPr>
                <w:sz w:val="2"/>
                <w:szCs w:val="2"/>
              </w:rPr>
            </w:pPr>
          </w:p>
        </w:tc>
        <w:tc>
          <w:tcPr>
            <w:tcW w:w="835" w:type="dxa"/>
            <w:vMerge w:val="continue"/>
            <w:tcBorders>
              <w:top w:val="nil"/>
            </w:tcBorders>
            <w:vAlign w:val="center"/>
          </w:tcPr>
          <w:p>
            <w:pPr>
              <w:jc w:val="both"/>
              <w:rPr>
                <w:sz w:val="2"/>
                <w:szCs w:val="2"/>
              </w:rPr>
            </w:pPr>
          </w:p>
        </w:tc>
        <w:tc>
          <w:tcPr>
            <w:tcW w:w="3828" w:type="dxa"/>
            <w:vAlign w:val="center"/>
          </w:tcPr>
          <w:p>
            <w:pPr>
              <w:jc w:val="left"/>
              <w:rPr>
                <w:rFonts w:ascii="宋体" w:hAnsi="宋体" w:eastAsia="宋体" w:cs="宋体"/>
                <w:sz w:val="21"/>
              </w:rPr>
            </w:pPr>
            <w:r>
              <w:rPr>
                <w:rFonts w:hint="eastAsia" w:ascii="宋体" w:hAnsi="宋体"/>
                <w:szCs w:val="21"/>
              </w:rPr>
              <w:t>关键岗位人员</w:t>
            </w:r>
            <w:r>
              <w:rPr>
                <w:rFonts w:hint="eastAsia" w:ascii="宋体" w:hAnsi="宋体"/>
                <w:color w:val="000000" w:themeColor="text1"/>
                <w:szCs w:val="21"/>
                <w14:textFill>
                  <w14:solidFill>
                    <w14:schemeClr w14:val="tx1"/>
                  </w14:solidFill>
                </w14:textFill>
              </w:rPr>
              <w:t>近</w:t>
            </w:r>
            <w:r>
              <w:rPr>
                <w:rFonts w:hint="eastAsia" w:ascii="宋体" w:hAnsi="宋体"/>
                <w:color w:val="000000" w:themeColor="text1"/>
                <w:szCs w:val="21"/>
                <w:lang w:eastAsia="zh-CN"/>
                <w14:textFill>
                  <w14:solidFill>
                    <w14:schemeClr w14:val="tx1"/>
                  </w14:solidFill>
                </w14:textFill>
              </w:rPr>
              <w:t>六</w:t>
            </w:r>
            <w:r>
              <w:rPr>
                <w:rFonts w:hint="eastAsia" w:ascii="宋体" w:hAnsi="宋体"/>
                <w:color w:val="000000" w:themeColor="text1"/>
                <w:szCs w:val="21"/>
                <w14:textFill>
                  <w14:solidFill>
                    <w14:schemeClr w14:val="tx1"/>
                  </w14:solidFill>
                </w14:textFill>
              </w:rPr>
              <w:t>个月劳</w:t>
            </w:r>
            <w:r>
              <w:rPr>
                <w:rFonts w:hint="eastAsia" w:ascii="宋体" w:hAnsi="宋体"/>
                <w:szCs w:val="21"/>
              </w:rPr>
              <w:t>动保障部门出具的为其缴纳社会养老保险的证明材料</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578" w:type="dxa"/>
            <w:vMerge w:val="continue"/>
            <w:tcBorders>
              <w:top w:val="nil"/>
            </w:tcBorders>
            <w:vAlign w:val="center"/>
          </w:tcPr>
          <w:p>
            <w:pPr>
              <w:jc w:val="both"/>
              <w:rPr>
                <w:sz w:val="2"/>
                <w:szCs w:val="2"/>
              </w:rPr>
            </w:pPr>
          </w:p>
        </w:tc>
        <w:tc>
          <w:tcPr>
            <w:tcW w:w="835" w:type="dxa"/>
            <w:vMerge w:val="continue"/>
            <w:tcBorders>
              <w:top w:val="nil"/>
            </w:tcBorders>
            <w:vAlign w:val="center"/>
          </w:tcPr>
          <w:p>
            <w:pPr>
              <w:jc w:val="both"/>
              <w:rPr>
                <w:sz w:val="2"/>
                <w:szCs w:val="2"/>
              </w:rPr>
            </w:pPr>
          </w:p>
        </w:tc>
        <w:tc>
          <w:tcPr>
            <w:tcW w:w="3828" w:type="dxa"/>
            <w:vAlign w:val="center"/>
          </w:tcPr>
          <w:p>
            <w:pPr>
              <w:jc w:val="left"/>
              <w:rPr>
                <w:rFonts w:ascii="宋体" w:hAnsi="宋体" w:eastAsia="宋体" w:cs="宋体"/>
                <w:sz w:val="21"/>
              </w:rPr>
            </w:pPr>
            <w:r>
              <w:rPr>
                <w:rFonts w:hint="eastAsia" w:ascii="宋体" w:hAnsi="宋体"/>
                <w:szCs w:val="21"/>
              </w:rPr>
              <w:t>关键岗位人员无在建承诺书</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578" w:type="dxa"/>
            <w:vAlign w:val="center"/>
          </w:tcPr>
          <w:p>
            <w:pPr>
              <w:pStyle w:val="47"/>
              <w:spacing w:before="115"/>
              <w:ind w:left="182"/>
              <w:jc w:val="both"/>
              <w:rPr>
                <w:sz w:val="21"/>
              </w:rPr>
            </w:pPr>
            <w:r>
              <w:rPr>
                <w:sz w:val="21"/>
              </w:rPr>
              <w:t>11</w:t>
            </w:r>
          </w:p>
        </w:tc>
        <w:tc>
          <w:tcPr>
            <w:tcW w:w="4663" w:type="dxa"/>
            <w:gridSpan w:val="2"/>
            <w:vAlign w:val="center"/>
          </w:tcPr>
          <w:p>
            <w:pPr>
              <w:pStyle w:val="47"/>
              <w:spacing w:before="115"/>
              <w:ind w:left="108"/>
              <w:jc w:val="both"/>
              <w:rPr>
                <w:sz w:val="21"/>
              </w:rPr>
            </w:pPr>
            <w:r>
              <w:rPr>
                <w:sz w:val="21"/>
              </w:rPr>
              <w:t>信用查询（网上查询打印并加盖公章）</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578" w:type="dxa"/>
            <w:vAlign w:val="center"/>
          </w:tcPr>
          <w:p>
            <w:pPr>
              <w:pStyle w:val="47"/>
              <w:spacing w:before="115"/>
              <w:ind w:left="182"/>
              <w:jc w:val="both"/>
              <w:rPr>
                <w:sz w:val="21"/>
              </w:rPr>
            </w:pPr>
            <w:r>
              <w:rPr>
                <w:sz w:val="21"/>
              </w:rPr>
              <w:t>12</w:t>
            </w:r>
          </w:p>
        </w:tc>
        <w:tc>
          <w:tcPr>
            <w:tcW w:w="4663" w:type="dxa"/>
            <w:gridSpan w:val="2"/>
            <w:vAlign w:val="center"/>
          </w:tcPr>
          <w:p>
            <w:pPr>
              <w:pStyle w:val="47"/>
              <w:spacing w:before="115"/>
              <w:ind w:left="108"/>
              <w:jc w:val="both"/>
              <w:rPr>
                <w:sz w:val="21"/>
              </w:rPr>
            </w:pPr>
            <w:r>
              <w:rPr>
                <w:sz w:val="21"/>
              </w:rPr>
              <w:t>中小企业声明函</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578" w:type="dxa"/>
            <w:vAlign w:val="center"/>
          </w:tcPr>
          <w:p>
            <w:pPr>
              <w:pStyle w:val="47"/>
              <w:spacing w:before="134"/>
              <w:ind w:left="182"/>
              <w:jc w:val="both"/>
              <w:rPr>
                <w:sz w:val="21"/>
              </w:rPr>
            </w:pPr>
            <w:r>
              <w:rPr>
                <w:sz w:val="21"/>
              </w:rPr>
              <w:t>13</w:t>
            </w:r>
          </w:p>
        </w:tc>
        <w:tc>
          <w:tcPr>
            <w:tcW w:w="4663" w:type="dxa"/>
            <w:gridSpan w:val="2"/>
            <w:vAlign w:val="center"/>
          </w:tcPr>
          <w:p>
            <w:pPr>
              <w:pStyle w:val="47"/>
              <w:ind w:left="108"/>
              <w:jc w:val="both"/>
              <w:rPr>
                <w:sz w:val="21"/>
              </w:rPr>
            </w:pPr>
            <w:r>
              <w:rPr>
                <w:sz w:val="21"/>
              </w:rPr>
              <w:t>是否存在不符合法律、规章、规范性文件和蹉商</w:t>
            </w:r>
          </w:p>
          <w:p>
            <w:pPr>
              <w:pStyle w:val="47"/>
              <w:spacing w:before="2" w:line="253" w:lineRule="exact"/>
              <w:ind w:left="108"/>
              <w:jc w:val="both"/>
              <w:rPr>
                <w:sz w:val="21"/>
              </w:rPr>
            </w:pPr>
            <w:r>
              <w:rPr>
                <w:sz w:val="21"/>
              </w:rPr>
              <w:t>文件的规定</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241" w:type="dxa"/>
            <w:gridSpan w:val="3"/>
            <w:vAlign w:val="center"/>
          </w:tcPr>
          <w:p>
            <w:pPr>
              <w:pStyle w:val="47"/>
              <w:spacing w:before="137"/>
              <w:ind w:left="1358"/>
              <w:jc w:val="both"/>
              <w:rPr>
                <w:sz w:val="21"/>
              </w:rPr>
            </w:pPr>
            <w:r>
              <w:rPr>
                <w:sz w:val="21"/>
              </w:rPr>
              <w:t>评审结论（合格或不合格）</w:t>
            </w:r>
          </w:p>
        </w:tc>
        <w:tc>
          <w:tcPr>
            <w:tcW w:w="1337" w:type="dxa"/>
            <w:vAlign w:val="center"/>
          </w:tcPr>
          <w:p>
            <w:pPr>
              <w:pStyle w:val="47"/>
              <w:jc w:val="both"/>
              <w:rPr>
                <w:rFonts w:ascii="Times New Roman"/>
                <w:sz w:val="20"/>
              </w:rPr>
            </w:pPr>
          </w:p>
        </w:tc>
        <w:tc>
          <w:tcPr>
            <w:tcW w:w="1230" w:type="dxa"/>
            <w:vAlign w:val="center"/>
          </w:tcPr>
          <w:p>
            <w:pPr>
              <w:pStyle w:val="47"/>
              <w:jc w:val="both"/>
              <w:rPr>
                <w:rFonts w:ascii="Times New Roman"/>
                <w:sz w:val="20"/>
              </w:rPr>
            </w:pPr>
          </w:p>
        </w:tc>
        <w:tc>
          <w:tcPr>
            <w:tcW w:w="1215" w:type="dxa"/>
            <w:vAlign w:val="center"/>
          </w:tcPr>
          <w:p>
            <w:pPr>
              <w:pStyle w:val="47"/>
              <w:jc w:val="both"/>
              <w:rPr>
                <w:rFonts w:ascii="Times New Roman"/>
                <w:sz w:val="20"/>
              </w:rPr>
            </w:pPr>
          </w:p>
        </w:tc>
      </w:tr>
    </w:tbl>
    <w:p>
      <w:pPr>
        <w:pStyle w:val="11"/>
        <w:adjustRightInd w:val="0"/>
        <w:snapToGrid w:val="0"/>
        <w:spacing w:line="360" w:lineRule="auto"/>
        <w:rPr>
          <w:rFonts w:hint="eastAsia" w:asciiTheme="majorEastAsia" w:hAnsiTheme="majorEastAsia" w:eastAsiaTheme="majorEastAsia" w:cstheme="majorEastAsia"/>
          <w:b/>
          <w:bCs/>
          <w:color w:val="auto"/>
          <w:sz w:val="21"/>
          <w:lang w:val="zh-CN" w:eastAsia="zh-CN"/>
        </w:rPr>
      </w:pPr>
      <w:r>
        <w:rPr>
          <w:rFonts w:hint="eastAsia" w:asciiTheme="majorEastAsia" w:hAnsiTheme="majorEastAsia" w:eastAsiaTheme="majorEastAsia" w:cstheme="majorEastAsia"/>
          <w:b/>
          <w:bCs/>
          <w:color w:val="auto"/>
          <w:sz w:val="21"/>
          <w:lang w:val="zh-CN" w:eastAsia="zh-CN"/>
        </w:rPr>
        <w:t>备注：</w:t>
      </w:r>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1、</w:t>
      </w:r>
      <w:r>
        <w:rPr>
          <w:rFonts w:hint="eastAsia" w:asciiTheme="majorEastAsia" w:hAnsiTheme="majorEastAsia" w:eastAsiaTheme="majorEastAsia" w:cstheme="majorEastAsia"/>
          <w:color w:val="auto"/>
          <w:sz w:val="21"/>
          <w:lang w:val="zh-CN" w:eastAsia="zh-CN"/>
        </w:rPr>
        <w:t>资格审查时投标供应商应当提供“供应商资格审查表”中第 4～9 项供应商资格证明文件的原件(施工项目部关键岗位人员证书原件已启动电子证书的地区，供应商可提供电子证书并加   盖单位公章，供应商应对其证书的真实性负责。资格审查时可通过证书二维码查询其真实性），其他项按资格审查表中要求提供，所有证明材料按本审查表中顺序注明并排序。</w:t>
      </w:r>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2、达到要求的标记“√”，未达到的标记“×”并注明其理由。</w:t>
      </w:r>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3、结论填写“合格”或“不合格”。</w:t>
      </w:r>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4、结论“不合格”的投标人不进入下一轮评议。</w:t>
      </w:r>
    </w:p>
    <w:p>
      <w:pPr>
        <w:pStyle w:val="11"/>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5、投标单位有下列情形之一的，视为不合格（★）：</w:t>
      </w:r>
    </w:p>
    <w:p>
      <w:pPr>
        <w:pStyle w:val="11"/>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未提交资格证明材料的或资格证明材料提交不全的；</w:t>
      </w:r>
    </w:p>
    <w:p>
      <w:pPr>
        <w:pStyle w:val="11"/>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提供不符合要求或虚假资格证明文件的；</w:t>
      </w:r>
    </w:p>
    <w:p>
      <w:pPr>
        <w:pStyle w:val="11"/>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资格证明文件过了有效期的；</w:t>
      </w:r>
    </w:p>
    <w:p>
      <w:pPr>
        <w:pStyle w:val="11"/>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资格证明文件复印件未加盖投标单位公章的。</w:t>
      </w:r>
    </w:p>
    <w:p>
      <w:pPr>
        <w:pStyle w:val="2"/>
        <w:jc w:val="left"/>
        <w:rPr>
          <w:rFonts w:ascii="宋体" w:hAnsi="宋体" w:eastAsia="宋体" w:cs="宋体"/>
          <w:kern w:val="2"/>
          <w:sz w:val="21"/>
          <w:szCs w:val="24"/>
          <w:lang w:val="zh-CN" w:eastAsia="zh-CN" w:bidi="zh-CN"/>
        </w:rPr>
      </w:pPr>
    </w:p>
    <w:p>
      <w:pPr>
        <w:pStyle w:val="2"/>
        <w:spacing w:before="9"/>
        <w:jc w:val="left"/>
        <w:rPr>
          <w:rFonts w:hint="eastAsia" w:ascii="宋体" w:hAnsi="宋体" w:eastAsia="宋体" w:cs="宋体"/>
          <w:kern w:val="2"/>
          <w:sz w:val="21"/>
          <w:szCs w:val="24"/>
          <w:lang w:val="zh-CN" w:eastAsia="zh-CN" w:bidi="zh-CN"/>
        </w:rPr>
      </w:pPr>
      <w:r>
        <w:rPr>
          <w:rFonts w:hint="eastAsia" w:ascii="宋体" w:hAnsi="宋体" w:eastAsia="宋体" w:cs="宋体"/>
          <w:kern w:val="2"/>
          <w:sz w:val="21"/>
          <w:szCs w:val="24"/>
          <w:lang w:val="zh-CN" w:eastAsia="zh-CN" w:bidi="zh-CN"/>
        </w:rPr>
        <w:t>采购人（签字）：</w:t>
      </w:r>
    </w:p>
    <w:p>
      <w:pPr>
        <w:pStyle w:val="2"/>
        <w:spacing w:before="9"/>
        <w:jc w:val="left"/>
        <w:rPr>
          <w:rFonts w:hint="eastAsia" w:ascii="宋体" w:hAnsi="宋体" w:eastAsia="宋体" w:cs="宋体"/>
          <w:kern w:val="2"/>
          <w:sz w:val="21"/>
          <w:szCs w:val="24"/>
          <w:lang w:val="zh-CN" w:eastAsia="zh-CN" w:bidi="zh-CN"/>
        </w:rPr>
      </w:pPr>
      <w:r>
        <w:rPr>
          <w:rFonts w:hint="eastAsia" w:ascii="宋体" w:hAnsi="宋体" w:eastAsia="宋体" w:cs="宋体"/>
          <w:kern w:val="2"/>
          <w:sz w:val="21"/>
          <w:szCs w:val="24"/>
          <w:lang w:val="zh-CN" w:eastAsia="zh-CN" w:bidi="zh-CN"/>
        </w:rPr>
        <w:t>年月日</w:t>
      </w:r>
    </w:p>
    <w:p>
      <w:pPr>
        <w:rPr>
          <w:rFonts w:hint="eastAsia" w:ascii="宋体" w:hAnsi="宋体" w:eastAsia="宋体"/>
          <w:color w:val="auto"/>
          <w:szCs w:val="21"/>
          <w:highlight w:val="none"/>
        </w:rPr>
      </w:pPr>
      <w:r>
        <w:rPr>
          <w:rFonts w:hint="eastAsia" w:ascii="宋体" w:hAnsi="宋体" w:eastAsia="宋体"/>
          <w:color w:val="auto"/>
          <w:szCs w:val="21"/>
          <w:highlight w:val="none"/>
        </w:rPr>
        <w:br w:type="page"/>
      </w:r>
    </w:p>
    <w:p>
      <w:pPr>
        <w:tabs>
          <w:tab w:val="left" w:pos="1440"/>
        </w:tabs>
        <w:spacing w:before="69"/>
        <w:ind w:left="651" w:right="0" w:firstLine="0"/>
        <w:jc w:val="left"/>
        <w:rPr>
          <w:b/>
          <w:sz w:val="21"/>
        </w:rPr>
      </w:pPr>
      <w:r>
        <w:rPr>
          <w:b/>
          <w:sz w:val="21"/>
        </w:rPr>
        <w:t>附表</w:t>
      </w:r>
      <w:r>
        <w:rPr>
          <w:b/>
          <w:spacing w:val="-55"/>
          <w:sz w:val="21"/>
        </w:rPr>
        <w:t xml:space="preserve"> </w:t>
      </w:r>
      <w:r>
        <w:rPr>
          <w:b/>
          <w:sz w:val="21"/>
        </w:rPr>
        <w:t>2</w:t>
      </w:r>
      <w:r>
        <w:rPr>
          <w:b/>
          <w:sz w:val="21"/>
        </w:rPr>
        <w:tab/>
      </w:r>
      <w:r>
        <w:rPr>
          <w:b/>
          <w:sz w:val="21"/>
        </w:rPr>
        <w:t>供应商资格审查结果一览表</w:t>
      </w:r>
    </w:p>
    <w:p>
      <w:pPr>
        <w:spacing w:before="141"/>
        <w:ind w:left="0" w:right="17" w:firstLine="0"/>
        <w:jc w:val="center"/>
        <w:rPr>
          <w:b/>
          <w:sz w:val="28"/>
        </w:rPr>
      </w:pPr>
      <w:r>
        <w:rPr>
          <w:b/>
          <w:sz w:val="28"/>
        </w:rPr>
        <w:t>供应商资格审查结果一览表</w:t>
      </w:r>
    </w:p>
    <w:p>
      <w:pPr>
        <w:pStyle w:val="2"/>
        <w:spacing w:before="8"/>
        <w:rPr>
          <w:b/>
          <w:sz w:val="37"/>
        </w:rPr>
      </w:pPr>
    </w:p>
    <w:p>
      <w:pPr>
        <w:pStyle w:val="2"/>
        <w:tabs>
          <w:tab w:val="left" w:pos="4745"/>
        </w:tabs>
        <w:ind w:left="651"/>
      </w:pPr>
      <w:r>
        <w:t>项目名称：</w:t>
      </w:r>
      <w:r>
        <w:tab/>
      </w:r>
      <w:r>
        <w:rPr>
          <w:rFonts w:hint="eastAsia"/>
          <w:lang w:val="en-US" w:eastAsia="zh-CN"/>
        </w:rPr>
        <w:t xml:space="preserve">          </w:t>
      </w:r>
      <w:r>
        <w:t>采购代理编号：</w:t>
      </w:r>
    </w:p>
    <w:p>
      <w:pPr>
        <w:pStyle w:val="2"/>
        <w:spacing w:before="11" w:after="1"/>
        <w:rPr>
          <w:sz w:val="10"/>
        </w:rPr>
      </w:pPr>
    </w:p>
    <w:tbl>
      <w:tblPr>
        <w:tblStyle w:val="20"/>
        <w:tblW w:w="94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3106"/>
        <w:gridCol w:w="2557"/>
        <w:gridCol w:w="3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10" w:hRule="atLeast"/>
        </w:trPr>
        <w:tc>
          <w:tcPr>
            <w:tcW w:w="730" w:type="dxa"/>
          </w:tcPr>
          <w:p>
            <w:pPr>
              <w:pStyle w:val="47"/>
              <w:rPr>
                <w:sz w:val="25"/>
              </w:rPr>
            </w:pPr>
          </w:p>
          <w:p>
            <w:pPr>
              <w:pStyle w:val="47"/>
              <w:ind w:left="153"/>
              <w:rPr>
                <w:b/>
                <w:sz w:val="21"/>
              </w:rPr>
            </w:pPr>
            <w:r>
              <w:rPr>
                <w:b/>
                <w:sz w:val="21"/>
              </w:rPr>
              <w:t>序号</w:t>
            </w:r>
          </w:p>
        </w:tc>
        <w:tc>
          <w:tcPr>
            <w:tcW w:w="3106" w:type="dxa"/>
          </w:tcPr>
          <w:p>
            <w:pPr>
              <w:pStyle w:val="47"/>
              <w:rPr>
                <w:sz w:val="25"/>
              </w:rPr>
            </w:pPr>
          </w:p>
          <w:p>
            <w:pPr>
              <w:pStyle w:val="47"/>
              <w:ind w:left="1026"/>
              <w:rPr>
                <w:b/>
                <w:sz w:val="21"/>
              </w:rPr>
            </w:pPr>
            <w:r>
              <w:rPr>
                <w:b/>
                <w:sz w:val="21"/>
              </w:rPr>
              <w:t>供应商名称</w:t>
            </w:r>
          </w:p>
        </w:tc>
        <w:tc>
          <w:tcPr>
            <w:tcW w:w="2557" w:type="dxa"/>
          </w:tcPr>
          <w:p>
            <w:pPr>
              <w:pStyle w:val="47"/>
              <w:spacing w:before="4"/>
              <w:rPr>
                <w:sz w:val="14"/>
              </w:rPr>
            </w:pPr>
          </w:p>
          <w:p>
            <w:pPr>
              <w:pStyle w:val="47"/>
              <w:ind w:left="464" w:right="455"/>
              <w:jc w:val="center"/>
              <w:rPr>
                <w:b/>
                <w:sz w:val="21"/>
              </w:rPr>
            </w:pPr>
            <w:r>
              <w:rPr>
                <w:b/>
                <w:sz w:val="21"/>
              </w:rPr>
              <w:t>资格审查结果</w:t>
            </w:r>
          </w:p>
          <w:p>
            <w:pPr>
              <w:pStyle w:val="47"/>
              <w:spacing w:before="2"/>
              <w:ind w:left="469" w:right="455"/>
              <w:jc w:val="center"/>
              <w:rPr>
                <w:b/>
                <w:sz w:val="21"/>
              </w:rPr>
            </w:pPr>
            <w:r>
              <w:rPr>
                <w:b/>
                <w:sz w:val="21"/>
              </w:rPr>
              <w:t>（合格/不合格）</w:t>
            </w:r>
          </w:p>
        </w:tc>
        <w:tc>
          <w:tcPr>
            <w:tcW w:w="3104" w:type="dxa"/>
          </w:tcPr>
          <w:p>
            <w:pPr>
              <w:pStyle w:val="47"/>
              <w:rPr>
                <w:sz w:val="25"/>
              </w:rPr>
            </w:pPr>
          </w:p>
          <w:p>
            <w:pPr>
              <w:pStyle w:val="47"/>
              <w:ind w:left="607"/>
              <w:rPr>
                <w:b/>
                <w:sz w:val="21"/>
              </w:rPr>
            </w:pPr>
            <w:r>
              <w:rPr>
                <w:b/>
                <w:sz w:val="21"/>
              </w:rPr>
              <w:t>资格审查不合格原因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0" w:type="dxa"/>
          </w:tcPr>
          <w:p>
            <w:pPr>
              <w:pStyle w:val="47"/>
              <w:rPr>
                <w:rFonts w:ascii="Times New Roman"/>
                <w:sz w:val="20"/>
              </w:rPr>
            </w:pPr>
          </w:p>
        </w:tc>
        <w:tc>
          <w:tcPr>
            <w:tcW w:w="3106" w:type="dxa"/>
          </w:tcPr>
          <w:p>
            <w:pPr>
              <w:pStyle w:val="47"/>
              <w:rPr>
                <w:rFonts w:ascii="Times New Roman"/>
                <w:sz w:val="20"/>
              </w:rPr>
            </w:pPr>
          </w:p>
        </w:tc>
        <w:tc>
          <w:tcPr>
            <w:tcW w:w="2557" w:type="dxa"/>
          </w:tcPr>
          <w:p>
            <w:pPr>
              <w:pStyle w:val="47"/>
              <w:rPr>
                <w:rFonts w:ascii="Times New Roman"/>
                <w:sz w:val="20"/>
              </w:rPr>
            </w:pPr>
          </w:p>
        </w:tc>
        <w:tc>
          <w:tcPr>
            <w:tcW w:w="3104" w:type="dxa"/>
          </w:tcPr>
          <w:p>
            <w:pPr>
              <w:pStyle w:val="4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730" w:type="dxa"/>
          </w:tcPr>
          <w:p>
            <w:pPr>
              <w:pStyle w:val="47"/>
              <w:rPr>
                <w:rFonts w:ascii="Times New Roman"/>
                <w:sz w:val="20"/>
              </w:rPr>
            </w:pPr>
          </w:p>
        </w:tc>
        <w:tc>
          <w:tcPr>
            <w:tcW w:w="3106" w:type="dxa"/>
          </w:tcPr>
          <w:p>
            <w:pPr>
              <w:pStyle w:val="47"/>
              <w:rPr>
                <w:rFonts w:ascii="Times New Roman"/>
                <w:sz w:val="20"/>
              </w:rPr>
            </w:pPr>
          </w:p>
        </w:tc>
        <w:tc>
          <w:tcPr>
            <w:tcW w:w="2557" w:type="dxa"/>
          </w:tcPr>
          <w:p>
            <w:pPr>
              <w:pStyle w:val="47"/>
              <w:rPr>
                <w:rFonts w:ascii="Times New Roman"/>
                <w:sz w:val="20"/>
              </w:rPr>
            </w:pPr>
          </w:p>
        </w:tc>
        <w:tc>
          <w:tcPr>
            <w:tcW w:w="3104" w:type="dxa"/>
          </w:tcPr>
          <w:p>
            <w:pPr>
              <w:pStyle w:val="4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atLeast"/>
        </w:trPr>
        <w:tc>
          <w:tcPr>
            <w:tcW w:w="730" w:type="dxa"/>
          </w:tcPr>
          <w:p>
            <w:pPr>
              <w:pStyle w:val="47"/>
              <w:rPr>
                <w:rFonts w:ascii="Times New Roman"/>
                <w:sz w:val="20"/>
              </w:rPr>
            </w:pPr>
          </w:p>
        </w:tc>
        <w:tc>
          <w:tcPr>
            <w:tcW w:w="3106" w:type="dxa"/>
          </w:tcPr>
          <w:p>
            <w:pPr>
              <w:pStyle w:val="47"/>
              <w:rPr>
                <w:rFonts w:ascii="Times New Roman"/>
                <w:sz w:val="20"/>
              </w:rPr>
            </w:pPr>
          </w:p>
        </w:tc>
        <w:tc>
          <w:tcPr>
            <w:tcW w:w="2557" w:type="dxa"/>
          </w:tcPr>
          <w:p>
            <w:pPr>
              <w:pStyle w:val="47"/>
              <w:rPr>
                <w:rFonts w:ascii="Times New Roman"/>
                <w:sz w:val="20"/>
              </w:rPr>
            </w:pPr>
          </w:p>
        </w:tc>
        <w:tc>
          <w:tcPr>
            <w:tcW w:w="3104" w:type="dxa"/>
          </w:tcPr>
          <w:p>
            <w:pPr>
              <w:pStyle w:val="4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730" w:type="dxa"/>
          </w:tcPr>
          <w:p>
            <w:pPr>
              <w:pStyle w:val="47"/>
              <w:rPr>
                <w:rFonts w:ascii="Times New Roman"/>
                <w:sz w:val="20"/>
              </w:rPr>
            </w:pPr>
          </w:p>
        </w:tc>
        <w:tc>
          <w:tcPr>
            <w:tcW w:w="3106" w:type="dxa"/>
          </w:tcPr>
          <w:p>
            <w:pPr>
              <w:pStyle w:val="47"/>
              <w:rPr>
                <w:rFonts w:ascii="Times New Roman"/>
                <w:sz w:val="20"/>
              </w:rPr>
            </w:pPr>
          </w:p>
        </w:tc>
        <w:tc>
          <w:tcPr>
            <w:tcW w:w="2557" w:type="dxa"/>
          </w:tcPr>
          <w:p>
            <w:pPr>
              <w:pStyle w:val="47"/>
              <w:rPr>
                <w:rFonts w:ascii="Times New Roman"/>
                <w:sz w:val="20"/>
              </w:rPr>
            </w:pPr>
          </w:p>
        </w:tc>
        <w:tc>
          <w:tcPr>
            <w:tcW w:w="3104" w:type="dxa"/>
          </w:tcPr>
          <w:p>
            <w:pPr>
              <w:pStyle w:val="4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atLeast"/>
        </w:trPr>
        <w:tc>
          <w:tcPr>
            <w:tcW w:w="730" w:type="dxa"/>
          </w:tcPr>
          <w:p>
            <w:pPr>
              <w:pStyle w:val="47"/>
              <w:rPr>
                <w:rFonts w:ascii="Times New Roman"/>
                <w:sz w:val="20"/>
              </w:rPr>
            </w:pPr>
          </w:p>
        </w:tc>
        <w:tc>
          <w:tcPr>
            <w:tcW w:w="3106" w:type="dxa"/>
          </w:tcPr>
          <w:p>
            <w:pPr>
              <w:pStyle w:val="47"/>
              <w:rPr>
                <w:rFonts w:ascii="Times New Roman"/>
                <w:sz w:val="20"/>
              </w:rPr>
            </w:pPr>
          </w:p>
        </w:tc>
        <w:tc>
          <w:tcPr>
            <w:tcW w:w="2557" w:type="dxa"/>
          </w:tcPr>
          <w:p>
            <w:pPr>
              <w:pStyle w:val="47"/>
              <w:rPr>
                <w:rFonts w:ascii="Times New Roman"/>
                <w:sz w:val="20"/>
              </w:rPr>
            </w:pPr>
          </w:p>
        </w:tc>
        <w:tc>
          <w:tcPr>
            <w:tcW w:w="3104" w:type="dxa"/>
          </w:tcPr>
          <w:p>
            <w:pPr>
              <w:pStyle w:val="4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730" w:type="dxa"/>
          </w:tcPr>
          <w:p>
            <w:pPr>
              <w:pStyle w:val="47"/>
              <w:rPr>
                <w:rFonts w:ascii="Times New Roman"/>
                <w:sz w:val="20"/>
              </w:rPr>
            </w:pPr>
          </w:p>
        </w:tc>
        <w:tc>
          <w:tcPr>
            <w:tcW w:w="3106" w:type="dxa"/>
          </w:tcPr>
          <w:p>
            <w:pPr>
              <w:pStyle w:val="47"/>
              <w:rPr>
                <w:rFonts w:ascii="Times New Roman"/>
                <w:sz w:val="20"/>
              </w:rPr>
            </w:pPr>
          </w:p>
        </w:tc>
        <w:tc>
          <w:tcPr>
            <w:tcW w:w="2557" w:type="dxa"/>
          </w:tcPr>
          <w:p>
            <w:pPr>
              <w:pStyle w:val="47"/>
              <w:rPr>
                <w:rFonts w:ascii="Times New Roman"/>
                <w:sz w:val="20"/>
              </w:rPr>
            </w:pPr>
          </w:p>
        </w:tc>
        <w:tc>
          <w:tcPr>
            <w:tcW w:w="3104" w:type="dxa"/>
          </w:tcPr>
          <w:p>
            <w:pPr>
              <w:pStyle w:val="4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730" w:type="dxa"/>
          </w:tcPr>
          <w:p>
            <w:pPr>
              <w:pStyle w:val="47"/>
              <w:rPr>
                <w:rFonts w:ascii="Times New Roman"/>
                <w:sz w:val="20"/>
              </w:rPr>
            </w:pPr>
          </w:p>
        </w:tc>
        <w:tc>
          <w:tcPr>
            <w:tcW w:w="3106" w:type="dxa"/>
          </w:tcPr>
          <w:p>
            <w:pPr>
              <w:pStyle w:val="47"/>
              <w:rPr>
                <w:rFonts w:ascii="Times New Roman"/>
                <w:sz w:val="20"/>
              </w:rPr>
            </w:pPr>
          </w:p>
        </w:tc>
        <w:tc>
          <w:tcPr>
            <w:tcW w:w="2557" w:type="dxa"/>
          </w:tcPr>
          <w:p>
            <w:pPr>
              <w:pStyle w:val="47"/>
              <w:rPr>
                <w:rFonts w:ascii="Times New Roman"/>
                <w:sz w:val="20"/>
              </w:rPr>
            </w:pPr>
          </w:p>
        </w:tc>
        <w:tc>
          <w:tcPr>
            <w:tcW w:w="3104" w:type="dxa"/>
          </w:tcPr>
          <w:p>
            <w:pPr>
              <w:pStyle w:val="4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hRule="atLeast"/>
        </w:trPr>
        <w:tc>
          <w:tcPr>
            <w:tcW w:w="730" w:type="dxa"/>
          </w:tcPr>
          <w:p>
            <w:pPr>
              <w:pStyle w:val="47"/>
              <w:rPr>
                <w:rFonts w:ascii="Times New Roman"/>
                <w:sz w:val="20"/>
              </w:rPr>
            </w:pPr>
          </w:p>
        </w:tc>
        <w:tc>
          <w:tcPr>
            <w:tcW w:w="3106" w:type="dxa"/>
          </w:tcPr>
          <w:p>
            <w:pPr>
              <w:pStyle w:val="47"/>
              <w:rPr>
                <w:rFonts w:ascii="Times New Roman"/>
                <w:sz w:val="20"/>
              </w:rPr>
            </w:pPr>
          </w:p>
        </w:tc>
        <w:tc>
          <w:tcPr>
            <w:tcW w:w="2557" w:type="dxa"/>
          </w:tcPr>
          <w:p>
            <w:pPr>
              <w:pStyle w:val="47"/>
              <w:rPr>
                <w:rFonts w:ascii="Times New Roman"/>
                <w:sz w:val="20"/>
              </w:rPr>
            </w:pPr>
          </w:p>
        </w:tc>
        <w:tc>
          <w:tcPr>
            <w:tcW w:w="3104" w:type="dxa"/>
          </w:tcPr>
          <w:p>
            <w:pPr>
              <w:pStyle w:val="47"/>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7" w:hRule="atLeast"/>
        </w:trPr>
        <w:tc>
          <w:tcPr>
            <w:tcW w:w="730" w:type="dxa"/>
          </w:tcPr>
          <w:p>
            <w:pPr>
              <w:pStyle w:val="47"/>
              <w:rPr>
                <w:rFonts w:ascii="Times New Roman"/>
                <w:sz w:val="20"/>
              </w:rPr>
            </w:pPr>
          </w:p>
        </w:tc>
        <w:tc>
          <w:tcPr>
            <w:tcW w:w="3106" w:type="dxa"/>
          </w:tcPr>
          <w:p>
            <w:pPr>
              <w:pStyle w:val="47"/>
              <w:rPr>
                <w:rFonts w:ascii="Times New Roman"/>
                <w:sz w:val="20"/>
              </w:rPr>
            </w:pPr>
          </w:p>
        </w:tc>
        <w:tc>
          <w:tcPr>
            <w:tcW w:w="2557" w:type="dxa"/>
          </w:tcPr>
          <w:p>
            <w:pPr>
              <w:pStyle w:val="47"/>
              <w:rPr>
                <w:rFonts w:ascii="Times New Roman"/>
                <w:sz w:val="20"/>
              </w:rPr>
            </w:pPr>
          </w:p>
        </w:tc>
        <w:tc>
          <w:tcPr>
            <w:tcW w:w="3104" w:type="dxa"/>
          </w:tcPr>
          <w:p>
            <w:pPr>
              <w:pStyle w:val="47"/>
              <w:rPr>
                <w:rFonts w:ascii="Times New Roman"/>
                <w:sz w:val="20"/>
              </w:rPr>
            </w:pPr>
          </w:p>
        </w:tc>
      </w:tr>
    </w:tbl>
    <w:p>
      <w:pPr>
        <w:pStyle w:val="2"/>
        <w:rPr>
          <w:sz w:val="20"/>
        </w:rPr>
      </w:pPr>
    </w:p>
    <w:p>
      <w:pPr>
        <w:pStyle w:val="2"/>
        <w:spacing w:before="8"/>
        <w:rPr>
          <w:sz w:val="22"/>
        </w:rPr>
      </w:pPr>
    </w:p>
    <w:p>
      <w:pPr>
        <w:pStyle w:val="2"/>
        <w:ind w:left="651"/>
        <w:jc w:val="both"/>
      </w:pPr>
      <w:r>
        <w:t>采购人（签字/日期）：</w:t>
      </w:r>
    </w:p>
    <w:p>
      <w:pPr>
        <w:outlineLvl w:val="9"/>
        <w:rPr>
          <w:rFonts w:hint="eastAsia"/>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bookmarkEnd w:id="46"/>
    <w:p>
      <w:pPr>
        <w:rPr>
          <w:rFonts w:hint="eastAsia"/>
        </w:rPr>
      </w:pPr>
    </w:p>
    <w:p>
      <w:pP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br w:type="page"/>
      </w:r>
    </w:p>
    <w:p>
      <w:pPr>
        <w:adjustRightInd w:val="0"/>
        <w:snapToGrid w:val="0"/>
        <w:spacing w:before="120" w:beforeLines="50" w:line="360" w:lineRule="auto"/>
        <w:jc w:val="center"/>
        <w:outlineLvl w:val="0"/>
        <w:rPr>
          <w:rFonts w:hint="eastAsia" w:asciiTheme="majorEastAsia" w:hAnsiTheme="majorEastAsia" w:eastAsiaTheme="majorEastAsia" w:cstheme="majorEastAsia"/>
          <w:b/>
          <w:bCs/>
          <w:color w:val="auto"/>
          <w:sz w:val="32"/>
          <w:szCs w:val="32"/>
        </w:rPr>
      </w:pPr>
      <w:bookmarkStart w:id="47" w:name="_Toc26729"/>
      <w:r>
        <w:rPr>
          <w:rFonts w:hint="eastAsia" w:asciiTheme="majorEastAsia" w:hAnsiTheme="majorEastAsia" w:eastAsiaTheme="majorEastAsia" w:cstheme="majorEastAsia"/>
          <w:b/>
          <w:bCs/>
          <w:color w:val="auto"/>
          <w:sz w:val="32"/>
          <w:szCs w:val="32"/>
        </w:rPr>
        <w:t>第</w:t>
      </w:r>
      <w:r>
        <w:rPr>
          <w:rFonts w:hint="eastAsia" w:asciiTheme="majorEastAsia" w:hAnsiTheme="majorEastAsia" w:eastAsiaTheme="majorEastAsia" w:cstheme="majorEastAsia"/>
          <w:b/>
          <w:bCs/>
          <w:color w:val="auto"/>
          <w:sz w:val="32"/>
          <w:szCs w:val="32"/>
          <w:lang w:eastAsia="zh-CN"/>
        </w:rPr>
        <w:t>四</w:t>
      </w:r>
      <w:r>
        <w:rPr>
          <w:rFonts w:hint="eastAsia" w:asciiTheme="majorEastAsia" w:hAnsiTheme="majorEastAsia" w:eastAsiaTheme="majorEastAsia" w:cstheme="majorEastAsia"/>
          <w:b/>
          <w:bCs/>
          <w:color w:val="auto"/>
          <w:sz w:val="32"/>
          <w:szCs w:val="32"/>
        </w:rPr>
        <w:t>章 评审办法及标准</w:t>
      </w:r>
      <w:bookmarkEnd w:id="47"/>
    </w:p>
    <w:p>
      <w:pPr>
        <w:adjustRightInd w:val="0"/>
        <w:snapToGrid w:val="0"/>
        <w:spacing w:before="120" w:beforeLines="50" w:line="360" w:lineRule="auto"/>
        <w:outlineLvl w:val="1"/>
        <w:rPr>
          <w:rFonts w:hint="eastAsia" w:asciiTheme="majorEastAsia" w:hAnsiTheme="majorEastAsia" w:eastAsiaTheme="majorEastAsia" w:cstheme="majorEastAsia"/>
          <w:b/>
          <w:color w:val="auto"/>
          <w:szCs w:val="21"/>
        </w:rPr>
      </w:pPr>
      <w:bookmarkStart w:id="48" w:name="_Toc4054"/>
      <w:r>
        <w:rPr>
          <w:rFonts w:hint="eastAsia" w:asciiTheme="majorEastAsia" w:hAnsiTheme="majorEastAsia" w:eastAsiaTheme="majorEastAsia" w:cstheme="majorEastAsia"/>
          <w:b/>
          <w:color w:val="auto"/>
          <w:szCs w:val="21"/>
        </w:rPr>
        <w:t>1.磋商小组</w:t>
      </w:r>
      <w:bookmarkEnd w:id="48"/>
    </w:p>
    <w:p>
      <w:pPr>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1.1评审由依法组成的磋商小组负责。</w:t>
      </w:r>
    </w:p>
    <w:p>
      <w:pPr>
        <w:adjustRightInd w:val="0"/>
        <w:snapToGrid w:val="0"/>
        <w:spacing w:before="120" w:beforeLines="50" w:line="360" w:lineRule="auto"/>
        <w:outlineLvl w:val="1"/>
        <w:rPr>
          <w:rFonts w:hint="eastAsia" w:asciiTheme="majorEastAsia" w:hAnsiTheme="majorEastAsia" w:eastAsiaTheme="majorEastAsia" w:cstheme="majorEastAsia"/>
          <w:b/>
          <w:color w:val="auto"/>
          <w:szCs w:val="21"/>
        </w:rPr>
      </w:pPr>
      <w:bookmarkStart w:id="49" w:name="_Toc24851"/>
      <w:r>
        <w:rPr>
          <w:rFonts w:hint="eastAsia" w:asciiTheme="majorEastAsia" w:hAnsiTheme="majorEastAsia" w:eastAsiaTheme="majorEastAsia" w:cstheme="majorEastAsia"/>
          <w:b/>
          <w:bCs/>
          <w:color w:val="auto"/>
          <w:szCs w:val="21"/>
        </w:rPr>
        <w:t>2.</w:t>
      </w:r>
      <w:r>
        <w:rPr>
          <w:rFonts w:hint="eastAsia" w:asciiTheme="majorEastAsia" w:hAnsiTheme="majorEastAsia" w:eastAsiaTheme="majorEastAsia" w:cstheme="majorEastAsia"/>
          <w:b/>
          <w:color w:val="auto"/>
          <w:szCs w:val="21"/>
        </w:rPr>
        <w:t>评审方法</w:t>
      </w:r>
      <w:bookmarkEnd w:id="49"/>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2.1评审方法：综合评分法，即响应文件能够最大限度的满足磋商文件规定的各项综合评价标准且经评审得分最高的供应商为成交供应商的评标方法。</w:t>
      </w:r>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2.2本采购项目</w:t>
      </w:r>
      <w:r>
        <w:rPr>
          <w:rFonts w:hint="eastAsia" w:asciiTheme="majorEastAsia" w:hAnsiTheme="majorEastAsia" w:eastAsiaTheme="majorEastAsia" w:cstheme="majorEastAsia"/>
          <w:color w:val="auto"/>
          <w:szCs w:val="21"/>
        </w:rPr>
        <w:t>的评审因素和标准见</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b/>
          <w:color w:val="auto"/>
          <w:szCs w:val="21"/>
        </w:rPr>
        <w:t>，</w:t>
      </w:r>
      <w:r>
        <w:rPr>
          <w:rFonts w:hint="eastAsia" w:asciiTheme="majorEastAsia" w:hAnsiTheme="majorEastAsia" w:eastAsiaTheme="majorEastAsia" w:cstheme="majorEastAsia"/>
          <w:color w:val="auto"/>
          <w:szCs w:val="21"/>
        </w:rPr>
        <w:t>不得对响应文件优于磋商文件要求的评审因素给予加分。</w:t>
      </w:r>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评审因素：价格、技术、服务、对磋商文件的响应程度，以及相应的比重或者权值等，但不包括第二章“磋商须知”第3.1</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color w:val="auto"/>
          <w:szCs w:val="21"/>
        </w:rPr>
        <w:t>规定的供应商资格条件。</w:t>
      </w:r>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2.3</w:t>
      </w:r>
      <w:r>
        <w:rPr>
          <w:rFonts w:hint="eastAsia" w:asciiTheme="majorEastAsia" w:hAnsiTheme="majorEastAsia" w:eastAsiaTheme="majorEastAsia" w:cstheme="majorEastAsia"/>
          <w:color w:val="auto"/>
          <w:szCs w:val="21"/>
        </w:rPr>
        <w:t>权值的取值范围见下表，本采购项目的权值见</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b/>
          <w:color w:val="auto"/>
          <w:szCs w:val="21"/>
        </w:rPr>
        <w:t>。</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816"/>
        <w:gridCol w:w="42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序号</w:t>
            </w:r>
          </w:p>
        </w:tc>
        <w:tc>
          <w:tcPr>
            <w:tcW w:w="3816" w:type="dxa"/>
            <w:tcBorders>
              <w:bottom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项     目</w:t>
            </w:r>
          </w:p>
        </w:tc>
        <w:tc>
          <w:tcPr>
            <w:tcW w:w="4284" w:type="dxa"/>
            <w:tcBorders>
              <w:bottom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权值的取值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0" w:type="dxa"/>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w:t>
            </w:r>
          </w:p>
        </w:tc>
        <w:tc>
          <w:tcPr>
            <w:tcW w:w="3816" w:type="dxa"/>
            <w:tcBorders>
              <w:bottom w:val="single" w:color="auto" w:sz="4" w:space="0"/>
            </w:tcBorders>
            <w:noWrap w:val="0"/>
            <w:vAlign w:val="center"/>
          </w:tcPr>
          <w:p>
            <w:pPr>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eastAsia="zh-CN"/>
              </w:rPr>
              <w:t>报价</w:t>
            </w:r>
          </w:p>
        </w:tc>
        <w:tc>
          <w:tcPr>
            <w:tcW w:w="4284" w:type="dxa"/>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宋体" w:hAnsi="宋体" w:eastAsiaTheme="majorEastAsia"/>
                <w:color w:val="auto"/>
                <w:szCs w:val="21"/>
                <w:highlight w:val="none"/>
                <w:lang w:val="en-US" w:eastAsia="zh-CN"/>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720" w:type="dxa"/>
            <w:tcBorders>
              <w:bottom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w:t>
            </w:r>
          </w:p>
        </w:tc>
        <w:tc>
          <w:tcPr>
            <w:tcW w:w="3816" w:type="dxa"/>
            <w:tcBorders>
              <w:bottom w:val="single" w:color="auto" w:sz="4" w:space="0"/>
            </w:tcBorders>
            <w:noWrap w:val="0"/>
            <w:vAlign w:val="center"/>
          </w:tcPr>
          <w:p>
            <w:pPr>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rPr>
              <w:t>技术部分</w:t>
            </w:r>
          </w:p>
        </w:tc>
        <w:tc>
          <w:tcPr>
            <w:tcW w:w="4284" w:type="dxa"/>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trPr>
        <w:tc>
          <w:tcPr>
            <w:tcW w:w="720" w:type="dxa"/>
            <w:tcBorders>
              <w:top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w:t>
            </w:r>
          </w:p>
        </w:tc>
        <w:tc>
          <w:tcPr>
            <w:tcW w:w="3816" w:type="dxa"/>
            <w:tcBorders>
              <w:top w:val="single" w:color="auto" w:sz="4" w:space="0"/>
            </w:tcBorders>
            <w:noWrap w:val="0"/>
            <w:vAlign w:val="center"/>
          </w:tcPr>
          <w:p>
            <w:pPr>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eastAsia="zh-CN"/>
              </w:rPr>
              <w:t>商务部分</w:t>
            </w:r>
          </w:p>
        </w:tc>
        <w:tc>
          <w:tcPr>
            <w:tcW w:w="4284" w:type="dxa"/>
            <w:tcBorders>
              <w:bottom w:val="single" w:color="auto" w:sz="4" w:space="0"/>
            </w:tcBorders>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0.14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4536" w:type="dxa"/>
            <w:gridSpan w:val="2"/>
            <w:noWrap w:val="0"/>
            <w:vAlign w:val="top"/>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∑(1+2+3)=1</w:t>
            </w:r>
          </w:p>
        </w:tc>
        <w:tc>
          <w:tcPr>
            <w:tcW w:w="4284" w:type="dxa"/>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r>
    </w:tbl>
    <w:p>
      <w:pPr>
        <w:tabs>
          <w:tab w:val="left" w:pos="0"/>
        </w:tabs>
        <w:adjustRightInd w:val="0"/>
        <w:snapToGrid w:val="0"/>
        <w:spacing w:before="120" w:beforeLines="50" w:line="360" w:lineRule="auto"/>
        <w:outlineLvl w:val="1"/>
        <w:rPr>
          <w:rFonts w:hint="eastAsia" w:asciiTheme="majorEastAsia" w:hAnsiTheme="majorEastAsia" w:eastAsiaTheme="majorEastAsia" w:cstheme="majorEastAsia"/>
          <w:b/>
          <w:bCs/>
          <w:color w:val="auto"/>
          <w:szCs w:val="21"/>
        </w:rPr>
      </w:pPr>
      <w:bookmarkStart w:id="50" w:name="_Toc19968"/>
      <w:r>
        <w:rPr>
          <w:rFonts w:hint="eastAsia" w:asciiTheme="majorEastAsia" w:hAnsiTheme="majorEastAsia" w:eastAsiaTheme="majorEastAsia" w:cstheme="majorEastAsia"/>
          <w:b/>
          <w:bCs/>
          <w:color w:val="auto"/>
          <w:szCs w:val="21"/>
        </w:rPr>
        <w:t>3.比较与评价</w:t>
      </w:r>
      <w:bookmarkEnd w:id="50"/>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3.1磋商小组应按照磋商文件中规定的评审方法、</w:t>
      </w:r>
      <w:r>
        <w:rPr>
          <w:rFonts w:hint="eastAsia" w:asciiTheme="majorEastAsia" w:hAnsiTheme="majorEastAsia" w:eastAsiaTheme="majorEastAsia" w:cstheme="majorEastAsia"/>
          <w:color w:val="auto"/>
          <w:szCs w:val="21"/>
        </w:rPr>
        <w:t>标准和评标因素，</w:t>
      </w:r>
      <w:r>
        <w:rPr>
          <w:rFonts w:hint="eastAsia" w:asciiTheme="majorEastAsia" w:hAnsiTheme="majorEastAsia" w:eastAsiaTheme="majorEastAsia" w:cstheme="majorEastAsia"/>
          <w:bCs/>
          <w:color w:val="auto"/>
          <w:szCs w:val="21"/>
        </w:rPr>
        <w:t>对</w:t>
      </w:r>
      <w:r>
        <w:rPr>
          <w:rFonts w:hint="eastAsia" w:asciiTheme="majorEastAsia" w:hAnsiTheme="majorEastAsia" w:eastAsiaTheme="majorEastAsia" w:cstheme="majorEastAsia"/>
          <w:color w:val="auto"/>
          <w:szCs w:val="21"/>
        </w:rPr>
        <w:t>资格性检查和符合性检查</w:t>
      </w:r>
      <w:r>
        <w:rPr>
          <w:rFonts w:hint="eastAsia" w:asciiTheme="majorEastAsia" w:hAnsiTheme="majorEastAsia" w:eastAsiaTheme="majorEastAsia" w:cstheme="majorEastAsia"/>
          <w:bCs/>
          <w:color w:val="auto"/>
          <w:szCs w:val="21"/>
        </w:rPr>
        <w:t>合格的响应文件进行评估，综合比较与评价。</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3.2最终</w:t>
      </w:r>
      <w:r>
        <w:rPr>
          <w:rFonts w:hint="eastAsia" w:asciiTheme="majorEastAsia" w:hAnsiTheme="majorEastAsia" w:eastAsiaTheme="majorEastAsia" w:cstheme="majorEastAsia"/>
          <w:color w:val="auto"/>
          <w:szCs w:val="21"/>
        </w:rPr>
        <w:t>报价评价。磋商小组以最终报价为基础，</w:t>
      </w:r>
      <w:r>
        <w:rPr>
          <w:rFonts w:hint="eastAsia" w:asciiTheme="majorEastAsia" w:hAnsiTheme="majorEastAsia" w:eastAsiaTheme="majorEastAsia" w:cstheme="majorEastAsia"/>
          <w:color w:val="auto"/>
          <w:kern w:val="0"/>
          <w:szCs w:val="21"/>
        </w:rPr>
        <w:t>依次</w:t>
      </w:r>
      <w:r>
        <w:rPr>
          <w:rFonts w:hint="eastAsia" w:asciiTheme="majorEastAsia" w:hAnsiTheme="majorEastAsia" w:eastAsiaTheme="majorEastAsia" w:cstheme="majorEastAsia"/>
          <w:color w:val="auto"/>
          <w:szCs w:val="21"/>
        </w:rPr>
        <w:t>对最终报价进行</w:t>
      </w:r>
      <w:r>
        <w:rPr>
          <w:rFonts w:hint="eastAsia" w:asciiTheme="majorEastAsia" w:hAnsiTheme="majorEastAsia" w:eastAsiaTheme="majorEastAsia" w:cstheme="majorEastAsia"/>
          <w:color w:val="auto"/>
          <w:kern w:val="0"/>
          <w:szCs w:val="21"/>
        </w:rPr>
        <w:t>算术</w:t>
      </w:r>
      <w:r>
        <w:rPr>
          <w:rFonts w:hint="eastAsia" w:asciiTheme="majorEastAsia" w:hAnsiTheme="majorEastAsia" w:eastAsiaTheme="majorEastAsia" w:cstheme="majorEastAsia"/>
          <w:color w:val="auto"/>
          <w:szCs w:val="21"/>
        </w:rPr>
        <w:t>修正和政府采购政策优惠价格扣除计算。</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bCs/>
          <w:color w:val="auto"/>
          <w:szCs w:val="21"/>
        </w:rPr>
        <w:t>3.3</w:t>
      </w:r>
      <w:r>
        <w:rPr>
          <w:rFonts w:hint="eastAsia" w:asciiTheme="majorEastAsia" w:hAnsiTheme="majorEastAsia" w:eastAsiaTheme="majorEastAsia" w:cstheme="majorEastAsia"/>
          <w:color w:val="auto"/>
          <w:kern w:val="0"/>
          <w:szCs w:val="21"/>
        </w:rPr>
        <w:t>价格分采用低价优先法计算，即满足磋商文件要求且最终报价最低的价格为评审基准价，其价格分为满分，其他</w:t>
      </w:r>
      <w:r>
        <w:rPr>
          <w:rFonts w:hint="eastAsia" w:asciiTheme="majorEastAsia" w:hAnsiTheme="majorEastAsia" w:eastAsiaTheme="majorEastAsia" w:cstheme="majorEastAsia"/>
          <w:color w:val="auto"/>
          <w:szCs w:val="21"/>
        </w:rPr>
        <w:t>有效</w:t>
      </w:r>
      <w:r>
        <w:rPr>
          <w:rFonts w:hint="eastAsia" w:asciiTheme="majorEastAsia" w:hAnsiTheme="majorEastAsia" w:eastAsiaTheme="majorEastAsia" w:cstheme="majorEastAsia"/>
          <w:color w:val="auto"/>
          <w:kern w:val="0"/>
          <w:szCs w:val="21"/>
        </w:rPr>
        <w:t>供应商的价格分按照下列公式计算：</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最终报价得分=(评审基准价／最终报价)×价格权值×100</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Cs w:val="21"/>
        </w:rPr>
        <w:t>本项所称最终报价为按</w:t>
      </w:r>
      <w:r>
        <w:rPr>
          <w:rFonts w:hint="eastAsia" w:asciiTheme="majorEastAsia" w:hAnsiTheme="majorEastAsia" w:eastAsiaTheme="majorEastAsia" w:cstheme="majorEastAsia"/>
          <w:bCs/>
          <w:color w:val="auto"/>
          <w:szCs w:val="21"/>
        </w:rPr>
        <w:t>本章第3.2</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价值扣除后的最终报价。</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3.4</w:t>
      </w:r>
      <w:r>
        <w:rPr>
          <w:rFonts w:hint="eastAsia" w:asciiTheme="majorEastAsia" w:hAnsiTheme="majorEastAsia" w:eastAsiaTheme="majorEastAsia" w:cstheme="majorEastAsia"/>
          <w:color w:val="auto"/>
          <w:szCs w:val="21"/>
        </w:rPr>
        <w:t>涉及政府采购政策优惠的，</w:t>
      </w:r>
      <w:r>
        <w:rPr>
          <w:rFonts w:hint="eastAsia" w:asciiTheme="majorEastAsia" w:hAnsiTheme="majorEastAsia" w:eastAsiaTheme="majorEastAsia" w:cstheme="majorEastAsia"/>
          <w:bCs/>
          <w:color w:val="auto"/>
          <w:szCs w:val="21"/>
        </w:rPr>
        <w:t>按</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调整供应商的技术、价格</w:t>
      </w:r>
      <w:r>
        <w:rPr>
          <w:rFonts w:hint="eastAsia" w:asciiTheme="majorEastAsia" w:hAnsiTheme="majorEastAsia" w:eastAsiaTheme="majorEastAsia" w:cstheme="majorEastAsia"/>
          <w:color w:val="auto"/>
          <w:kern w:val="0"/>
          <w:szCs w:val="21"/>
        </w:rPr>
        <w:t>得分或总得分</w:t>
      </w:r>
      <w:r>
        <w:rPr>
          <w:rFonts w:hint="eastAsia" w:asciiTheme="majorEastAsia" w:hAnsiTheme="majorEastAsia" w:eastAsiaTheme="majorEastAsia" w:cstheme="majorEastAsia"/>
          <w:color w:val="auto"/>
          <w:szCs w:val="21"/>
        </w:rPr>
        <w:t>。</w:t>
      </w:r>
    </w:p>
    <w:p>
      <w:pPr>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3.5涉及多处获得政府采购政策优惠的，涉及调整得分的，</w:t>
      </w:r>
      <w:r>
        <w:rPr>
          <w:rFonts w:hint="eastAsia" w:asciiTheme="majorEastAsia" w:hAnsiTheme="majorEastAsia" w:eastAsiaTheme="majorEastAsia" w:cstheme="majorEastAsia"/>
          <w:color w:val="auto"/>
          <w:kern w:val="0"/>
          <w:szCs w:val="21"/>
        </w:rPr>
        <w:t>按</w:t>
      </w:r>
      <w:r>
        <w:rPr>
          <w:rFonts w:hint="eastAsia" w:asciiTheme="majorEastAsia" w:hAnsiTheme="majorEastAsia" w:eastAsiaTheme="majorEastAsia" w:cstheme="majorEastAsia"/>
          <w:bCs/>
          <w:color w:val="auto"/>
          <w:szCs w:val="21"/>
        </w:rPr>
        <w:t>本章第3.4</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调整得分；涉及调整价格的，</w:t>
      </w:r>
      <w:r>
        <w:rPr>
          <w:rFonts w:hint="eastAsia" w:asciiTheme="majorEastAsia" w:hAnsiTheme="majorEastAsia" w:eastAsiaTheme="majorEastAsia" w:cstheme="majorEastAsia"/>
          <w:color w:val="auto"/>
          <w:kern w:val="0"/>
          <w:szCs w:val="21"/>
        </w:rPr>
        <w:t>按</w:t>
      </w:r>
      <w:r>
        <w:rPr>
          <w:rFonts w:hint="eastAsia" w:asciiTheme="majorEastAsia" w:hAnsiTheme="majorEastAsia" w:eastAsiaTheme="majorEastAsia" w:cstheme="majorEastAsia"/>
          <w:bCs/>
          <w:color w:val="auto"/>
          <w:szCs w:val="21"/>
        </w:rPr>
        <w:t>本章第3.2</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调整价格。综合调整见</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color w:val="auto"/>
          <w:szCs w:val="21"/>
        </w:rPr>
        <w:t>相关规定。</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Cs w:val="21"/>
        </w:rPr>
        <w:t>3.6</w:t>
      </w:r>
      <w:r>
        <w:rPr>
          <w:rFonts w:hint="eastAsia" w:asciiTheme="majorEastAsia" w:hAnsiTheme="majorEastAsia" w:eastAsiaTheme="majorEastAsia" w:cstheme="majorEastAsia"/>
          <w:color w:val="auto"/>
          <w:szCs w:val="21"/>
        </w:rPr>
        <w:t>评审时，磋商小组各成员应当独立对每个供应商的</w:t>
      </w:r>
      <w:r>
        <w:rPr>
          <w:rFonts w:hint="eastAsia" w:asciiTheme="majorEastAsia" w:hAnsiTheme="majorEastAsia" w:eastAsiaTheme="majorEastAsia" w:cstheme="majorEastAsia"/>
          <w:bCs/>
          <w:color w:val="auto"/>
          <w:szCs w:val="21"/>
        </w:rPr>
        <w:t>响应文件</w:t>
      </w:r>
      <w:r>
        <w:rPr>
          <w:rFonts w:hint="eastAsia" w:asciiTheme="majorEastAsia" w:hAnsiTheme="majorEastAsia" w:eastAsiaTheme="majorEastAsia" w:cstheme="majorEastAsia"/>
          <w:color w:val="auto"/>
          <w:szCs w:val="21"/>
        </w:rPr>
        <w:t>进行评价、评分，然后汇总每个供应商项评分因素的得分。</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3.7评分细则</w:t>
      </w:r>
    </w:p>
    <w:p>
      <w:pPr>
        <w:widowControl/>
        <w:adjustRightInd w:val="0"/>
        <w:snapToGrid w:val="0"/>
        <w:spacing w:before="120" w:beforeLines="50" w:line="360" w:lineRule="auto"/>
        <w:ind w:firstLine="422" w:firstLineChars="200"/>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评 分 细 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725"/>
        <w:gridCol w:w="1281"/>
        <w:gridCol w:w="594"/>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65"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725"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项目</w:t>
            </w:r>
          </w:p>
        </w:tc>
        <w:tc>
          <w:tcPr>
            <w:tcW w:w="1281"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计分内容</w:t>
            </w:r>
          </w:p>
        </w:tc>
        <w:tc>
          <w:tcPr>
            <w:tcW w:w="594"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分值</w:t>
            </w:r>
          </w:p>
        </w:tc>
        <w:tc>
          <w:tcPr>
            <w:tcW w:w="5995" w:type="dxa"/>
            <w:noWrap w:val="0"/>
            <w:vAlign w:val="center"/>
          </w:tcPr>
          <w:p>
            <w:pPr>
              <w:tabs>
                <w:tab w:val="left" w:pos="0"/>
              </w:tabs>
              <w:adjustRightInd w:val="0"/>
              <w:snapToGrid w:val="0"/>
              <w:spacing w:before="120" w:beforeLines="50" w:line="360" w:lineRule="auto"/>
              <w:ind w:firstLine="422" w:firstLineChars="20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465"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一</w:t>
            </w:r>
          </w:p>
        </w:tc>
        <w:tc>
          <w:tcPr>
            <w:tcW w:w="725" w:type="dxa"/>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ru-RU"/>
              </w:rPr>
            </w:pPr>
            <w:r>
              <w:rPr>
                <w:rFonts w:hint="eastAsia" w:ascii="宋体" w:hAnsi="宋体" w:eastAsia="宋体" w:cs="宋体"/>
                <w:bCs/>
                <w:color w:val="auto"/>
                <w:sz w:val="21"/>
                <w:szCs w:val="21"/>
                <w:lang w:val="ru-RU"/>
              </w:rPr>
              <w:t>报价</w:t>
            </w:r>
          </w:p>
          <w:p>
            <w:pPr>
              <w:tabs>
                <w:tab w:val="left" w:pos="0"/>
              </w:tabs>
              <w:adjustRightInd w:val="0"/>
              <w:snapToGrid w:val="0"/>
              <w:spacing w:before="120" w:beforeLines="50" w:line="240" w:lineRule="auto"/>
              <w:jc w:val="center"/>
              <w:rPr>
                <w:rFonts w:hint="eastAsia" w:ascii="宋体" w:hAnsi="宋体" w:eastAsia="宋体" w:cs="宋体"/>
                <w:bCs/>
                <w:color w:val="auto"/>
                <w:kern w:val="2"/>
                <w:sz w:val="21"/>
                <w:szCs w:val="21"/>
                <w:lang w:val="ru-RU" w:eastAsia="zh-CN" w:bidi="ar-SA"/>
              </w:rPr>
            </w:pPr>
            <w:r>
              <w:rPr>
                <w:rFonts w:hint="eastAsia" w:ascii="宋体" w:hAnsi="宋体" w:cs="宋体"/>
                <w:bCs/>
                <w:color w:val="auto"/>
                <w:sz w:val="21"/>
                <w:szCs w:val="21"/>
                <w:lang w:val="en-US" w:eastAsia="zh-CN"/>
              </w:rPr>
              <w:t>40</w:t>
            </w:r>
            <w:r>
              <w:rPr>
                <w:rFonts w:hint="eastAsia" w:ascii="宋体" w:hAnsi="宋体" w:eastAsia="宋体" w:cs="宋体"/>
                <w:bCs/>
                <w:color w:val="auto"/>
                <w:sz w:val="21"/>
                <w:szCs w:val="21"/>
                <w:lang w:val="ru-RU"/>
              </w:rPr>
              <w:t>分</w:t>
            </w: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kern w:val="2"/>
                <w:sz w:val="21"/>
                <w:szCs w:val="21"/>
                <w:lang w:val="ru-RU" w:eastAsia="zh-CN" w:bidi="ar-SA"/>
              </w:rPr>
            </w:pPr>
            <w:r>
              <w:rPr>
                <w:rFonts w:hint="eastAsia" w:ascii="宋体" w:hAnsi="宋体" w:eastAsia="宋体" w:cs="宋体"/>
                <w:bCs/>
                <w:color w:val="auto"/>
                <w:sz w:val="21"/>
                <w:szCs w:val="21"/>
                <w:lang w:val="ru-RU"/>
              </w:rPr>
              <w:t>投标总报价</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40</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投标报价得分＝(评标基准价／投标报价)×</w:t>
            </w:r>
            <w:r>
              <w:rPr>
                <w:rFonts w:hint="eastAsia" w:ascii="宋体" w:hAnsi="宋体" w:cs="宋体"/>
                <w:bCs/>
                <w:color w:val="auto"/>
                <w:sz w:val="21"/>
                <w:szCs w:val="21"/>
                <w:lang w:val="en-US" w:eastAsia="zh-CN"/>
              </w:rPr>
              <w:t>40</w:t>
            </w:r>
            <w:r>
              <w:rPr>
                <w:rFonts w:hint="eastAsia" w:ascii="宋体" w:hAnsi="宋体" w:eastAsia="宋体" w:cs="宋体"/>
                <w:bCs/>
                <w:color w:val="auto"/>
                <w:sz w:val="21"/>
                <w:szCs w:val="21"/>
              </w:rPr>
              <w:t>；满足采购文件要求且投标价格最低的投标总报价为基准价。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jc w:val="center"/>
        </w:trPr>
        <w:tc>
          <w:tcPr>
            <w:tcW w:w="465" w:type="dxa"/>
            <w:vMerge w:val="restart"/>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二</w:t>
            </w:r>
          </w:p>
        </w:tc>
        <w:tc>
          <w:tcPr>
            <w:tcW w:w="725" w:type="dxa"/>
            <w:vMerge w:val="restart"/>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技术</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部分</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46</w:t>
            </w:r>
            <w:r>
              <w:rPr>
                <w:rFonts w:hint="eastAsia" w:ascii="宋体" w:hAnsi="宋体" w:eastAsia="宋体" w:cs="宋体"/>
                <w:bCs/>
                <w:color w:val="auto"/>
                <w:sz w:val="21"/>
                <w:szCs w:val="21"/>
              </w:rPr>
              <w:t>分</w:t>
            </w:r>
          </w:p>
        </w:tc>
        <w:tc>
          <w:tcPr>
            <w:tcW w:w="1281" w:type="dxa"/>
            <w:noWrap w:val="0"/>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采购需求响应</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10</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highlight w:val="none"/>
              </w:rPr>
              <w:t>评标委员会将依据供应商的投标文件对采购需求进行评价，完全响应磋商文件要求的计10分，正偏离的不加分，无偏离的不扣分。非实质性要求条款每负偏离一项扣0.5分、方案阐述不详、服务技术要求不清、提供材料不齐的等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465" w:type="dxa"/>
            <w:vMerge w:val="continue"/>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en-US" w:eastAsia="zh-CN"/>
              </w:rPr>
            </w:pP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kern w:val="2"/>
                <w:sz w:val="21"/>
                <w:szCs w:val="21"/>
                <w:lang w:val="ru-RU" w:eastAsia="zh-CN" w:bidi="ar-SA"/>
              </w:rPr>
            </w:pPr>
            <w:r>
              <w:rPr>
                <w:rFonts w:hint="eastAsia" w:ascii="宋体" w:hAnsi="宋体" w:cs="宋体"/>
                <w:bCs/>
                <w:color w:val="auto"/>
                <w:sz w:val="21"/>
                <w:szCs w:val="21"/>
                <w:lang w:val="ru-RU" w:eastAsia="zh-CN"/>
              </w:rPr>
              <w:t>施工方案及</w:t>
            </w:r>
            <w:r>
              <w:rPr>
                <w:rFonts w:hint="eastAsia" w:ascii="宋体" w:hAnsi="宋体" w:eastAsia="宋体" w:cs="宋体"/>
                <w:bCs/>
                <w:color w:val="auto"/>
                <w:sz w:val="21"/>
                <w:szCs w:val="21"/>
                <w:lang w:val="ru-RU" w:eastAsia="zh-CN"/>
              </w:rPr>
              <w:t>技术措施</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8</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highlight w:val="none"/>
              </w:rPr>
              <w:t>根据供应商对本项目</w:t>
            </w:r>
            <w:r>
              <w:rPr>
                <w:rFonts w:hint="eastAsia" w:ascii="宋体" w:hAnsi="宋体" w:eastAsia="宋体" w:cs="宋体"/>
                <w:bCs/>
                <w:color w:val="auto"/>
                <w:sz w:val="21"/>
                <w:szCs w:val="21"/>
                <w:highlight w:val="none"/>
                <w:lang w:eastAsia="zh-CN"/>
              </w:rPr>
              <w:t>制定的</w:t>
            </w:r>
            <w:r>
              <w:rPr>
                <w:rFonts w:hint="eastAsia" w:ascii="宋体" w:hAnsi="宋体" w:cs="宋体"/>
                <w:bCs/>
                <w:szCs w:val="21"/>
              </w:rPr>
              <w:t>整体施工方案与</w:t>
            </w:r>
            <w:r>
              <w:rPr>
                <w:rFonts w:hint="eastAsia" w:ascii="宋体" w:hAnsi="宋体" w:cs="宋体"/>
                <w:bCs/>
                <w:szCs w:val="21"/>
                <w:lang w:val="ru-RU"/>
              </w:rPr>
              <w:t>技术措施方案</w:t>
            </w:r>
            <w:r>
              <w:rPr>
                <w:rFonts w:hint="eastAsia" w:ascii="宋体" w:hAnsi="宋体" w:eastAsia="宋体" w:cs="宋体"/>
                <w:bCs/>
                <w:color w:val="auto"/>
                <w:sz w:val="21"/>
                <w:szCs w:val="21"/>
                <w:highlight w:val="none"/>
              </w:rPr>
              <w:t>进行评价</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方案思路清晰、规划详细、</w:t>
            </w:r>
            <w:r>
              <w:rPr>
                <w:rFonts w:hint="eastAsia" w:ascii="宋体" w:hAnsi="宋体" w:cs="宋体"/>
                <w:bCs/>
                <w:color w:val="auto"/>
                <w:sz w:val="21"/>
                <w:szCs w:val="21"/>
                <w:highlight w:val="none"/>
                <w:lang w:eastAsia="zh-CN"/>
              </w:rPr>
              <w:t>切实可行</w:t>
            </w:r>
            <w:r>
              <w:rPr>
                <w:rFonts w:hint="eastAsia" w:ascii="宋体" w:hAnsi="宋体" w:eastAsia="宋体" w:cs="宋体"/>
                <w:bCs/>
                <w:color w:val="auto"/>
                <w:sz w:val="21"/>
                <w:szCs w:val="21"/>
                <w:highlight w:val="none"/>
              </w:rPr>
              <w:t>的</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方案思路</w:t>
            </w:r>
            <w:r>
              <w:rPr>
                <w:rFonts w:hint="eastAsia" w:ascii="宋体" w:hAnsi="宋体" w:cs="宋体"/>
                <w:bCs/>
                <w:color w:val="auto"/>
                <w:sz w:val="21"/>
                <w:szCs w:val="21"/>
                <w:highlight w:val="none"/>
                <w:lang w:eastAsia="zh-CN"/>
              </w:rPr>
              <w:t>较</w:t>
            </w:r>
            <w:r>
              <w:rPr>
                <w:rFonts w:hint="eastAsia" w:ascii="宋体" w:hAnsi="宋体" w:eastAsia="宋体" w:cs="宋体"/>
                <w:bCs/>
                <w:color w:val="auto"/>
                <w:sz w:val="21"/>
                <w:szCs w:val="21"/>
                <w:highlight w:val="none"/>
              </w:rPr>
              <w:t>清晰、规划</w:t>
            </w:r>
            <w:r>
              <w:rPr>
                <w:rFonts w:hint="eastAsia" w:ascii="宋体" w:hAnsi="宋体" w:cs="宋体"/>
                <w:bCs/>
                <w:color w:val="auto"/>
                <w:sz w:val="21"/>
                <w:szCs w:val="21"/>
                <w:highlight w:val="none"/>
                <w:lang w:eastAsia="zh-CN"/>
              </w:rPr>
              <w:t>较具体</w:t>
            </w:r>
            <w:r>
              <w:rPr>
                <w:rFonts w:hint="eastAsia" w:ascii="宋体" w:hAnsi="宋体" w:eastAsia="宋体" w:cs="宋体"/>
                <w:bCs/>
                <w:color w:val="auto"/>
                <w:sz w:val="21"/>
                <w:szCs w:val="21"/>
                <w:highlight w:val="none"/>
              </w:rPr>
              <w:t>、合理</w:t>
            </w:r>
            <w:r>
              <w:rPr>
                <w:rFonts w:hint="eastAsia" w:ascii="宋体" w:hAnsi="宋体" w:cs="宋体"/>
                <w:bCs/>
                <w:color w:val="auto"/>
                <w:sz w:val="21"/>
                <w:szCs w:val="21"/>
                <w:highlight w:val="none"/>
                <w:lang w:eastAsia="zh-CN"/>
              </w:rPr>
              <w:t>且可行</w:t>
            </w:r>
            <w:r>
              <w:rPr>
                <w:rFonts w:hint="eastAsia" w:ascii="宋体" w:hAnsi="宋体" w:eastAsia="宋体" w:cs="宋体"/>
                <w:bCs/>
                <w:color w:val="auto"/>
                <w:sz w:val="21"/>
                <w:szCs w:val="21"/>
                <w:highlight w:val="none"/>
              </w:rPr>
              <w:t>的</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分；方案基本完整，满足文件需求的计</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分；方案</w:t>
            </w:r>
            <w:r>
              <w:rPr>
                <w:rFonts w:hint="eastAsia" w:ascii="宋体" w:hAnsi="宋体" w:cs="宋体"/>
                <w:bCs/>
                <w:color w:val="auto"/>
                <w:sz w:val="21"/>
                <w:szCs w:val="21"/>
                <w:highlight w:val="none"/>
                <w:lang w:eastAsia="zh-CN"/>
              </w:rPr>
              <w:t>整体内容有欠缺、思路模糊不清晰</w:t>
            </w:r>
            <w:r>
              <w:rPr>
                <w:rFonts w:hint="eastAsia" w:ascii="宋体" w:hAnsi="宋体" w:eastAsia="宋体" w:cs="宋体"/>
                <w:bCs/>
                <w:color w:val="auto"/>
                <w:sz w:val="21"/>
                <w:szCs w:val="21"/>
                <w:highlight w:val="none"/>
              </w:rPr>
              <w:t>略</w:t>
            </w:r>
            <w:r>
              <w:rPr>
                <w:rFonts w:hint="eastAsia" w:ascii="宋体" w:hAnsi="宋体" w:cs="宋体"/>
                <w:bCs/>
                <w:color w:val="auto"/>
                <w:sz w:val="21"/>
                <w:szCs w:val="21"/>
                <w:highlight w:val="none"/>
                <w:lang w:eastAsia="zh-CN"/>
              </w:rPr>
              <w:t>、可行性较差的</w:t>
            </w:r>
            <w:r>
              <w:rPr>
                <w:rFonts w:hint="eastAsia" w:ascii="宋体" w:hAnsi="宋体" w:eastAsia="宋体" w:cs="宋体"/>
                <w:bCs/>
                <w:color w:val="auto"/>
                <w:sz w:val="21"/>
                <w:szCs w:val="21"/>
                <w:highlight w:val="none"/>
              </w:rPr>
              <w:t>计</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cs="宋体"/>
                <w:bCs/>
                <w:color w:val="auto"/>
                <w:sz w:val="21"/>
                <w:szCs w:val="21"/>
                <w:highlight w:val="none"/>
                <w:lang w:eastAsia="zh-CN"/>
              </w:rPr>
              <w:t>，未提供不计分</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施工进度计划及保证</w:t>
            </w:r>
          </w:p>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措施</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8</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eastAsia="zh-CN"/>
              </w:rPr>
              <w:t>根据</w:t>
            </w:r>
            <w:r>
              <w:rPr>
                <w:rFonts w:hint="eastAsia" w:ascii="宋体" w:hAnsi="宋体" w:eastAsia="宋体" w:cs="宋体"/>
                <w:bCs/>
                <w:color w:val="auto"/>
                <w:sz w:val="21"/>
                <w:szCs w:val="21"/>
                <w:highlight w:val="none"/>
              </w:rPr>
              <w:t>供应商</w:t>
            </w:r>
            <w:r>
              <w:rPr>
                <w:rFonts w:hint="eastAsia" w:ascii="宋体" w:hAnsi="宋体" w:eastAsia="宋体" w:cs="宋体"/>
                <w:bCs/>
                <w:color w:val="auto"/>
                <w:sz w:val="21"/>
                <w:szCs w:val="21"/>
                <w:highlight w:val="none"/>
                <w:lang w:eastAsia="zh-CN"/>
              </w:rPr>
              <w:t>对本项目制定的施工进度计划安排及相关保证措施等内容进行评价：方案思路清晰、规划详细、切实可行的</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eastAsia="zh-CN"/>
              </w:rPr>
              <w:t>分；方案思路较清晰、规划较具体、合理且可行的</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分；方案基本完整，满足文件需求的计</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分；方案整体内容有欠缺、思路模糊不清晰略、可行性较差的计</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分</w:t>
            </w:r>
            <w:r>
              <w:rPr>
                <w:rFonts w:hint="eastAsia" w:ascii="宋体" w:hAnsi="宋体" w:cs="宋体"/>
                <w:bCs/>
                <w:color w:val="auto"/>
                <w:sz w:val="21"/>
                <w:szCs w:val="21"/>
                <w:highlight w:val="none"/>
                <w:lang w:eastAsia="zh-CN"/>
              </w:rPr>
              <w:t>，未提供不计分</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cs="宋体"/>
                <w:bCs/>
                <w:color w:val="auto"/>
                <w:sz w:val="21"/>
                <w:szCs w:val="21"/>
                <w:lang w:val="ru-RU" w:eastAsia="zh-CN"/>
              </w:rPr>
            </w:pPr>
            <w:r>
              <w:rPr>
                <w:rFonts w:hint="eastAsia" w:ascii="宋体" w:hAnsi="宋体" w:eastAsia="宋体" w:cs="宋体"/>
                <w:bCs/>
                <w:color w:val="auto"/>
                <w:sz w:val="21"/>
                <w:szCs w:val="21"/>
                <w:lang w:val="ru-RU" w:eastAsia="zh-CN"/>
              </w:rPr>
              <w:t>质量</w:t>
            </w:r>
            <w:r>
              <w:rPr>
                <w:rFonts w:hint="eastAsia" w:ascii="宋体" w:hAnsi="宋体" w:cs="宋体"/>
                <w:bCs/>
                <w:color w:val="auto"/>
                <w:sz w:val="21"/>
                <w:szCs w:val="21"/>
                <w:lang w:val="ru-RU" w:eastAsia="zh-CN"/>
              </w:rPr>
              <w:t>保障</w:t>
            </w:r>
          </w:p>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措施</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highlight w:val="none"/>
              </w:rPr>
              <w:t>根据供应商</w:t>
            </w:r>
            <w:r>
              <w:rPr>
                <w:rFonts w:hint="eastAsia" w:ascii="宋体" w:hAnsi="宋体" w:eastAsia="宋体" w:cs="宋体"/>
                <w:bCs/>
                <w:color w:val="auto"/>
                <w:sz w:val="21"/>
                <w:szCs w:val="21"/>
                <w:highlight w:val="none"/>
                <w:lang w:eastAsia="zh-CN"/>
              </w:rPr>
              <w:t>对本项目制定的质量保障措施进行评价</w:t>
            </w:r>
            <w:r>
              <w:rPr>
                <w:rFonts w:hint="eastAsia" w:ascii="宋体" w:hAnsi="宋体" w:cs="宋体"/>
                <w:bCs/>
                <w:color w:val="auto"/>
                <w:sz w:val="21"/>
                <w:szCs w:val="21"/>
                <w:highlight w:val="none"/>
                <w:lang w:eastAsia="zh-CN"/>
              </w:rPr>
              <w:t>：整体</w:t>
            </w:r>
            <w:r>
              <w:rPr>
                <w:rFonts w:hint="eastAsia" w:ascii="宋体" w:hAnsi="宋体" w:eastAsia="宋体" w:cs="宋体"/>
                <w:bCs/>
                <w:color w:val="auto"/>
                <w:sz w:val="21"/>
                <w:szCs w:val="21"/>
                <w:highlight w:val="none"/>
                <w:lang w:eastAsia="zh-CN"/>
              </w:rPr>
              <w:t>内容及</w:t>
            </w:r>
            <w:r>
              <w:rPr>
                <w:rFonts w:hint="eastAsia" w:ascii="宋体" w:hAnsi="宋体" w:cs="宋体"/>
                <w:bCs/>
                <w:color w:val="auto"/>
                <w:sz w:val="21"/>
                <w:szCs w:val="21"/>
                <w:highlight w:val="none"/>
                <w:lang w:eastAsia="zh-CN"/>
              </w:rPr>
              <w:t>保证</w:t>
            </w:r>
            <w:r>
              <w:rPr>
                <w:rFonts w:hint="eastAsia" w:ascii="宋体" w:hAnsi="宋体" w:eastAsia="宋体" w:cs="宋体"/>
                <w:bCs/>
                <w:color w:val="auto"/>
                <w:sz w:val="21"/>
                <w:szCs w:val="21"/>
                <w:highlight w:val="none"/>
                <w:lang w:eastAsia="zh-CN"/>
              </w:rPr>
              <w:t>措施完善、</w:t>
            </w:r>
            <w:r>
              <w:rPr>
                <w:rFonts w:hint="eastAsia" w:ascii="宋体" w:hAnsi="宋体" w:cs="宋体"/>
                <w:bCs/>
                <w:color w:val="auto"/>
                <w:sz w:val="21"/>
                <w:szCs w:val="21"/>
                <w:highlight w:val="none"/>
                <w:lang w:eastAsia="zh-CN"/>
              </w:rPr>
              <w:t>切实可行的</w:t>
            </w:r>
            <w:r>
              <w:rPr>
                <w:rFonts w:hint="eastAsia" w:ascii="宋体" w:hAnsi="宋体" w:eastAsia="宋体" w:cs="宋体"/>
                <w:bCs/>
                <w:color w:val="auto"/>
                <w:sz w:val="21"/>
                <w:szCs w:val="21"/>
                <w:highlight w:val="none"/>
                <w:lang w:eastAsia="zh-CN"/>
              </w:rPr>
              <w:t>计</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方案内容</w:t>
            </w:r>
            <w:r>
              <w:rPr>
                <w:rFonts w:hint="eastAsia" w:ascii="宋体" w:hAnsi="宋体" w:cs="宋体"/>
                <w:bCs/>
                <w:color w:val="auto"/>
                <w:sz w:val="21"/>
                <w:szCs w:val="21"/>
                <w:highlight w:val="none"/>
                <w:lang w:val="en-US" w:eastAsia="zh-CN"/>
              </w:rPr>
              <w:t>及保障措施</w:t>
            </w:r>
            <w:r>
              <w:rPr>
                <w:rFonts w:hint="eastAsia" w:ascii="宋体" w:hAnsi="宋体" w:eastAsia="宋体" w:cs="宋体"/>
                <w:bCs/>
                <w:color w:val="auto"/>
                <w:sz w:val="21"/>
                <w:szCs w:val="21"/>
                <w:highlight w:val="none"/>
                <w:lang w:val="en-US" w:eastAsia="zh-CN"/>
              </w:rPr>
              <w:t>基本可行的计</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方案内容</w:t>
            </w:r>
            <w:r>
              <w:rPr>
                <w:rFonts w:hint="eastAsia" w:ascii="宋体" w:hAnsi="宋体" w:cs="宋体"/>
                <w:bCs/>
                <w:color w:val="auto"/>
                <w:sz w:val="21"/>
                <w:szCs w:val="21"/>
                <w:highlight w:val="none"/>
                <w:lang w:val="en-US" w:eastAsia="zh-CN"/>
              </w:rPr>
              <w:t>及措施</w:t>
            </w:r>
            <w:r>
              <w:rPr>
                <w:rFonts w:hint="eastAsia" w:ascii="宋体" w:hAnsi="宋体" w:eastAsia="宋体" w:cs="宋体"/>
                <w:bCs/>
                <w:color w:val="auto"/>
                <w:sz w:val="21"/>
                <w:szCs w:val="21"/>
                <w:highlight w:val="none"/>
                <w:lang w:val="en-US" w:eastAsia="zh-CN"/>
              </w:rPr>
              <w:t>有缺陷</w:t>
            </w:r>
            <w:r>
              <w:rPr>
                <w:rFonts w:hint="eastAsia" w:ascii="宋体" w:hAnsi="宋体" w:cs="宋体"/>
                <w:bCs/>
                <w:color w:val="auto"/>
                <w:sz w:val="21"/>
                <w:szCs w:val="21"/>
                <w:highlight w:val="none"/>
                <w:lang w:val="en-US" w:eastAsia="zh-CN"/>
              </w:rPr>
              <w:t>、可行性较差</w:t>
            </w:r>
            <w:r>
              <w:rPr>
                <w:rFonts w:hint="eastAsia" w:ascii="宋体" w:hAnsi="宋体" w:eastAsia="宋体" w:cs="宋体"/>
                <w:bCs/>
                <w:color w:val="auto"/>
                <w:sz w:val="21"/>
                <w:szCs w:val="21"/>
                <w:highlight w:val="none"/>
                <w:lang w:val="en-US" w:eastAsia="zh-CN"/>
              </w:rPr>
              <w:t>的计</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eastAsia="zh-CN"/>
              </w:rPr>
              <w:t>，未提供不计分</w:t>
            </w:r>
            <w:r>
              <w:rPr>
                <w:rFonts w:hint="eastAsia" w:ascii="宋体" w:hAnsi="宋体" w:eastAsia="宋体" w:cs="宋体"/>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0"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cs="宋体"/>
                <w:bCs/>
                <w:color w:val="auto"/>
                <w:sz w:val="21"/>
                <w:szCs w:val="21"/>
                <w:lang w:val="ru-RU" w:eastAsia="zh-CN"/>
              </w:rPr>
            </w:pPr>
            <w:r>
              <w:rPr>
                <w:rFonts w:hint="eastAsia" w:ascii="宋体" w:hAnsi="宋体" w:eastAsia="宋体" w:cs="宋体"/>
                <w:bCs/>
                <w:color w:val="auto"/>
                <w:sz w:val="21"/>
                <w:szCs w:val="21"/>
                <w:lang w:val="ru-RU" w:eastAsia="zh-CN"/>
              </w:rPr>
              <w:t>安全</w:t>
            </w:r>
            <w:r>
              <w:rPr>
                <w:rFonts w:hint="eastAsia" w:ascii="宋体" w:hAnsi="宋体" w:cs="宋体"/>
                <w:bCs/>
                <w:color w:val="auto"/>
                <w:sz w:val="21"/>
                <w:szCs w:val="21"/>
                <w:lang w:val="ru-RU" w:eastAsia="zh-CN"/>
              </w:rPr>
              <w:t>保障</w:t>
            </w:r>
          </w:p>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措施</w:t>
            </w:r>
          </w:p>
        </w:tc>
        <w:tc>
          <w:tcPr>
            <w:tcW w:w="594"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根据供应商</w:t>
            </w:r>
            <w:r>
              <w:rPr>
                <w:rFonts w:hint="eastAsia" w:ascii="宋体" w:hAnsi="宋体" w:eastAsia="宋体" w:cs="宋体"/>
                <w:bCs/>
                <w:color w:val="auto"/>
                <w:sz w:val="21"/>
                <w:szCs w:val="21"/>
                <w:highlight w:val="none"/>
                <w:lang w:eastAsia="zh-CN"/>
              </w:rPr>
              <w:t>对本项目制定的安全保障措施进行评价</w:t>
            </w:r>
            <w:r>
              <w:rPr>
                <w:rFonts w:hint="eastAsia" w:ascii="宋体" w:hAnsi="宋体" w:cs="宋体"/>
                <w:bCs/>
                <w:color w:val="auto"/>
                <w:sz w:val="21"/>
                <w:szCs w:val="21"/>
                <w:highlight w:val="none"/>
                <w:lang w:eastAsia="zh-CN"/>
              </w:rPr>
              <w:t>：整体</w:t>
            </w:r>
            <w:r>
              <w:rPr>
                <w:rFonts w:hint="eastAsia" w:ascii="宋体" w:hAnsi="宋体" w:eastAsia="宋体" w:cs="宋体"/>
                <w:bCs/>
                <w:color w:val="auto"/>
                <w:sz w:val="21"/>
                <w:szCs w:val="21"/>
                <w:highlight w:val="none"/>
                <w:lang w:eastAsia="zh-CN"/>
              </w:rPr>
              <w:t>内容及</w:t>
            </w:r>
            <w:r>
              <w:rPr>
                <w:rFonts w:hint="eastAsia" w:ascii="宋体" w:hAnsi="宋体" w:cs="宋体"/>
                <w:bCs/>
                <w:color w:val="auto"/>
                <w:sz w:val="21"/>
                <w:szCs w:val="21"/>
                <w:highlight w:val="none"/>
                <w:lang w:eastAsia="zh-CN"/>
              </w:rPr>
              <w:t>保证</w:t>
            </w:r>
            <w:r>
              <w:rPr>
                <w:rFonts w:hint="eastAsia" w:ascii="宋体" w:hAnsi="宋体" w:eastAsia="宋体" w:cs="宋体"/>
                <w:bCs/>
                <w:color w:val="auto"/>
                <w:sz w:val="21"/>
                <w:szCs w:val="21"/>
                <w:highlight w:val="none"/>
                <w:lang w:eastAsia="zh-CN"/>
              </w:rPr>
              <w:t>措施完善、</w:t>
            </w:r>
            <w:r>
              <w:rPr>
                <w:rFonts w:hint="eastAsia" w:ascii="宋体" w:hAnsi="宋体" w:cs="宋体"/>
                <w:bCs/>
                <w:color w:val="auto"/>
                <w:sz w:val="21"/>
                <w:szCs w:val="21"/>
                <w:highlight w:val="none"/>
                <w:lang w:eastAsia="zh-CN"/>
              </w:rPr>
              <w:t>切实可行的</w:t>
            </w:r>
            <w:r>
              <w:rPr>
                <w:rFonts w:hint="eastAsia" w:ascii="宋体" w:hAnsi="宋体" w:eastAsia="宋体" w:cs="宋体"/>
                <w:bCs/>
                <w:color w:val="auto"/>
                <w:sz w:val="21"/>
                <w:szCs w:val="21"/>
                <w:highlight w:val="none"/>
                <w:lang w:eastAsia="zh-CN"/>
              </w:rPr>
              <w:t>计</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方案内容</w:t>
            </w:r>
            <w:r>
              <w:rPr>
                <w:rFonts w:hint="eastAsia" w:ascii="宋体" w:hAnsi="宋体" w:cs="宋体"/>
                <w:bCs/>
                <w:color w:val="auto"/>
                <w:sz w:val="21"/>
                <w:szCs w:val="21"/>
                <w:highlight w:val="none"/>
                <w:lang w:val="en-US" w:eastAsia="zh-CN"/>
              </w:rPr>
              <w:t>及保障措施</w:t>
            </w:r>
            <w:r>
              <w:rPr>
                <w:rFonts w:hint="eastAsia" w:ascii="宋体" w:hAnsi="宋体" w:eastAsia="宋体" w:cs="宋体"/>
                <w:bCs/>
                <w:color w:val="auto"/>
                <w:sz w:val="21"/>
                <w:szCs w:val="21"/>
                <w:highlight w:val="none"/>
                <w:lang w:val="en-US" w:eastAsia="zh-CN"/>
              </w:rPr>
              <w:t>基本可行的计</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方案内容</w:t>
            </w:r>
            <w:r>
              <w:rPr>
                <w:rFonts w:hint="eastAsia" w:ascii="宋体" w:hAnsi="宋体" w:cs="宋体"/>
                <w:bCs/>
                <w:color w:val="auto"/>
                <w:sz w:val="21"/>
                <w:szCs w:val="21"/>
                <w:highlight w:val="none"/>
                <w:lang w:val="en-US" w:eastAsia="zh-CN"/>
              </w:rPr>
              <w:t>及措施</w:t>
            </w:r>
            <w:r>
              <w:rPr>
                <w:rFonts w:hint="eastAsia" w:ascii="宋体" w:hAnsi="宋体" w:eastAsia="宋体" w:cs="宋体"/>
                <w:bCs/>
                <w:color w:val="auto"/>
                <w:sz w:val="21"/>
                <w:szCs w:val="21"/>
                <w:highlight w:val="none"/>
                <w:lang w:val="en-US" w:eastAsia="zh-CN"/>
              </w:rPr>
              <w:t>有缺陷</w:t>
            </w:r>
            <w:r>
              <w:rPr>
                <w:rFonts w:hint="eastAsia" w:ascii="宋体" w:hAnsi="宋体" w:cs="宋体"/>
                <w:bCs/>
                <w:color w:val="auto"/>
                <w:sz w:val="21"/>
                <w:szCs w:val="21"/>
                <w:highlight w:val="none"/>
                <w:lang w:val="en-US" w:eastAsia="zh-CN"/>
              </w:rPr>
              <w:t>、可行性较差</w:t>
            </w:r>
            <w:r>
              <w:rPr>
                <w:rFonts w:hint="eastAsia" w:ascii="宋体" w:hAnsi="宋体" w:eastAsia="宋体" w:cs="宋体"/>
                <w:bCs/>
                <w:color w:val="auto"/>
                <w:sz w:val="21"/>
                <w:szCs w:val="21"/>
                <w:highlight w:val="none"/>
                <w:lang w:val="en-US" w:eastAsia="zh-CN"/>
              </w:rPr>
              <w:t>的计</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eastAsia="zh-CN"/>
              </w:rPr>
              <w:t>，未提供不计分</w:t>
            </w:r>
            <w:r>
              <w:rPr>
                <w:rFonts w:hint="eastAsia" w:ascii="宋体" w:hAnsi="宋体" w:eastAsia="宋体" w:cs="宋体"/>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环境保护管理措施</w:t>
            </w:r>
          </w:p>
        </w:tc>
        <w:tc>
          <w:tcPr>
            <w:tcW w:w="594"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供应商对本项目制定的</w:t>
            </w:r>
            <w:r>
              <w:rPr>
                <w:rFonts w:hint="eastAsia" w:ascii="宋体" w:hAnsi="宋体" w:eastAsia="宋体" w:cs="宋体"/>
                <w:bCs/>
                <w:color w:val="auto"/>
                <w:sz w:val="21"/>
                <w:szCs w:val="21"/>
                <w:highlight w:val="none"/>
                <w:lang w:val="ru-RU" w:eastAsia="zh-CN"/>
              </w:rPr>
              <w:t>环境保护</w:t>
            </w:r>
            <w:r>
              <w:rPr>
                <w:rFonts w:hint="eastAsia" w:ascii="宋体" w:hAnsi="宋体" w:eastAsia="宋体" w:cs="宋体"/>
                <w:bCs/>
                <w:color w:val="auto"/>
                <w:sz w:val="21"/>
                <w:szCs w:val="21"/>
                <w:highlight w:val="none"/>
                <w:lang w:eastAsia="zh-CN"/>
              </w:rPr>
              <w:t>措施进行评价</w:t>
            </w:r>
            <w:r>
              <w:rPr>
                <w:rFonts w:hint="eastAsia" w:ascii="宋体" w:hAnsi="宋体" w:cs="宋体"/>
                <w:bCs/>
                <w:color w:val="auto"/>
                <w:sz w:val="21"/>
                <w:szCs w:val="21"/>
                <w:highlight w:val="none"/>
                <w:lang w:eastAsia="zh-CN"/>
              </w:rPr>
              <w:t>：整体</w:t>
            </w:r>
            <w:r>
              <w:rPr>
                <w:rFonts w:hint="eastAsia" w:ascii="宋体" w:hAnsi="宋体" w:eastAsia="宋体" w:cs="宋体"/>
                <w:bCs/>
                <w:color w:val="auto"/>
                <w:sz w:val="21"/>
                <w:szCs w:val="21"/>
                <w:highlight w:val="none"/>
                <w:lang w:eastAsia="zh-CN"/>
              </w:rPr>
              <w:t>内容及</w:t>
            </w:r>
            <w:r>
              <w:rPr>
                <w:rFonts w:hint="eastAsia" w:ascii="宋体" w:hAnsi="宋体" w:cs="宋体"/>
                <w:bCs/>
                <w:color w:val="auto"/>
                <w:sz w:val="21"/>
                <w:szCs w:val="21"/>
                <w:highlight w:val="none"/>
                <w:lang w:eastAsia="zh-CN"/>
              </w:rPr>
              <w:t>保证</w:t>
            </w:r>
            <w:r>
              <w:rPr>
                <w:rFonts w:hint="eastAsia" w:ascii="宋体" w:hAnsi="宋体" w:eastAsia="宋体" w:cs="宋体"/>
                <w:bCs/>
                <w:color w:val="auto"/>
                <w:sz w:val="21"/>
                <w:szCs w:val="21"/>
                <w:highlight w:val="none"/>
                <w:lang w:eastAsia="zh-CN"/>
              </w:rPr>
              <w:t>措施完善、</w:t>
            </w:r>
            <w:r>
              <w:rPr>
                <w:rFonts w:hint="eastAsia" w:ascii="宋体" w:hAnsi="宋体" w:cs="宋体"/>
                <w:bCs/>
                <w:color w:val="auto"/>
                <w:sz w:val="21"/>
                <w:szCs w:val="21"/>
                <w:highlight w:val="none"/>
                <w:lang w:eastAsia="zh-CN"/>
              </w:rPr>
              <w:t>切实可行的</w:t>
            </w:r>
            <w:r>
              <w:rPr>
                <w:rFonts w:hint="eastAsia" w:ascii="宋体" w:hAnsi="宋体" w:eastAsia="宋体" w:cs="宋体"/>
                <w:bCs/>
                <w:color w:val="auto"/>
                <w:sz w:val="21"/>
                <w:szCs w:val="21"/>
                <w:highlight w:val="none"/>
                <w:lang w:eastAsia="zh-CN"/>
              </w:rPr>
              <w:t>计</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方案内容</w:t>
            </w:r>
            <w:r>
              <w:rPr>
                <w:rFonts w:hint="eastAsia" w:ascii="宋体" w:hAnsi="宋体" w:cs="宋体"/>
                <w:bCs/>
                <w:color w:val="auto"/>
                <w:sz w:val="21"/>
                <w:szCs w:val="21"/>
                <w:highlight w:val="none"/>
                <w:lang w:val="en-US" w:eastAsia="zh-CN"/>
              </w:rPr>
              <w:t>及保障措施</w:t>
            </w:r>
            <w:r>
              <w:rPr>
                <w:rFonts w:hint="eastAsia" w:ascii="宋体" w:hAnsi="宋体" w:eastAsia="宋体" w:cs="宋体"/>
                <w:bCs/>
                <w:color w:val="auto"/>
                <w:sz w:val="21"/>
                <w:szCs w:val="21"/>
                <w:highlight w:val="none"/>
                <w:lang w:val="en-US" w:eastAsia="zh-CN"/>
              </w:rPr>
              <w:t>基本可行的计</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方案内容</w:t>
            </w:r>
            <w:r>
              <w:rPr>
                <w:rFonts w:hint="eastAsia" w:ascii="宋体" w:hAnsi="宋体" w:cs="宋体"/>
                <w:bCs/>
                <w:color w:val="auto"/>
                <w:sz w:val="21"/>
                <w:szCs w:val="21"/>
                <w:highlight w:val="none"/>
                <w:lang w:val="en-US" w:eastAsia="zh-CN"/>
              </w:rPr>
              <w:t>及措施</w:t>
            </w:r>
            <w:r>
              <w:rPr>
                <w:rFonts w:hint="eastAsia" w:ascii="宋体" w:hAnsi="宋体" w:eastAsia="宋体" w:cs="宋体"/>
                <w:bCs/>
                <w:color w:val="auto"/>
                <w:sz w:val="21"/>
                <w:szCs w:val="21"/>
                <w:highlight w:val="none"/>
                <w:lang w:val="en-US" w:eastAsia="zh-CN"/>
              </w:rPr>
              <w:t>有缺陷</w:t>
            </w:r>
            <w:r>
              <w:rPr>
                <w:rFonts w:hint="eastAsia" w:ascii="宋体" w:hAnsi="宋体" w:cs="宋体"/>
                <w:bCs/>
                <w:color w:val="auto"/>
                <w:sz w:val="21"/>
                <w:szCs w:val="21"/>
                <w:highlight w:val="none"/>
                <w:lang w:val="en-US" w:eastAsia="zh-CN"/>
              </w:rPr>
              <w:t>、可行性较差</w:t>
            </w:r>
            <w:r>
              <w:rPr>
                <w:rFonts w:hint="eastAsia" w:ascii="宋体" w:hAnsi="宋体" w:eastAsia="宋体" w:cs="宋体"/>
                <w:bCs/>
                <w:color w:val="auto"/>
                <w:sz w:val="21"/>
                <w:szCs w:val="21"/>
                <w:highlight w:val="none"/>
                <w:lang w:val="en-US" w:eastAsia="zh-CN"/>
              </w:rPr>
              <w:t>的计</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eastAsia="zh-CN"/>
              </w:rPr>
              <w:t>，未提供不计分</w:t>
            </w:r>
            <w:r>
              <w:rPr>
                <w:rFonts w:hint="eastAsia" w:ascii="宋体" w:hAnsi="宋体" w:eastAsia="宋体" w:cs="宋体"/>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eastAsia="zh-CN"/>
              </w:rPr>
              <w:t>文明施工现场措施</w:t>
            </w:r>
          </w:p>
        </w:tc>
        <w:tc>
          <w:tcPr>
            <w:tcW w:w="594"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highlight w:val="none"/>
              </w:rPr>
              <w:t>根据供应商</w:t>
            </w:r>
            <w:r>
              <w:rPr>
                <w:rFonts w:hint="eastAsia" w:ascii="宋体" w:hAnsi="宋体" w:eastAsia="宋体" w:cs="宋体"/>
                <w:bCs/>
                <w:color w:val="auto"/>
                <w:sz w:val="21"/>
                <w:szCs w:val="21"/>
                <w:highlight w:val="none"/>
                <w:lang w:eastAsia="zh-CN"/>
              </w:rPr>
              <w:t>对本项目制定的文明施工措施进行评价</w:t>
            </w:r>
            <w:r>
              <w:rPr>
                <w:rFonts w:hint="eastAsia" w:ascii="宋体" w:hAnsi="宋体" w:cs="宋体"/>
                <w:bCs/>
                <w:color w:val="auto"/>
                <w:sz w:val="21"/>
                <w:szCs w:val="21"/>
                <w:highlight w:val="none"/>
                <w:lang w:eastAsia="zh-CN"/>
              </w:rPr>
              <w:t>：整体</w:t>
            </w:r>
            <w:r>
              <w:rPr>
                <w:rFonts w:hint="eastAsia" w:ascii="宋体" w:hAnsi="宋体" w:eastAsia="宋体" w:cs="宋体"/>
                <w:bCs/>
                <w:color w:val="auto"/>
                <w:sz w:val="21"/>
                <w:szCs w:val="21"/>
                <w:highlight w:val="none"/>
                <w:lang w:eastAsia="zh-CN"/>
              </w:rPr>
              <w:t>内容及措施完善、</w:t>
            </w:r>
            <w:r>
              <w:rPr>
                <w:rFonts w:hint="eastAsia" w:ascii="宋体" w:hAnsi="宋体" w:cs="宋体"/>
                <w:bCs/>
                <w:color w:val="auto"/>
                <w:sz w:val="21"/>
                <w:szCs w:val="21"/>
                <w:highlight w:val="none"/>
                <w:lang w:eastAsia="zh-CN"/>
              </w:rPr>
              <w:t>切实可行的</w:t>
            </w:r>
            <w:r>
              <w:rPr>
                <w:rFonts w:hint="eastAsia" w:ascii="宋体" w:hAnsi="宋体" w:eastAsia="宋体" w:cs="宋体"/>
                <w:bCs/>
                <w:color w:val="auto"/>
                <w:sz w:val="21"/>
                <w:szCs w:val="21"/>
                <w:highlight w:val="none"/>
                <w:lang w:eastAsia="zh-CN"/>
              </w:rPr>
              <w:t>计</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方案内容</w:t>
            </w:r>
            <w:r>
              <w:rPr>
                <w:rFonts w:hint="eastAsia" w:ascii="宋体" w:hAnsi="宋体" w:cs="宋体"/>
                <w:bCs/>
                <w:color w:val="auto"/>
                <w:sz w:val="21"/>
                <w:szCs w:val="21"/>
                <w:highlight w:val="none"/>
                <w:lang w:val="en-US" w:eastAsia="zh-CN"/>
              </w:rPr>
              <w:t>及措施</w:t>
            </w:r>
            <w:r>
              <w:rPr>
                <w:rFonts w:hint="eastAsia" w:ascii="宋体" w:hAnsi="宋体" w:eastAsia="宋体" w:cs="宋体"/>
                <w:bCs/>
                <w:color w:val="auto"/>
                <w:sz w:val="21"/>
                <w:szCs w:val="21"/>
                <w:highlight w:val="none"/>
                <w:lang w:val="en-US" w:eastAsia="zh-CN"/>
              </w:rPr>
              <w:t>基本可行的计</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zh-CN"/>
              </w:rPr>
              <w:t>方案内容</w:t>
            </w:r>
            <w:r>
              <w:rPr>
                <w:rFonts w:hint="eastAsia" w:ascii="宋体" w:hAnsi="宋体" w:cs="宋体"/>
                <w:bCs/>
                <w:color w:val="auto"/>
                <w:sz w:val="21"/>
                <w:szCs w:val="21"/>
                <w:highlight w:val="none"/>
                <w:lang w:val="en-US" w:eastAsia="zh-CN"/>
              </w:rPr>
              <w:t>及措施</w:t>
            </w:r>
            <w:r>
              <w:rPr>
                <w:rFonts w:hint="eastAsia" w:ascii="宋体" w:hAnsi="宋体" w:eastAsia="宋体" w:cs="宋体"/>
                <w:bCs/>
                <w:color w:val="auto"/>
                <w:sz w:val="21"/>
                <w:szCs w:val="21"/>
                <w:highlight w:val="none"/>
                <w:lang w:val="en-US" w:eastAsia="zh-CN"/>
              </w:rPr>
              <w:t>有缺陷</w:t>
            </w:r>
            <w:r>
              <w:rPr>
                <w:rFonts w:hint="eastAsia" w:ascii="宋体" w:hAnsi="宋体" w:cs="宋体"/>
                <w:bCs/>
                <w:color w:val="auto"/>
                <w:sz w:val="21"/>
                <w:szCs w:val="21"/>
                <w:highlight w:val="none"/>
                <w:lang w:val="en-US" w:eastAsia="zh-CN"/>
              </w:rPr>
              <w:t>、可行性较差</w:t>
            </w:r>
            <w:r>
              <w:rPr>
                <w:rFonts w:hint="eastAsia" w:ascii="宋体" w:hAnsi="宋体" w:eastAsia="宋体" w:cs="宋体"/>
                <w:bCs/>
                <w:color w:val="auto"/>
                <w:sz w:val="21"/>
                <w:szCs w:val="21"/>
                <w:highlight w:val="none"/>
                <w:lang w:val="en-US" w:eastAsia="zh-CN"/>
              </w:rPr>
              <w:t>的计</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eastAsia="zh-CN"/>
              </w:rPr>
              <w:t>，未提供不计分</w:t>
            </w:r>
            <w:r>
              <w:rPr>
                <w:rFonts w:hint="eastAsia" w:ascii="宋体" w:hAnsi="宋体" w:eastAsia="宋体" w:cs="宋体"/>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465" w:type="dxa"/>
            <w:vMerge w:val="restart"/>
            <w:noWrap w:val="0"/>
            <w:vAlign w:val="center"/>
          </w:tcPr>
          <w:p>
            <w:pPr>
              <w:tabs>
                <w:tab w:val="left" w:pos="0"/>
              </w:tabs>
              <w:adjustRightInd w:val="0"/>
              <w:snapToGrid w:val="0"/>
              <w:spacing w:before="120" w:beforeLines="5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三</w:t>
            </w:r>
          </w:p>
        </w:tc>
        <w:tc>
          <w:tcPr>
            <w:tcW w:w="725" w:type="dxa"/>
            <w:vMerge w:val="restart"/>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商务</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部分</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14</w:t>
            </w:r>
            <w:r>
              <w:rPr>
                <w:rFonts w:hint="eastAsia" w:ascii="宋体" w:hAnsi="宋体" w:eastAsia="宋体" w:cs="宋体"/>
                <w:bCs/>
                <w:color w:val="auto"/>
                <w:sz w:val="21"/>
                <w:szCs w:val="21"/>
                <w:lang w:val="zh-CN"/>
              </w:rPr>
              <w:t>分</w:t>
            </w:r>
          </w:p>
        </w:tc>
        <w:tc>
          <w:tcPr>
            <w:tcW w:w="1281" w:type="dxa"/>
            <w:tcBorders>
              <w:top w:val="single" w:color="auto" w:sz="4" w:space="0"/>
              <w:right w:val="single" w:color="auto" w:sz="4" w:space="0"/>
            </w:tcBorders>
            <w:noWrap w:val="0"/>
            <w:vAlign w:val="center"/>
          </w:tcPr>
          <w:p>
            <w:pPr>
              <w:spacing w:line="260" w:lineRule="exact"/>
              <w:jc w:val="center"/>
              <w:rPr>
                <w:rFonts w:hint="eastAsia" w:ascii="宋体" w:hAnsi="宋体" w:cs="宋体"/>
                <w:szCs w:val="21"/>
              </w:rPr>
            </w:pPr>
            <w:r>
              <w:rPr>
                <w:rFonts w:hint="eastAsia" w:ascii="宋体" w:hAnsi="宋体" w:cs="宋体"/>
                <w:szCs w:val="21"/>
              </w:rPr>
              <w:t>应急解决</w:t>
            </w:r>
          </w:p>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cs="宋体"/>
                <w:szCs w:val="21"/>
              </w:rPr>
              <w:t>方案</w:t>
            </w:r>
          </w:p>
        </w:tc>
        <w:tc>
          <w:tcPr>
            <w:tcW w:w="594" w:type="dxa"/>
            <w:tcBorders>
              <w:top w:val="single" w:color="auto" w:sz="4" w:space="0"/>
              <w:left w:val="single" w:color="auto" w:sz="4" w:space="0"/>
              <w:right w:val="single" w:color="auto" w:sz="4" w:space="0"/>
            </w:tcBorders>
            <w:noWrap w:val="0"/>
            <w:vAlign w:val="center"/>
          </w:tcPr>
          <w:p>
            <w:pPr>
              <w:tabs>
                <w:tab w:val="left" w:pos="0"/>
              </w:tabs>
              <w:adjustRightInd w:val="0"/>
              <w:snapToGrid w:val="0"/>
              <w:spacing w:before="120" w:beforeLines="50" w:line="360" w:lineRule="auto"/>
              <w:jc w:val="center"/>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6</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sz w:val="21"/>
                <w:szCs w:val="21"/>
                <w:lang w:val="ru-RU" w:eastAsia="zh-CN"/>
              </w:rPr>
            </w:pPr>
            <w:r>
              <w:rPr>
                <w:rFonts w:hint="eastAsia" w:ascii="宋体" w:hAnsi="宋体" w:cs="宋体"/>
                <w:szCs w:val="21"/>
              </w:rPr>
              <w:t>根据</w:t>
            </w:r>
            <w:r>
              <w:rPr>
                <w:rFonts w:hint="eastAsia" w:ascii="宋体" w:hAnsi="宋体" w:eastAsia="宋体" w:cs="宋体"/>
                <w:bCs/>
                <w:color w:val="auto"/>
                <w:sz w:val="21"/>
                <w:szCs w:val="21"/>
                <w:highlight w:val="none"/>
              </w:rPr>
              <w:t>供应商</w:t>
            </w:r>
            <w:r>
              <w:rPr>
                <w:rFonts w:hint="eastAsia" w:ascii="宋体" w:hAnsi="宋体" w:cs="宋体"/>
                <w:szCs w:val="21"/>
              </w:rPr>
              <w:t>提供施工及质保期间突发事件的应急解决方案情况（包括维修响应时间）进行评价</w:t>
            </w:r>
            <w:r>
              <w:rPr>
                <w:rFonts w:hint="eastAsia" w:ascii="宋体" w:hAnsi="宋体" w:cs="宋体"/>
                <w:szCs w:val="21"/>
                <w:lang w:eastAsia="zh-CN"/>
              </w:rPr>
              <w:t>：</w:t>
            </w:r>
            <w:r>
              <w:rPr>
                <w:rFonts w:hint="eastAsia" w:ascii="宋体" w:hAnsi="宋体" w:cs="宋体"/>
                <w:szCs w:val="21"/>
              </w:rPr>
              <w:t>方案科学合理、完善且对本项目具有针对性、可靠性和可实施性强的计</w:t>
            </w:r>
            <w:r>
              <w:rPr>
                <w:rFonts w:hint="eastAsia" w:ascii="宋体" w:hAnsi="宋体" w:cs="宋体"/>
                <w:szCs w:val="21"/>
                <w:lang w:val="en-US" w:eastAsia="zh-CN"/>
              </w:rPr>
              <w:t>6</w:t>
            </w:r>
            <w:r>
              <w:rPr>
                <w:rFonts w:hint="eastAsia" w:ascii="宋体" w:hAnsi="宋体" w:cs="宋体"/>
                <w:szCs w:val="21"/>
              </w:rPr>
              <w:t>分；方案稍有欠缺、针对性、可靠性和可实施性一般的计</w:t>
            </w:r>
            <w:r>
              <w:rPr>
                <w:rFonts w:hint="eastAsia" w:ascii="宋体" w:hAnsi="宋体" w:cs="宋体"/>
                <w:szCs w:val="21"/>
                <w:lang w:val="en-US" w:eastAsia="zh-CN"/>
              </w:rPr>
              <w:t>4</w:t>
            </w:r>
            <w:r>
              <w:rPr>
                <w:rFonts w:hint="eastAsia" w:ascii="宋体" w:hAnsi="宋体" w:cs="宋体"/>
                <w:szCs w:val="21"/>
              </w:rPr>
              <w:t>分；方案差、完整性差的计</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bCs/>
                <w:color w:val="auto"/>
                <w:sz w:val="21"/>
                <w:szCs w:val="21"/>
                <w:highlight w:val="none"/>
                <w:lang w:eastAsia="zh-CN"/>
              </w:rPr>
              <w:t>，未提供不计分</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240" w:lineRule="auto"/>
              <w:ind w:firstLine="420" w:firstLineChars="200"/>
              <w:jc w:val="center"/>
              <w:rPr>
                <w:rFonts w:hint="eastAsia" w:ascii="宋体" w:hAnsi="宋体" w:eastAsia="宋体" w:cs="宋体"/>
                <w:bCs/>
                <w:color w:val="auto"/>
                <w:sz w:val="21"/>
                <w:szCs w:val="21"/>
              </w:rPr>
            </w:pPr>
          </w:p>
        </w:tc>
        <w:tc>
          <w:tcPr>
            <w:tcW w:w="1281"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ru-RU" w:eastAsia="zh-CN"/>
              </w:rPr>
              <w:t>管理水平</w:t>
            </w:r>
          </w:p>
        </w:tc>
        <w:tc>
          <w:tcPr>
            <w:tcW w:w="59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6</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val="ru-RU" w:eastAsia="ru-RU"/>
              </w:rPr>
            </w:pPr>
            <w:r>
              <w:rPr>
                <w:rFonts w:hint="eastAsia" w:ascii="宋体" w:hAnsi="宋体" w:eastAsia="宋体" w:cs="宋体"/>
                <w:bCs/>
                <w:color w:val="auto"/>
                <w:sz w:val="21"/>
                <w:szCs w:val="21"/>
                <w:lang w:val="ru-RU" w:eastAsia="zh-CN"/>
              </w:rPr>
              <w:t>有完善严谨的管理制度（含</w:t>
            </w:r>
            <w:r>
              <w:rPr>
                <w:rFonts w:hint="eastAsia" w:ascii="宋体" w:hAnsi="宋体" w:eastAsia="宋体" w:cs="宋体"/>
                <w:bCs/>
                <w:color w:val="auto"/>
                <w:sz w:val="21"/>
                <w:szCs w:val="21"/>
                <w:lang w:val="zh-CN" w:eastAsia="zh-CN"/>
              </w:rPr>
              <w:t>项目机构设置情况</w:t>
            </w:r>
            <w:r>
              <w:rPr>
                <w:rFonts w:hint="eastAsia" w:ascii="宋体" w:hAnsi="宋体" w:eastAsia="宋体" w:cs="宋体"/>
                <w:bCs/>
                <w:color w:val="auto"/>
                <w:sz w:val="21"/>
                <w:szCs w:val="21"/>
                <w:lang w:val="ru-RU" w:eastAsia="zh-CN"/>
              </w:rPr>
              <w:t>、行政管理制度、安全保障制度等）和操作规程，管理科学、规范、标准：</w:t>
            </w:r>
            <w:r>
              <w:rPr>
                <w:rFonts w:hint="eastAsia" w:ascii="宋体" w:hAnsi="宋体" w:eastAsia="宋体" w:cs="宋体"/>
                <w:bCs/>
                <w:color w:val="auto"/>
                <w:sz w:val="21"/>
                <w:szCs w:val="21"/>
                <w:lang w:val="zh-CN" w:eastAsia="zh-CN"/>
              </w:rPr>
              <w:t>内容全面完善的计</w:t>
            </w:r>
            <w:r>
              <w:rPr>
                <w:rFonts w:hint="eastAsia" w:ascii="宋体" w:hAnsi="宋体" w:cs="宋体"/>
                <w:bCs/>
                <w:color w:val="auto"/>
                <w:sz w:val="21"/>
                <w:szCs w:val="21"/>
                <w:lang w:val="en-US" w:eastAsia="zh-CN"/>
              </w:rPr>
              <w:t>6</w:t>
            </w:r>
            <w:r>
              <w:rPr>
                <w:rFonts w:hint="eastAsia" w:ascii="宋体" w:hAnsi="宋体" w:eastAsia="宋体" w:cs="宋体"/>
                <w:bCs/>
                <w:color w:val="auto"/>
                <w:sz w:val="21"/>
                <w:szCs w:val="21"/>
                <w:lang w:val="zh-CN" w:eastAsia="zh-CN"/>
              </w:rPr>
              <w:t>分；内容较详细完善的计</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val="zh-CN" w:eastAsia="zh-CN"/>
              </w:rPr>
              <w:t>分</w:t>
            </w:r>
            <w:r>
              <w:rPr>
                <w:rFonts w:hint="eastAsia" w:ascii="宋体" w:hAnsi="宋体" w:cs="宋体"/>
                <w:bCs/>
                <w:color w:val="auto"/>
                <w:sz w:val="21"/>
                <w:szCs w:val="21"/>
                <w:lang w:val="zh-CN" w:eastAsia="zh-CN"/>
              </w:rPr>
              <w:t>；</w:t>
            </w:r>
            <w:r>
              <w:rPr>
                <w:rFonts w:hint="eastAsia" w:ascii="宋体" w:hAnsi="宋体" w:eastAsia="宋体" w:cs="宋体"/>
                <w:bCs/>
                <w:color w:val="auto"/>
                <w:sz w:val="21"/>
                <w:szCs w:val="21"/>
                <w:lang w:val="zh-CN" w:eastAsia="zh-CN"/>
              </w:rPr>
              <w:t>内容一般基本符合的计</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val="zh-CN" w:eastAsia="zh-CN"/>
              </w:rPr>
              <w:t>分，未提供的不计分</w:t>
            </w:r>
            <w:r>
              <w:rPr>
                <w:rFonts w:hint="eastAsia" w:ascii="宋体" w:hAnsi="宋体" w:eastAsia="宋体" w:cs="宋体"/>
                <w:bCs/>
                <w:color w:val="auto"/>
                <w:sz w:val="21"/>
                <w:szCs w:val="21"/>
                <w:lang w:val="ru-RU"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240" w:lineRule="auto"/>
              <w:ind w:firstLine="420" w:firstLineChars="200"/>
              <w:jc w:val="center"/>
              <w:rPr>
                <w:rFonts w:hint="eastAsia" w:ascii="宋体" w:hAnsi="宋体" w:eastAsia="宋体" w:cs="宋体"/>
                <w:bCs/>
                <w:color w:val="auto"/>
                <w:sz w:val="21"/>
                <w:szCs w:val="21"/>
              </w:rPr>
            </w:pPr>
          </w:p>
        </w:tc>
        <w:tc>
          <w:tcPr>
            <w:tcW w:w="1281"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rPr>
              <w:t>文件</w:t>
            </w:r>
            <w:r>
              <w:rPr>
                <w:rFonts w:hint="eastAsia" w:ascii="宋体" w:hAnsi="宋体" w:eastAsia="宋体" w:cs="宋体"/>
                <w:bCs/>
                <w:color w:val="auto"/>
                <w:sz w:val="21"/>
                <w:szCs w:val="21"/>
                <w:lang w:val="ru-RU" w:eastAsia="zh-CN"/>
              </w:rPr>
              <w:t>编制</w:t>
            </w:r>
          </w:p>
        </w:tc>
        <w:tc>
          <w:tcPr>
            <w:tcW w:w="59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按</w:t>
            </w:r>
            <w:r>
              <w:rPr>
                <w:rFonts w:hint="eastAsia" w:ascii="宋体" w:hAnsi="宋体" w:eastAsia="宋体" w:cs="宋体"/>
                <w:bCs/>
                <w:color w:val="auto"/>
                <w:sz w:val="21"/>
                <w:szCs w:val="21"/>
                <w:lang w:eastAsia="zh-CN"/>
              </w:rPr>
              <w:t>磋商文件</w:t>
            </w:r>
            <w:r>
              <w:rPr>
                <w:rFonts w:hint="eastAsia" w:ascii="宋体" w:hAnsi="宋体" w:eastAsia="宋体" w:cs="宋体"/>
                <w:bCs/>
                <w:color w:val="auto"/>
                <w:sz w:val="21"/>
                <w:szCs w:val="21"/>
              </w:rPr>
              <w:t>规定的格式、顺序编制，有目录、编页码，装订成册，书面整治无涂改，没有缺漏项的，计</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分；不符合要求的，每次扣0.</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分</w:t>
            </w:r>
            <w:r>
              <w:rPr>
                <w:rFonts w:hint="eastAsia" w:ascii="宋体" w:hAnsi="宋体" w:cs="宋体"/>
                <w:bCs/>
                <w:color w:val="auto"/>
                <w:sz w:val="21"/>
                <w:szCs w:val="21"/>
                <w:lang w:eastAsia="zh-CN"/>
              </w:rPr>
              <w:t>，</w:t>
            </w:r>
            <w:r>
              <w:rPr>
                <w:rFonts w:hint="eastAsia" w:ascii="宋体" w:hAnsi="宋体" w:eastAsia="宋体" w:cs="宋体"/>
                <w:bCs/>
                <w:color w:val="auto"/>
                <w:sz w:val="21"/>
                <w:szCs w:val="21"/>
                <w:highlight w:val="none"/>
              </w:rPr>
              <w:t>扣完为止</w:t>
            </w:r>
            <w:r>
              <w:rPr>
                <w:rFonts w:hint="eastAsia" w:ascii="宋体" w:hAnsi="宋体" w:eastAsia="宋体" w:cs="宋体"/>
                <w:bCs/>
                <w:color w:val="auto"/>
                <w:sz w:val="21"/>
                <w:szCs w:val="21"/>
              </w:rPr>
              <w:t>。</w:t>
            </w:r>
          </w:p>
        </w:tc>
      </w:tr>
    </w:tbl>
    <w:p>
      <w:pPr>
        <w:pStyle w:val="2"/>
        <w:rPr>
          <w:rFonts w:hint="eastAsia" w:ascii="宋体" w:hAnsi="宋体" w:eastAsia="宋体" w:cs="宋体"/>
          <w:color w:val="auto"/>
          <w:sz w:val="21"/>
          <w:szCs w:val="21"/>
          <w:lang w:eastAsia="zh-CN"/>
        </w:rPr>
      </w:pPr>
    </w:p>
    <w:p>
      <w:pPr>
        <w:tabs>
          <w:tab w:val="left" w:pos="0"/>
        </w:tabs>
        <w:adjustRightInd w:val="0"/>
        <w:snapToGrid w:val="0"/>
        <w:spacing w:before="120" w:beforeLines="50" w:line="360" w:lineRule="auto"/>
        <w:outlineLvl w:val="1"/>
        <w:rPr>
          <w:rFonts w:hint="eastAsia" w:ascii="宋体" w:hAnsi="宋体" w:eastAsia="宋体" w:cs="宋体"/>
          <w:b/>
          <w:color w:val="auto"/>
          <w:sz w:val="20"/>
          <w:szCs w:val="20"/>
        </w:rPr>
      </w:pPr>
      <w:bookmarkStart w:id="51" w:name="_Toc32700"/>
      <w:r>
        <w:rPr>
          <w:rFonts w:hint="eastAsia" w:ascii="宋体" w:hAnsi="宋体" w:eastAsia="宋体" w:cs="宋体"/>
          <w:b/>
          <w:color w:val="auto"/>
          <w:sz w:val="20"/>
          <w:szCs w:val="20"/>
        </w:rPr>
        <w:t>4.推荐成交候选人名单</w:t>
      </w:r>
      <w:bookmarkEnd w:id="51"/>
    </w:p>
    <w:p>
      <w:pPr>
        <w:tabs>
          <w:tab w:val="left" w:pos="0"/>
        </w:tabs>
        <w:adjustRightInd w:val="0"/>
        <w:snapToGrid w:val="0"/>
        <w:spacing w:before="120" w:beforeLines="50"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4.1按评审后得分由高到低顺序排列。得分相同的，按最终报价由低到高顺序排列。得分且最终报价相同的，按技术指标优劣顺序排列。</w:t>
      </w:r>
    </w:p>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4.2成交候选人数量为1-3名，本次磋商采购推荐的成交候选人数量见</w:t>
      </w:r>
      <w:r>
        <w:rPr>
          <w:rFonts w:hint="eastAsia" w:ascii="宋体" w:hAnsi="宋体" w:eastAsia="宋体" w:cs="宋体"/>
          <w:b/>
          <w:bCs w:val="0"/>
          <w:color w:val="auto"/>
          <w:sz w:val="21"/>
          <w:szCs w:val="21"/>
          <w:lang w:eastAsia="zh-CN"/>
        </w:rPr>
        <w:t>磋商须知前附表</w:t>
      </w:r>
      <w:r>
        <w:rPr>
          <w:rFonts w:hint="eastAsia" w:ascii="宋体" w:hAnsi="宋体" w:eastAsia="宋体" w:cs="宋体"/>
          <w:bCs/>
          <w:color w:val="auto"/>
          <w:sz w:val="21"/>
          <w:szCs w:val="21"/>
          <w:lang w:eastAsia="zh-CN"/>
        </w:rPr>
        <w:t>。</w:t>
      </w:r>
    </w:p>
    <w:p>
      <w:pPr>
        <w:rPr>
          <w:rFonts w:hint="eastAsia"/>
        </w:rPr>
      </w:pPr>
      <w:r>
        <w:rPr>
          <w:rFonts w:hint="eastAsia"/>
        </w:rPr>
        <w:br w:type="page"/>
      </w:r>
    </w:p>
    <w:p>
      <w:pPr>
        <w:rPr>
          <w:rFonts w:ascii="宋体" w:cs="宋体"/>
          <w:b/>
          <w:bCs/>
          <w:kern w:val="0"/>
          <w:sz w:val="28"/>
          <w:szCs w:val="28"/>
        </w:rPr>
      </w:pPr>
      <w:bookmarkStart w:id="52" w:name="_Toc11524"/>
      <w:r>
        <w:rPr>
          <w:rFonts w:hint="eastAsia" w:ascii="宋体" w:hAnsi="宋体" w:cs="仿宋_GB2312"/>
          <w:b/>
          <w:bCs/>
          <w:szCs w:val="21"/>
        </w:rPr>
        <w:t>附表3  响应文件初步审查表</w:t>
      </w:r>
      <w:bookmarkEnd w:id="52"/>
    </w:p>
    <w:p>
      <w:pPr>
        <w:spacing w:line="288" w:lineRule="auto"/>
        <w:jc w:val="center"/>
        <w:rPr>
          <w:rFonts w:hint="eastAsia" w:ascii="宋体" w:cs="宋体"/>
          <w:b/>
          <w:bCs/>
          <w:kern w:val="0"/>
          <w:sz w:val="28"/>
          <w:szCs w:val="28"/>
        </w:rPr>
      </w:pPr>
      <w:r>
        <w:rPr>
          <w:rFonts w:hint="eastAsia" w:ascii="宋体" w:cs="宋体"/>
          <w:b/>
          <w:bCs/>
          <w:kern w:val="0"/>
          <w:sz w:val="28"/>
          <w:szCs w:val="28"/>
        </w:rPr>
        <w:t>响应文件初步审查表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431"/>
        <w:gridCol w:w="903"/>
        <w:gridCol w:w="3938"/>
        <w:gridCol w:w="958"/>
        <w:gridCol w:w="958"/>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51" w:type="dxa"/>
            <w:vMerge w:val="restart"/>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序号</w:t>
            </w:r>
          </w:p>
        </w:tc>
        <w:tc>
          <w:tcPr>
            <w:tcW w:w="5272" w:type="dxa"/>
            <w:gridSpan w:val="3"/>
            <w:vMerge w:val="restart"/>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检查项目</w:t>
            </w:r>
          </w:p>
        </w:tc>
        <w:tc>
          <w:tcPr>
            <w:tcW w:w="2875" w:type="dxa"/>
            <w:gridSpan w:val="3"/>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供应商名单及审查意见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51" w:type="dxa"/>
            <w:vMerge w:val="continue"/>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5272" w:type="dxa"/>
            <w:gridSpan w:val="3"/>
            <w:vMerge w:val="continue"/>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spacing w:line="300" w:lineRule="exact"/>
              <w:jc w:val="center"/>
              <w:rPr>
                <w:rFonts w:hint="eastAsia" w:ascii="宋体" w:hAnsi="宋体" w:cs="宋体"/>
                <w:kern w:val="0"/>
                <w:szCs w:val="21"/>
              </w:rPr>
            </w:pPr>
          </w:p>
        </w:tc>
        <w:tc>
          <w:tcPr>
            <w:tcW w:w="958" w:type="dxa"/>
            <w:noWrap w:val="0"/>
            <w:vAlign w:val="center"/>
          </w:tcPr>
          <w:p>
            <w:pPr>
              <w:spacing w:line="300" w:lineRule="exact"/>
              <w:jc w:val="center"/>
              <w:rPr>
                <w:rFonts w:hint="eastAsia" w:ascii="宋体" w:hAnsi="宋体" w:cs="宋体"/>
                <w:kern w:val="0"/>
                <w:szCs w:val="21"/>
              </w:rPr>
            </w:pPr>
          </w:p>
        </w:tc>
        <w:tc>
          <w:tcPr>
            <w:tcW w:w="959" w:type="dxa"/>
            <w:noWrap w:val="0"/>
            <w:vAlign w:val="center"/>
          </w:tcPr>
          <w:p>
            <w:pPr>
              <w:spacing w:line="300" w:lineRule="exac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1</w:t>
            </w:r>
          </w:p>
        </w:tc>
        <w:tc>
          <w:tcPr>
            <w:tcW w:w="431" w:type="dxa"/>
            <w:vMerge w:val="restart"/>
            <w:noWrap w:val="0"/>
            <w:vAlign w:val="center"/>
          </w:tcPr>
          <w:p>
            <w:pPr>
              <w:spacing w:line="240" w:lineRule="exact"/>
              <w:jc w:val="center"/>
              <w:rPr>
                <w:rFonts w:hint="eastAsia" w:ascii="宋体" w:hAnsi="宋体" w:cs="宋体"/>
                <w:szCs w:val="21"/>
              </w:rPr>
            </w:pPr>
            <w:r>
              <w:rPr>
                <w:rFonts w:hint="eastAsia" w:ascii="宋体" w:hAnsi="宋体" w:cs="宋体"/>
                <w:szCs w:val="21"/>
              </w:rPr>
              <w:t>完整性</w:t>
            </w:r>
          </w:p>
        </w:tc>
        <w:tc>
          <w:tcPr>
            <w:tcW w:w="903" w:type="dxa"/>
            <w:noWrap w:val="0"/>
            <w:vAlign w:val="center"/>
          </w:tcPr>
          <w:p>
            <w:pPr>
              <w:spacing w:line="240" w:lineRule="exact"/>
              <w:jc w:val="center"/>
              <w:rPr>
                <w:rFonts w:hint="eastAsia" w:ascii="宋体" w:hAnsi="宋体" w:cs="宋体"/>
                <w:szCs w:val="21"/>
              </w:rPr>
            </w:pPr>
            <w:r>
              <w:rPr>
                <w:rFonts w:hint="eastAsia" w:ascii="宋体" w:hAnsi="宋体" w:cs="宋体"/>
                <w:szCs w:val="21"/>
              </w:rPr>
              <w:t>响应文件组成</w:t>
            </w:r>
          </w:p>
        </w:tc>
        <w:tc>
          <w:tcPr>
            <w:tcW w:w="3938" w:type="dxa"/>
            <w:noWrap w:val="0"/>
            <w:vAlign w:val="center"/>
          </w:tcPr>
          <w:p>
            <w:pPr>
              <w:pStyle w:val="41"/>
              <w:spacing w:line="240" w:lineRule="exact"/>
              <w:rPr>
                <w:rFonts w:hint="eastAsia" w:ascii="宋体" w:hAnsi="宋体" w:cs="宋体"/>
                <w:sz w:val="21"/>
                <w:lang w:val="en-US" w:eastAsia="zh-CN"/>
              </w:rPr>
            </w:pPr>
            <w:r>
              <w:rPr>
                <w:rFonts w:hint="eastAsia" w:ascii="宋体" w:hAnsi="宋体" w:cs="宋体"/>
                <w:sz w:val="21"/>
                <w:lang w:val="en-US" w:eastAsia="zh-CN"/>
              </w:rPr>
              <w:t>是否符合磋商文件“响应文件组成”的要求</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2</w:t>
            </w:r>
          </w:p>
        </w:tc>
        <w:tc>
          <w:tcPr>
            <w:tcW w:w="431" w:type="dxa"/>
            <w:vMerge w:val="continue"/>
            <w:noWrap w:val="0"/>
            <w:vAlign w:val="center"/>
          </w:tcPr>
          <w:p>
            <w:pPr>
              <w:spacing w:line="240" w:lineRule="exact"/>
              <w:jc w:val="center"/>
              <w:rPr>
                <w:rFonts w:hint="eastAsia" w:ascii="宋体" w:hAnsi="宋体" w:cs="宋体"/>
                <w:szCs w:val="21"/>
              </w:rPr>
            </w:pPr>
          </w:p>
        </w:tc>
        <w:tc>
          <w:tcPr>
            <w:tcW w:w="903" w:type="dxa"/>
            <w:noWrap w:val="0"/>
            <w:vAlign w:val="center"/>
          </w:tcPr>
          <w:p>
            <w:pPr>
              <w:spacing w:line="240" w:lineRule="exact"/>
              <w:jc w:val="center"/>
              <w:rPr>
                <w:rFonts w:hint="eastAsia" w:ascii="宋体" w:hAnsi="宋体" w:cs="宋体"/>
                <w:szCs w:val="21"/>
              </w:rPr>
            </w:pPr>
            <w:r>
              <w:rPr>
                <w:rFonts w:hint="eastAsia" w:ascii="宋体" w:hAnsi="宋体" w:cs="宋体"/>
                <w:szCs w:val="21"/>
              </w:rPr>
              <w:t>响应文件格式</w:t>
            </w:r>
          </w:p>
        </w:tc>
        <w:tc>
          <w:tcPr>
            <w:tcW w:w="3938" w:type="dxa"/>
            <w:noWrap w:val="0"/>
            <w:vAlign w:val="center"/>
          </w:tcPr>
          <w:p>
            <w:pPr>
              <w:pStyle w:val="41"/>
              <w:spacing w:line="240" w:lineRule="exact"/>
              <w:rPr>
                <w:rFonts w:hint="eastAsia" w:ascii="宋体" w:hAnsi="宋体" w:cs="宋体"/>
                <w:sz w:val="21"/>
                <w:lang w:val="en-US" w:eastAsia="zh-CN"/>
              </w:rPr>
            </w:pPr>
            <w:r>
              <w:rPr>
                <w:rFonts w:hint="eastAsia" w:ascii="宋体" w:hAnsi="宋体" w:cs="宋体"/>
                <w:sz w:val="21"/>
                <w:lang w:val="en-US" w:eastAsia="zh-CN"/>
              </w:rPr>
              <w:t>是否符合磋商文件第七章“响应文件组成”的要求。（响应文件未按规定的格式填写的，内容不全或关键字迹模糊、无法辨认的，为不合格）</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3</w:t>
            </w:r>
          </w:p>
        </w:tc>
        <w:tc>
          <w:tcPr>
            <w:tcW w:w="1334" w:type="dxa"/>
            <w:gridSpan w:val="2"/>
            <w:noWrap w:val="0"/>
            <w:vAlign w:val="center"/>
          </w:tcPr>
          <w:p>
            <w:pPr>
              <w:jc w:val="center"/>
              <w:rPr>
                <w:rFonts w:hint="eastAsia" w:ascii="宋体" w:hAnsi="宋体" w:cs="宋体"/>
                <w:szCs w:val="21"/>
              </w:rPr>
            </w:pPr>
            <w:r>
              <w:rPr>
                <w:rFonts w:hint="eastAsia" w:ascii="宋体" w:hAnsi="宋体" w:cs="宋体"/>
                <w:szCs w:val="21"/>
              </w:rPr>
              <w:t>响应内容</w:t>
            </w:r>
          </w:p>
        </w:tc>
        <w:tc>
          <w:tcPr>
            <w:tcW w:w="3938" w:type="dxa"/>
            <w:noWrap w:val="0"/>
            <w:vAlign w:val="center"/>
          </w:tcPr>
          <w:p>
            <w:pPr>
              <w:jc w:val="left"/>
              <w:rPr>
                <w:rFonts w:hint="eastAsia" w:ascii="宋体" w:hAnsi="宋体" w:cs="宋体"/>
                <w:szCs w:val="21"/>
              </w:rPr>
            </w:pPr>
            <w:r>
              <w:rPr>
                <w:rFonts w:hint="eastAsia" w:ascii="宋体" w:hAnsi="宋体" w:cs="宋体"/>
                <w:szCs w:val="21"/>
              </w:rPr>
              <w:t>响应文件载明的范围不小于磋商文件规定的磋商范围</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4</w:t>
            </w:r>
          </w:p>
        </w:tc>
        <w:tc>
          <w:tcPr>
            <w:tcW w:w="1334" w:type="dxa"/>
            <w:gridSpan w:val="2"/>
            <w:noWrap w:val="0"/>
            <w:vAlign w:val="center"/>
          </w:tcPr>
          <w:p>
            <w:pPr>
              <w:spacing w:line="240" w:lineRule="exact"/>
              <w:jc w:val="center"/>
              <w:rPr>
                <w:rFonts w:hint="eastAsia" w:ascii="宋体" w:hAnsi="宋体" w:cs="宋体"/>
                <w:szCs w:val="21"/>
              </w:rPr>
            </w:pPr>
            <w:r>
              <w:rPr>
                <w:rFonts w:hint="eastAsia" w:ascii="宋体" w:hAnsi="宋体" w:cs="宋体"/>
                <w:szCs w:val="21"/>
              </w:rPr>
              <w:t>工期</w:t>
            </w:r>
          </w:p>
        </w:tc>
        <w:tc>
          <w:tcPr>
            <w:tcW w:w="3938" w:type="dxa"/>
            <w:noWrap w:val="0"/>
            <w:vAlign w:val="center"/>
          </w:tcPr>
          <w:p>
            <w:pPr>
              <w:pStyle w:val="41"/>
              <w:spacing w:line="240" w:lineRule="exact"/>
              <w:rPr>
                <w:rFonts w:hint="eastAsia" w:ascii="宋体" w:hAnsi="宋体" w:cs="宋体"/>
                <w:sz w:val="21"/>
                <w:lang w:val="en-US" w:eastAsia="zh-CN"/>
              </w:rPr>
            </w:pPr>
            <w:r>
              <w:rPr>
                <w:rFonts w:hint="eastAsia" w:ascii="宋体" w:hAnsi="宋体" w:cs="宋体"/>
                <w:sz w:val="21"/>
                <w:lang w:val="en-US" w:eastAsia="zh-CN"/>
              </w:rPr>
              <w:t>响应文件载明的工期是否符合磋商文件规定</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5</w:t>
            </w:r>
          </w:p>
        </w:tc>
        <w:tc>
          <w:tcPr>
            <w:tcW w:w="1334" w:type="dxa"/>
            <w:gridSpan w:val="2"/>
            <w:noWrap w:val="0"/>
            <w:vAlign w:val="center"/>
          </w:tcPr>
          <w:p>
            <w:pPr>
              <w:jc w:val="center"/>
              <w:rPr>
                <w:rFonts w:hint="eastAsia" w:ascii="宋体" w:hAnsi="宋体" w:cs="宋体"/>
                <w:szCs w:val="21"/>
              </w:rPr>
            </w:pPr>
            <w:r>
              <w:rPr>
                <w:rFonts w:hint="eastAsia" w:ascii="宋体" w:hAnsi="宋体" w:cs="宋体"/>
                <w:szCs w:val="21"/>
              </w:rPr>
              <w:t>工程质量</w:t>
            </w:r>
          </w:p>
        </w:tc>
        <w:tc>
          <w:tcPr>
            <w:tcW w:w="3938" w:type="dxa"/>
            <w:noWrap w:val="0"/>
            <w:vAlign w:val="center"/>
          </w:tcPr>
          <w:p>
            <w:pPr>
              <w:jc w:val="left"/>
              <w:rPr>
                <w:rFonts w:hint="eastAsia" w:ascii="宋体" w:hAnsi="宋体" w:cs="宋体"/>
                <w:szCs w:val="21"/>
              </w:rPr>
            </w:pPr>
            <w:r>
              <w:rPr>
                <w:rFonts w:hint="eastAsia" w:ascii="宋体" w:hAnsi="宋体" w:cs="宋体"/>
                <w:szCs w:val="21"/>
              </w:rPr>
              <w:t>响应文件载明的质量标准是否符合磋商文件规定</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6</w:t>
            </w:r>
          </w:p>
        </w:tc>
        <w:tc>
          <w:tcPr>
            <w:tcW w:w="1334" w:type="dxa"/>
            <w:gridSpan w:val="2"/>
            <w:noWrap w:val="0"/>
            <w:vAlign w:val="center"/>
          </w:tcPr>
          <w:p>
            <w:pPr>
              <w:jc w:val="center"/>
              <w:rPr>
                <w:rFonts w:hint="eastAsia" w:ascii="宋体" w:hAnsi="宋体" w:cs="宋体"/>
                <w:szCs w:val="21"/>
              </w:rPr>
            </w:pPr>
            <w:r>
              <w:rPr>
                <w:rFonts w:hint="eastAsia" w:ascii="宋体" w:hAnsi="宋体" w:cs="宋体"/>
                <w:szCs w:val="21"/>
              </w:rPr>
              <w:t>保修要求</w:t>
            </w:r>
          </w:p>
        </w:tc>
        <w:tc>
          <w:tcPr>
            <w:tcW w:w="3938" w:type="dxa"/>
            <w:noWrap w:val="0"/>
            <w:vAlign w:val="center"/>
          </w:tcPr>
          <w:p>
            <w:pPr>
              <w:jc w:val="left"/>
              <w:rPr>
                <w:rFonts w:hint="eastAsia" w:ascii="宋体" w:hAnsi="宋体" w:cs="宋体"/>
                <w:szCs w:val="21"/>
              </w:rPr>
            </w:pPr>
            <w:r>
              <w:rPr>
                <w:rFonts w:hint="eastAsia" w:ascii="宋体" w:hAnsi="宋体" w:cs="宋体"/>
                <w:szCs w:val="21"/>
              </w:rPr>
              <w:t>响应文件载明的保修承诺是否符合磋商文件规定</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7</w:t>
            </w:r>
          </w:p>
        </w:tc>
        <w:tc>
          <w:tcPr>
            <w:tcW w:w="1334" w:type="dxa"/>
            <w:gridSpan w:val="2"/>
            <w:noWrap w:val="0"/>
            <w:vAlign w:val="center"/>
          </w:tcPr>
          <w:p>
            <w:pPr>
              <w:spacing w:line="240" w:lineRule="exact"/>
              <w:jc w:val="center"/>
              <w:rPr>
                <w:rFonts w:hint="eastAsia" w:ascii="宋体" w:hAnsi="宋体" w:cs="宋体"/>
                <w:szCs w:val="21"/>
              </w:rPr>
            </w:pPr>
            <w:r>
              <w:rPr>
                <w:rFonts w:hint="eastAsia" w:ascii="宋体" w:hAnsi="宋体" w:cs="宋体"/>
                <w:szCs w:val="21"/>
              </w:rPr>
              <w:t>响应文件有效期</w:t>
            </w:r>
          </w:p>
        </w:tc>
        <w:tc>
          <w:tcPr>
            <w:tcW w:w="3938" w:type="dxa"/>
            <w:noWrap w:val="0"/>
            <w:vAlign w:val="center"/>
          </w:tcPr>
          <w:p>
            <w:pPr>
              <w:pStyle w:val="41"/>
              <w:spacing w:line="240" w:lineRule="exact"/>
              <w:rPr>
                <w:rFonts w:hint="eastAsia" w:ascii="宋体" w:hAnsi="宋体" w:cs="宋体"/>
                <w:sz w:val="21"/>
                <w:lang w:val="en-US" w:eastAsia="zh-CN"/>
              </w:rPr>
            </w:pPr>
            <w:r>
              <w:rPr>
                <w:rFonts w:hint="eastAsia" w:ascii="宋体" w:hAnsi="宋体" w:cs="宋体"/>
                <w:sz w:val="21"/>
                <w:lang w:val="en-US" w:eastAsia="zh-CN"/>
              </w:rPr>
              <w:t>响应文件有效期是否符合磋商文件的要求</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51" w:type="dxa"/>
            <w:vMerge w:val="restart"/>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8</w:t>
            </w:r>
          </w:p>
        </w:tc>
        <w:tc>
          <w:tcPr>
            <w:tcW w:w="1334" w:type="dxa"/>
            <w:gridSpan w:val="2"/>
            <w:vMerge w:val="restart"/>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工程量清单报价</w:t>
            </w:r>
          </w:p>
        </w:tc>
        <w:tc>
          <w:tcPr>
            <w:tcW w:w="3938" w:type="dxa"/>
            <w:noWrap w:val="0"/>
            <w:vAlign w:val="center"/>
          </w:tcPr>
          <w:p>
            <w:pPr>
              <w:jc w:val="left"/>
              <w:rPr>
                <w:rFonts w:hint="eastAsia" w:ascii="宋体" w:hAnsi="宋体" w:cs="宋体"/>
                <w:szCs w:val="21"/>
              </w:rPr>
            </w:pPr>
            <w:r>
              <w:rPr>
                <w:rFonts w:hint="eastAsia" w:ascii="宋体" w:hAnsi="宋体" w:cs="宋体"/>
                <w:szCs w:val="21"/>
              </w:rPr>
              <w:t>响应文件</w:t>
            </w:r>
            <w:r>
              <w:rPr>
                <w:rFonts w:hint="eastAsia" w:ascii="宋体" w:hAnsi="宋体" w:cs="宋体"/>
                <w:kern w:val="0"/>
                <w:szCs w:val="21"/>
              </w:rPr>
              <w:t>是否按磋商文件要求报价，</w:t>
            </w:r>
            <w:r>
              <w:rPr>
                <w:rFonts w:hint="eastAsia" w:ascii="宋体" w:hAnsi="宋体" w:cs="宋体"/>
                <w:szCs w:val="21"/>
              </w:rPr>
              <w:t>是否符合磋商文件“工程量清单”给出的项目编码、项目名称、项目特征描述、计量单位和工程量等</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51" w:type="dxa"/>
            <w:vMerge w:val="continue"/>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1334" w:type="dxa"/>
            <w:gridSpan w:val="2"/>
            <w:vMerge w:val="continue"/>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3938" w:type="dxa"/>
            <w:noWrap w:val="0"/>
            <w:vAlign w:val="center"/>
          </w:tcPr>
          <w:p>
            <w:pPr>
              <w:jc w:val="left"/>
              <w:rPr>
                <w:rFonts w:hint="eastAsia" w:ascii="宋体" w:hAnsi="宋体" w:cs="宋体"/>
                <w:szCs w:val="21"/>
              </w:rPr>
            </w:pPr>
            <w:r>
              <w:rPr>
                <w:rFonts w:hint="eastAsia" w:ascii="宋体" w:hAnsi="宋体" w:cs="宋体"/>
                <w:szCs w:val="21"/>
              </w:rPr>
              <w:t>供应商的报价不得超过采购预算，也不得超过最高限价(如果设定)</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9</w:t>
            </w:r>
          </w:p>
        </w:tc>
        <w:tc>
          <w:tcPr>
            <w:tcW w:w="5272" w:type="dxa"/>
            <w:gridSpan w:val="3"/>
            <w:noWrap w:val="0"/>
            <w:vAlign w:val="center"/>
          </w:tcPr>
          <w:p>
            <w:pPr>
              <w:pStyle w:val="41"/>
              <w:rPr>
                <w:rFonts w:hint="eastAsia" w:ascii="宋体" w:hAnsi="宋体" w:cs="宋体"/>
                <w:sz w:val="21"/>
                <w:lang w:val="en-US" w:eastAsia="zh-CN"/>
              </w:rPr>
            </w:pPr>
            <w:r>
              <w:rPr>
                <w:rFonts w:hint="eastAsia" w:ascii="宋体" w:hAnsi="宋体" w:cs="宋体"/>
                <w:sz w:val="21"/>
                <w:lang w:val="en-US" w:eastAsia="zh-CN"/>
              </w:rPr>
              <w:t>响应文件对磋商文件中标明的实质性要求和条件是否偏离，若有实质性偏离，其投标无效</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10</w:t>
            </w:r>
          </w:p>
        </w:tc>
        <w:tc>
          <w:tcPr>
            <w:tcW w:w="5272" w:type="dxa"/>
            <w:gridSpan w:val="3"/>
            <w:noWrap w:val="0"/>
            <w:vAlign w:val="center"/>
          </w:tcPr>
          <w:p>
            <w:pPr>
              <w:pStyle w:val="41"/>
              <w:rPr>
                <w:rFonts w:hint="eastAsia" w:ascii="宋体" w:hAnsi="宋体" w:cs="宋体"/>
                <w:sz w:val="21"/>
                <w:lang w:val="en-US" w:eastAsia="zh-CN"/>
              </w:rPr>
            </w:pPr>
            <w:r>
              <w:rPr>
                <w:rFonts w:hint="eastAsia" w:ascii="宋体" w:hAnsi="宋体" w:cs="宋体"/>
                <w:sz w:val="21"/>
                <w:lang w:val="en-US" w:eastAsia="zh-CN"/>
              </w:rPr>
              <w:t>一般商务</w:t>
            </w:r>
            <w:r>
              <w:rPr>
                <w:rFonts w:hint="eastAsia" w:ascii="宋体" w:hAnsi="宋体" w:cs="宋体"/>
                <w:spacing w:val="4"/>
                <w:sz w:val="21"/>
                <w:lang w:val="en-US" w:eastAsia="zh-CN"/>
              </w:rPr>
              <w:t>和</w:t>
            </w:r>
            <w:r>
              <w:rPr>
                <w:rFonts w:hint="eastAsia" w:ascii="宋体" w:hAnsi="宋体" w:cs="宋体"/>
                <w:sz w:val="21"/>
                <w:lang w:val="en-US" w:eastAsia="zh-CN"/>
              </w:rPr>
              <w:t>技术条款偏离项数之和≥</w:t>
            </w:r>
            <w:r>
              <w:rPr>
                <w:rFonts w:hint="eastAsia" w:ascii="宋体" w:hAnsi="宋体" w:cs="宋体"/>
                <w:sz w:val="21"/>
                <w:u w:val="single"/>
                <w:lang w:val="en-US" w:eastAsia="zh-CN"/>
              </w:rPr>
              <w:t xml:space="preserve"> 10 </w:t>
            </w:r>
            <w:r>
              <w:rPr>
                <w:rFonts w:hint="eastAsia" w:ascii="宋体" w:hAnsi="宋体" w:cs="宋体"/>
                <w:sz w:val="21"/>
                <w:lang w:val="en-US" w:eastAsia="zh-CN"/>
              </w:rPr>
              <w:t>项将导致无效响应。</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11</w:t>
            </w:r>
          </w:p>
        </w:tc>
        <w:tc>
          <w:tcPr>
            <w:tcW w:w="5272" w:type="dxa"/>
            <w:gridSpan w:val="3"/>
            <w:noWrap w:val="0"/>
            <w:vAlign w:val="center"/>
          </w:tcPr>
          <w:p>
            <w:pPr>
              <w:pStyle w:val="41"/>
              <w:rPr>
                <w:rFonts w:hint="eastAsia" w:ascii="宋体" w:hAnsi="宋体" w:cs="宋体"/>
                <w:sz w:val="21"/>
                <w:lang w:val="en-US" w:eastAsia="zh-CN"/>
              </w:rPr>
            </w:pPr>
            <w:r>
              <w:rPr>
                <w:rFonts w:hint="eastAsia" w:ascii="宋体" w:hAnsi="宋体" w:cs="宋体"/>
                <w:sz w:val="21"/>
                <w:lang w:val="en-US" w:eastAsia="zh-CN"/>
              </w:rPr>
              <w:t>响应文件符合磋商文件所有条款、条件且没有重大偏离或保留</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12</w:t>
            </w:r>
          </w:p>
        </w:tc>
        <w:tc>
          <w:tcPr>
            <w:tcW w:w="5272" w:type="dxa"/>
            <w:gridSpan w:val="3"/>
            <w:noWrap w:val="0"/>
            <w:vAlign w:val="center"/>
          </w:tcPr>
          <w:p>
            <w:pPr>
              <w:pStyle w:val="41"/>
              <w:spacing w:line="240" w:lineRule="exact"/>
              <w:rPr>
                <w:rFonts w:hint="eastAsia" w:ascii="宋体" w:hAnsi="宋体" w:cs="宋体"/>
                <w:sz w:val="21"/>
                <w:lang w:val="en-US" w:eastAsia="zh-CN"/>
              </w:rPr>
            </w:pPr>
            <w:r>
              <w:rPr>
                <w:rFonts w:hint="eastAsia" w:ascii="宋体" w:hAnsi="宋体" w:cs="宋体"/>
                <w:sz w:val="21"/>
                <w:lang w:val="en-US" w:eastAsia="zh-CN"/>
              </w:rPr>
              <w:t>响应文件是否含有采购人不能接受的附加条件。</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51"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13</w:t>
            </w:r>
          </w:p>
        </w:tc>
        <w:tc>
          <w:tcPr>
            <w:tcW w:w="1334" w:type="dxa"/>
            <w:gridSpan w:val="2"/>
            <w:noWrap w:val="0"/>
            <w:vAlign w:val="center"/>
          </w:tcPr>
          <w:p>
            <w:pPr>
              <w:spacing w:line="240" w:lineRule="exact"/>
              <w:jc w:val="center"/>
              <w:rPr>
                <w:rFonts w:hint="eastAsia" w:ascii="宋体" w:hAnsi="宋体" w:cs="宋体"/>
                <w:szCs w:val="21"/>
              </w:rPr>
            </w:pPr>
            <w:r>
              <w:rPr>
                <w:rFonts w:hint="eastAsia" w:ascii="宋体" w:hAnsi="宋体" w:cs="宋体"/>
                <w:szCs w:val="21"/>
              </w:rPr>
              <w:t>商务技术文件的装订、签署、盖章</w:t>
            </w:r>
          </w:p>
        </w:tc>
        <w:tc>
          <w:tcPr>
            <w:tcW w:w="3938" w:type="dxa"/>
            <w:noWrap w:val="0"/>
            <w:vAlign w:val="center"/>
          </w:tcPr>
          <w:p>
            <w:pPr>
              <w:pStyle w:val="41"/>
              <w:spacing w:line="240" w:lineRule="exact"/>
              <w:rPr>
                <w:rFonts w:hint="eastAsia" w:ascii="宋体" w:hAnsi="宋体" w:cs="宋体"/>
                <w:sz w:val="21"/>
                <w:lang w:val="en-US" w:eastAsia="zh-CN"/>
              </w:rPr>
            </w:pPr>
            <w:r>
              <w:rPr>
                <w:rFonts w:hint="eastAsia" w:ascii="宋体" w:hAnsi="宋体" w:cs="宋体"/>
                <w:sz w:val="21"/>
                <w:lang w:val="en-US" w:eastAsia="zh-CN"/>
              </w:rPr>
              <w:t>是否符合磋商文件第二章“磋商须知”第18条要求</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885" w:type="dxa"/>
            <w:gridSpan w:val="3"/>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结论</w:t>
            </w:r>
          </w:p>
        </w:tc>
        <w:tc>
          <w:tcPr>
            <w:tcW w:w="393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r>
              <w:rPr>
                <w:rFonts w:hint="eastAsia" w:ascii="宋体" w:hAnsi="宋体" w:cs="宋体"/>
                <w:sz w:val="21"/>
                <w:szCs w:val="21"/>
                <w:lang w:val="en-US" w:eastAsia="zh-CN"/>
              </w:rPr>
              <w:t>合格或不合格</w:t>
            </w: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8"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c>
          <w:tcPr>
            <w:tcW w:w="959" w:type="dxa"/>
            <w:noWrap w:val="0"/>
            <w:vAlign w:val="center"/>
          </w:tcPr>
          <w:p>
            <w:pPr>
              <w:pStyle w:val="19"/>
              <w:tabs>
                <w:tab w:val="left" w:pos="630"/>
              </w:tabs>
              <w:spacing w:after="0"/>
              <w:ind w:left="0" w:leftChars="0" w:firstLine="0" w:firstLineChars="0"/>
              <w:jc w:val="center"/>
              <w:rPr>
                <w:rFonts w:hint="eastAsia" w:ascii="宋体" w:hAnsi="宋体" w:cs="宋体"/>
                <w:sz w:val="21"/>
                <w:szCs w:val="21"/>
                <w:lang w:val="en-US" w:eastAsia="zh-CN"/>
              </w:rPr>
            </w:pPr>
          </w:p>
        </w:tc>
      </w:tr>
    </w:tbl>
    <w:p>
      <w:pPr>
        <w:widowControl/>
        <w:jc w:val="left"/>
        <w:rPr>
          <w:rFonts w:hint="eastAsia" w:ascii="宋体" w:hAnsi="宋体" w:cs="宋体"/>
          <w:bCs/>
          <w:sz w:val="24"/>
        </w:rPr>
      </w:pPr>
      <w:r>
        <w:rPr>
          <w:rFonts w:ascii="宋体" w:hAnsi="宋体" w:cs="宋体"/>
          <w:kern w:val="0"/>
          <w:szCs w:val="21"/>
        </w:rPr>
        <w:t>备注：1、达到要求的标记“√”，未达到的标记“╳”并注明其理由。</w:t>
      </w:r>
      <w:r>
        <w:rPr>
          <w:rFonts w:ascii="宋体" w:hAnsi="宋体" w:cs="宋体"/>
          <w:kern w:val="0"/>
          <w:szCs w:val="21"/>
        </w:rPr>
        <w:br w:type="textWrapping"/>
      </w:r>
      <w:r>
        <w:rPr>
          <w:rFonts w:hint="eastAsia" w:ascii="宋体" w:hAnsi="宋体" w:cs="宋体"/>
          <w:kern w:val="0"/>
          <w:szCs w:val="21"/>
        </w:rPr>
        <w:t xml:space="preserve">      </w:t>
      </w:r>
      <w:r>
        <w:rPr>
          <w:rFonts w:ascii="宋体" w:hAnsi="宋体" w:cs="宋体"/>
          <w:kern w:val="0"/>
          <w:szCs w:val="21"/>
        </w:rPr>
        <w:t>2、结论填写“合格”或“不合格”</w:t>
      </w:r>
      <w:r>
        <w:rPr>
          <w:rFonts w:hint="eastAsia" w:ascii="宋体" w:hAnsi="宋体" w:cs="宋体"/>
          <w:kern w:val="0"/>
          <w:szCs w:val="21"/>
        </w:rPr>
        <w:t>。</w:t>
      </w:r>
      <w:r>
        <w:rPr>
          <w:rFonts w:ascii="宋体" w:hAnsi="宋体" w:cs="宋体"/>
          <w:kern w:val="0"/>
          <w:szCs w:val="21"/>
        </w:rPr>
        <w:br w:type="textWrapping"/>
      </w:r>
      <w:r>
        <w:rPr>
          <w:rFonts w:hint="eastAsia" w:ascii="宋体" w:hAnsi="宋体" w:cs="宋体"/>
          <w:kern w:val="0"/>
          <w:szCs w:val="21"/>
        </w:rPr>
        <w:t xml:space="preserve">      3</w:t>
      </w:r>
      <w:r>
        <w:rPr>
          <w:rFonts w:ascii="宋体" w:hAnsi="宋体" w:cs="宋体"/>
          <w:kern w:val="0"/>
          <w:szCs w:val="21"/>
        </w:rPr>
        <w:t>、结论“不合格”的</w:t>
      </w:r>
      <w:r>
        <w:rPr>
          <w:rFonts w:hint="eastAsia" w:ascii="宋体" w:hAnsi="宋体" w:cs="宋体"/>
          <w:kern w:val="0"/>
          <w:szCs w:val="21"/>
        </w:rPr>
        <w:t>供应商</w:t>
      </w:r>
      <w:r>
        <w:rPr>
          <w:rFonts w:ascii="宋体" w:hAnsi="宋体" w:cs="宋体"/>
          <w:kern w:val="0"/>
          <w:szCs w:val="21"/>
        </w:rPr>
        <w:t>不进入下一轮评议。</w:t>
      </w:r>
    </w:p>
    <w:p>
      <w:pPr>
        <w:pStyle w:val="48"/>
        <w:ind w:firstLine="0" w:firstLineChars="0"/>
        <w:rPr>
          <w:rFonts w:hint="eastAsia" w:ascii="宋体" w:hAnsi="宋体" w:cs="宋体"/>
          <w:bCs/>
        </w:rPr>
      </w:pPr>
    </w:p>
    <w:p>
      <w:pPr>
        <w:pStyle w:val="48"/>
        <w:ind w:firstLine="0" w:firstLineChars="0"/>
        <w:rPr>
          <w:rFonts w:hint="eastAsia" w:ascii="宋体" w:hAnsi="Times New Roman" w:cs="宋体"/>
          <w:b/>
          <w:bCs/>
          <w:kern w:val="0"/>
          <w:sz w:val="28"/>
          <w:szCs w:val="28"/>
        </w:rPr>
      </w:pPr>
      <w:r>
        <w:rPr>
          <w:rFonts w:hint="eastAsia" w:ascii="宋体" w:hAnsi="宋体" w:cs="宋体"/>
          <w:bCs/>
        </w:rPr>
        <w:t>蹉商小组（签字/日期）：</w:t>
      </w:r>
    </w:p>
    <w:p>
      <w:pPr>
        <w:spacing w:line="480" w:lineRule="exact"/>
        <w:outlineLvl w:val="9"/>
        <w:rPr>
          <w:rFonts w:hint="eastAsia" w:ascii="宋体" w:hAnsi="宋体" w:cs="宋体"/>
          <w:b/>
          <w:bCs/>
          <w:sz w:val="28"/>
          <w:szCs w:val="28"/>
        </w:rPr>
      </w:pPr>
      <w:r>
        <w:rPr>
          <w:rFonts w:hint="eastAsia" w:ascii="宋体" w:hAnsi="宋体" w:cs="宋体"/>
          <w:b/>
          <w:bCs/>
          <w:sz w:val="28"/>
          <w:szCs w:val="28"/>
        </w:rPr>
        <w:br w:type="page"/>
      </w:r>
      <w:bookmarkStart w:id="53" w:name="_Toc28240"/>
      <w:r>
        <w:rPr>
          <w:rFonts w:hint="eastAsia" w:ascii="宋体" w:hAnsi="宋体" w:cs="仿宋_GB2312"/>
          <w:b/>
          <w:bCs/>
          <w:szCs w:val="21"/>
        </w:rPr>
        <w:t>附表4  响应文件符合性审查表</w:t>
      </w:r>
      <w:bookmarkEnd w:id="53"/>
    </w:p>
    <w:p>
      <w:pPr>
        <w:spacing w:line="480" w:lineRule="exact"/>
        <w:jc w:val="center"/>
        <w:rPr>
          <w:rFonts w:hint="eastAsia" w:ascii="宋体" w:hAnsi="宋体" w:cs="宋体"/>
          <w:sz w:val="24"/>
        </w:rPr>
      </w:pPr>
      <w:r>
        <w:rPr>
          <w:rFonts w:hint="eastAsia" w:ascii="宋体" w:hAnsi="宋体" w:cs="宋体"/>
          <w:b/>
          <w:bCs/>
          <w:sz w:val="28"/>
          <w:szCs w:val="28"/>
        </w:rPr>
        <w:t>响应文件符合性审查表</w:t>
      </w:r>
    </w:p>
    <w:p>
      <w:pPr>
        <w:jc w:val="center"/>
        <w:rPr>
          <w:rFonts w:hint="eastAsia" w:ascii="宋体" w:hAnsi="宋体" w:cs="宋体"/>
          <w:b/>
          <w:bCs/>
          <w:kern w:val="0"/>
          <w:sz w:val="36"/>
          <w:szCs w:val="36"/>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639"/>
        <w:gridCol w:w="2165"/>
        <w:gridCol w:w="2850"/>
        <w:gridCol w:w="910"/>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sz w:val="22"/>
                <w:szCs w:val="22"/>
              </w:rPr>
            </w:pPr>
            <w:r>
              <w:rPr>
                <w:rFonts w:hint="eastAsia" w:ascii="宋体" w:hAnsi="宋体" w:cs="宋体"/>
                <w:sz w:val="22"/>
                <w:szCs w:val="22"/>
              </w:rPr>
              <w:t>序号</w:t>
            </w:r>
          </w:p>
        </w:tc>
        <w:tc>
          <w:tcPr>
            <w:tcW w:w="2639"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ind w:right="-107" w:rightChars="-51"/>
              <w:jc w:val="right"/>
              <w:rPr>
                <w:rFonts w:hint="eastAsia"/>
              </w:rPr>
            </w:pPr>
            <w:r>
              <w:rPr>
                <w:rFonts w:hint="eastAsia"/>
              </w:rPr>
              <w:t xml:space="preserve">         检查项目</w:t>
            </w:r>
          </w:p>
          <w:p>
            <w:pPr>
              <w:pStyle w:val="19"/>
              <w:tabs>
                <w:tab w:val="left" w:pos="630"/>
              </w:tabs>
              <w:ind w:left="0" w:leftChars="0" w:firstLine="0" w:firstLineChars="0"/>
              <w:rPr>
                <w:rFonts w:hint="eastAsia"/>
                <w:lang w:val="en-US" w:eastAsia="zh-CN"/>
              </w:rPr>
            </w:pPr>
            <w:r>
              <w:rPr>
                <w:rFonts w:hint="eastAsia" w:ascii="宋体" w:hAnsi="宋体" w:cs="宋体"/>
                <w:sz w:val="22"/>
                <w:szCs w:val="22"/>
                <w:lang w:val="en-US" w:eastAsia="zh-CN"/>
              </w:rPr>
              <w:t>供应商名称</w:t>
            </w:r>
          </w:p>
        </w:tc>
        <w:tc>
          <w:tcPr>
            <w:tcW w:w="2165"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详见磋商文件“采购需求”</w:t>
            </w:r>
          </w:p>
        </w:tc>
        <w:tc>
          <w:tcPr>
            <w:tcW w:w="2850"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cs="宋体"/>
                <w:szCs w:val="21"/>
              </w:rPr>
              <w:t>是否有不符合法律、法规情况</w:t>
            </w:r>
            <w:r>
              <w:rPr>
                <w:rFonts w:hint="eastAsia" w:ascii="宋体" w:hAnsi="宋体" w:cs="宋体"/>
                <w:b/>
                <w:bCs/>
                <w:szCs w:val="21"/>
              </w:rPr>
              <w:t>(此栏填写“有”或“无”)</w:t>
            </w:r>
          </w:p>
        </w:tc>
        <w:tc>
          <w:tcPr>
            <w:tcW w:w="910"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r>
              <w:rPr>
                <w:rFonts w:hint="eastAsia" w:ascii="宋体" w:hAnsi="宋体" w:cs="宋体"/>
                <w:sz w:val="22"/>
                <w:szCs w:val="22"/>
              </w:rPr>
              <w:t>结论</w:t>
            </w: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r>
              <w:rPr>
                <w:rFonts w:hint="eastAsia" w:ascii="宋体" w:hAnsi="宋体" w:cs="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r>
              <w:rPr>
                <w:rFonts w:hint="eastAsia" w:ascii="宋体" w:hAnsi="宋体" w:cs="宋体"/>
                <w:sz w:val="22"/>
                <w:szCs w:val="22"/>
              </w:rPr>
              <w:t>1</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22"/>
                <w:szCs w:val="22"/>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r>
              <w:rPr>
                <w:rFonts w:hint="eastAsia" w:ascii="宋体" w:hAnsi="宋体" w:cs="宋体"/>
                <w:sz w:val="22"/>
                <w:szCs w:val="22"/>
              </w:rPr>
              <w:t>2</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22"/>
                <w:szCs w:val="22"/>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r>
              <w:rPr>
                <w:rFonts w:hint="eastAsia" w:ascii="宋体" w:hAnsi="宋体" w:cs="宋体"/>
                <w:sz w:val="22"/>
                <w:szCs w:val="22"/>
              </w:rPr>
              <w:t>3</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22"/>
                <w:szCs w:val="22"/>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sz w:val="22"/>
                <w:szCs w:val="22"/>
              </w:rPr>
            </w:pPr>
          </w:p>
        </w:tc>
      </w:tr>
    </w:tbl>
    <w:p>
      <w:pPr>
        <w:tabs>
          <w:tab w:val="right" w:pos="8844"/>
        </w:tabs>
        <w:adjustRightInd w:val="0"/>
        <w:snapToGrid w:val="0"/>
        <w:spacing w:line="280" w:lineRule="exact"/>
        <w:ind w:right="28"/>
        <w:rPr>
          <w:rFonts w:hint="eastAsia" w:ascii="宋体" w:hAnsi="宋体" w:cs="宋体"/>
          <w:szCs w:val="21"/>
        </w:rPr>
      </w:pPr>
    </w:p>
    <w:p>
      <w:pPr>
        <w:tabs>
          <w:tab w:val="right" w:pos="8844"/>
        </w:tabs>
        <w:adjustRightInd w:val="0"/>
        <w:snapToGrid w:val="0"/>
        <w:spacing w:line="280" w:lineRule="exact"/>
        <w:ind w:right="28"/>
        <w:rPr>
          <w:rFonts w:hint="eastAsia" w:ascii="宋体" w:hAnsi="宋体" w:cs="宋体"/>
          <w:szCs w:val="21"/>
        </w:rPr>
      </w:pPr>
      <w:r>
        <w:rPr>
          <w:rFonts w:hint="eastAsia" w:ascii="宋体" w:hAnsi="宋体" w:cs="宋体"/>
          <w:szCs w:val="21"/>
        </w:rPr>
        <w:t>备注：1、达到要求的标记“√”，未达到的标记“×”并注明其理由。</w:t>
      </w:r>
    </w:p>
    <w:p>
      <w:pPr>
        <w:tabs>
          <w:tab w:val="right" w:pos="8844"/>
        </w:tabs>
        <w:adjustRightInd w:val="0"/>
        <w:snapToGrid w:val="0"/>
        <w:spacing w:line="280" w:lineRule="exact"/>
        <w:ind w:right="28" w:firstLine="630" w:firstLineChars="300"/>
        <w:rPr>
          <w:rFonts w:hint="eastAsia" w:ascii="宋体" w:hAnsi="宋体" w:cs="宋体"/>
          <w:szCs w:val="21"/>
        </w:rPr>
      </w:pPr>
      <w:r>
        <w:rPr>
          <w:rFonts w:hint="eastAsia" w:ascii="宋体" w:hAnsi="宋体" w:cs="宋体"/>
          <w:szCs w:val="21"/>
        </w:rPr>
        <w:t>2、结论填写“合格”或“不合格”。</w:t>
      </w:r>
    </w:p>
    <w:p>
      <w:pPr>
        <w:spacing w:line="280" w:lineRule="exact"/>
        <w:ind w:left="630" w:leftChars="300"/>
        <w:rPr>
          <w:rFonts w:hint="eastAsia" w:ascii="宋体" w:hAnsi="宋体" w:cs="宋体"/>
          <w:szCs w:val="21"/>
        </w:rPr>
      </w:pPr>
      <w:r>
        <w:rPr>
          <w:rFonts w:hint="eastAsia" w:ascii="宋体" w:hAnsi="宋体" w:cs="宋体"/>
          <w:szCs w:val="21"/>
        </w:rPr>
        <w:t>3、结论为“不合格”的不进入下一轮评审。</w:t>
      </w:r>
    </w:p>
    <w:p>
      <w:pPr>
        <w:spacing w:before="240" w:beforeLines="100"/>
        <w:rPr>
          <w:rFonts w:hint="eastAsia" w:ascii="宋体" w:hAnsi="宋体" w:cs="宋体"/>
          <w:bCs/>
          <w:sz w:val="24"/>
        </w:rPr>
      </w:pPr>
      <w:r>
        <w:rPr>
          <w:rFonts w:hint="eastAsia" w:ascii="宋体" w:hAnsi="宋体" w:cs="宋体"/>
          <w:bCs/>
          <w:szCs w:val="21"/>
        </w:rPr>
        <w:t>蹉商小组（签字/日期）</w:t>
      </w:r>
      <w:r>
        <w:rPr>
          <w:rFonts w:hint="eastAsia" w:ascii="宋体" w:hAnsi="宋体" w:cs="宋体"/>
          <w:bCs/>
          <w:sz w:val="24"/>
        </w:rPr>
        <w:t>：</w:t>
      </w:r>
    </w:p>
    <w:p>
      <w:pPr>
        <w:pStyle w:val="19"/>
        <w:rPr>
          <w:rFonts w:hint="eastAsia"/>
        </w:rPr>
        <w:sectPr>
          <w:footerReference r:id="rId10" w:type="default"/>
          <w:pgSz w:w="11906" w:h="16838"/>
          <w:pgMar w:top="1474" w:right="1531" w:bottom="1474" w:left="1531" w:header="851" w:footer="992" w:gutter="0"/>
          <w:pgNumType w:fmt="decimal"/>
          <w:cols w:space="720" w:num="1"/>
          <w:docGrid w:linePitch="312" w:charSpace="0"/>
        </w:sectPr>
      </w:pPr>
    </w:p>
    <w:p>
      <w:pPr>
        <w:adjustRightInd w:val="0"/>
        <w:snapToGrid w:val="0"/>
        <w:spacing w:before="156" w:beforeLines="50" w:line="360" w:lineRule="auto"/>
        <w:jc w:val="center"/>
        <w:outlineLvl w:val="0"/>
        <w:rPr>
          <w:rFonts w:hint="default" w:ascii="宋体" w:hAnsi="宋体" w:eastAsia="宋体" w:cs="宋体"/>
          <w:b/>
          <w:color w:val="auto"/>
          <w:sz w:val="32"/>
          <w:szCs w:val="32"/>
          <w:lang w:val="en-US" w:eastAsia="zh-CN"/>
        </w:rPr>
      </w:pPr>
      <w:bookmarkStart w:id="54" w:name="_bookmark34"/>
      <w:bookmarkEnd w:id="54"/>
      <w:bookmarkStart w:id="55" w:name="附表5  评审因素及标准"/>
      <w:bookmarkEnd w:id="55"/>
      <w:bookmarkStart w:id="56" w:name="_Toc29100"/>
      <w:r>
        <w:rPr>
          <w:rFonts w:hint="eastAsia" w:ascii="宋体" w:hAnsi="宋体" w:eastAsia="宋体" w:cs="宋体"/>
          <w:b/>
          <w:color w:val="auto"/>
          <w:sz w:val="32"/>
          <w:szCs w:val="32"/>
          <w:lang w:eastAsia="zh-CN"/>
        </w:rPr>
        <w:t>第五章</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eastAsia="zh-CN"/>
        </w:rPr>
        <w:t>政府采购合同格式</w:t>
      </w:r>
      <w:bookmarkEnd w:id="56"/>
    </w:p>
    <w:p>
      <w:pPr>
        <w:adjustRightInd w:val="0"/>
        <w:snapToGrid w:val="0"/>
        <w:spacing w:before="156" w:beforeLines="50" w:line="360" w:lineRule="auto"/>
        <w:jc w:val="center"/>
        <w:outlineLvl w:val="1"/>
        <w:rPr>
          <w:rFonts w:hint="eastAsia"/>
          <w:color w:val="auto"/>
        </w:rPr>
      </w:pPr>
      <w:bookmarkStart w:id="57" w:name="_Toc29796"/>
      <w:bookmarkStart w:id="58" w:name="_Toc32396"/>
      <w:r>
        <w:rPr>
          <w:rFonts w:hint="eastAsia" w:ascii="宋体" w:hAnsi="宋体" w:cs="宋体"/>
          <w:b/>
          <w:color w:val="auto"/>
          <w:sz w:val="32"/>
          <w:szCs w:val="32"/>
          <w:lang w:eastAsia="zh-CN"/>
        </w:rPr>
        <w:t>第一节</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政府采购合同协议书</w:t>
      </w:r>
      <w:bookmarkEnd w:id="57"/>
      <w:bookmarkEnd w:id="58"/>
    </w:p>
    <w:p>
      <w:pPr>
        <w:jc w:val="both"/>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政府采购编号：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ab/>
      </w:r>
    </w:p>
    <w:p>
      <w:pPr>
        <w:jc w:val="both"/>
        <w:rPr>
          <w:rFonts w:hint="eastAsia" w:asciiTheme="majorEastAsia" w:hAnsiTheme="majorEastAsia" w:eastAsiaTheme="majorEastAsia" w:cstheme="majorEastAsia"/>
          <w:color w:val="auto"/>
          <w:kern w:val="0"/>
          <w:sz w:val="21"/>
          <w:szCs w:val="21"/>
          <w:lang w:val="en-US" w:eastAsia="zh-CN" w:bidi="ar-SA"/>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采购人</w:t>
      </w:r>
      <w:r>
        <w:rPr>
          <w:rFonts w:hint="eastAsia" w:asciiTheme="majorEastAsia" w:hAnsiTheme="majorEastAsia" w:eastAsiaTheme="majorEastAsia" w:cstheme="majorEastAsia"/>
          <w:color w:val="auto"/>
          <w:szCs w:val="21"/>
        </w:rPr>
        <w:t>（全称）：</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（甲方）</w:t>
      </w:r>
    </w:p>
    <w:p>
      <w:pPr>
        <w:jc w:val="both"/>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 w:val="21"/>
          <w:szCs w:val="21"/>
          <w:lang w:val="en-US" w:eastAsia="zh-CN" w:bidi="ar-SA"/>
        </w:rPr>
        <w:t xml:space="preserve">   </w:t>
      </w:r>
      <w:r>
        <w:rPr>
          <w:rFonts w:hint="eastAsia" w:asciiTheme="majorEastAsia" w:hAnsiTheme="majorEastAsia" w:eastAsiaTheme="majorEastAsia" w:cstheme="majorEastAsia"/>
          <w:color w:val="auto"/>
          <w:szCs w:val="21"/>
        </w:rPr>
        <w:t xml:space="preserve">                       </w:t>
      </w:r>
      <w:r>
        <w:rPr>
          <w:rFonts w:hint="eastAsia" w:asciiTheme="majorEastAsia" w:hAnsiTheme="majorEastAsia" w:eastAsiaTheme="majorEastAsia" w:cstheme="majorEastAsia"/>
          <w:color w:val="auto"/>
          <w:szCs w:val="21"/>
          <w:lang w:val="en-US" w:eastAsia="zh-CN"/>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供应商（全称）：</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（乙方）</w:t>
      </w:r>
    </w:p>
    <w:p>
      <w:pPr>
        <w:pStyle w:val="9"/>
        <w:adjustRightInd w:val="0"/>
        <w:snapToGrid w:val="0"/>
        <w:spacing w:after="0" w:line="360" w:lineRule="auto"/>
        <w:rPr>
          <w:rFonts w:hint="eastAsia" w:asciiTheme="majorEastAsia" w:hAnsiTheme="majorEastAsia" w:eastAsiaTheme="majorEastAsia" w:cstheme="majorEastAsia"/>
          <w:color w:val="auto"/>
          <w:sz w:val="21"/>
          <w:szCs w:val="21"/>
        </w:rPr>
      </w:pPr>
    </w:p>
    <w:p>
      <w:pPr>
        <w:pStyle w:val="9"/>
        <w:adjustRightInd w:val="0"/>
        <w:snapToGrid w:val="0"/>
        <w:spacing w:after="0" w:line="360" w:lineRule="auto"/>
        <w:ind w:left="0" w:leftChars="0"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422" w:firstLineChars="20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1.项目信息</w:t>
      </w:r>
    </w:p>
    <w:p>
      <w:pPr>
        <w:pStyle w:val="9"/>
        <w:adjustRightInd w:val="0"/>
        <w:snapToGrid w:val="0"/>
        <w:spacing w:after="0" w:line="36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（1）采购项目名称：</w:t>
      </w:r>
      <w:r>
        <w:rPr>
          <w:rFonts w:hint="eastAsia" w:asciiTheme="majorEastAsia" w:hAnsiTheme="majorEastAsia" w:eastAsiaTheme="majorEastAsia" w:cstheme="majorEastAsia"/>
          <w:color w:val="auto"/>
          <w:sz w:val="21"/>
          <w:szCs w:val="21"/>
          <w:u w:val="single"/>
        </w:rPr>
        <w:t xml:space="preserve">                                          </w:t>
      </w:r>
    </w:p>
    <w:p>
      <w:pPr>
        <w:pStyle w:val="9"/>
        <w:adjustRightInd w:val="0"/>
        <w:snapToGrid w:val="0"/>
        <w:spacing w:after="0" w:line="36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（2）采购计划编号：</w:t>
      </w: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rPr>
        <w:t xml:space="preserve">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（3）项目内容：</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840" w:firstLineChars="4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（工程项目）承包范围：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项目经理：</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413" w:firstLineChars="196"/>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2.合同金额</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（1）合同金额小写：</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1260" w:firstLineChars="6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rPr>
        <w:t>大写：</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（2）具体标的见附件。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（3）合同价格形式：</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u w:val="single"/>
          <w:lang w:val="en-US" w:eastAsia="zh-CN"/>
        </w:rPr>
        <w:t xml:space="preserve">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422" w:firstLineChars="200"/>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b/>
          <w:color w:val="auto"/>
          <w:szCs w:val="21"/>
        </w:rPr>
        <w:t>3.履行合同的时间、地点及方式</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630" w:firstLineChars="3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起始日期：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日，完成日期：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日。总日历天数：</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天。</w:t>
      </w:r>
    </w:p>
    <w:p>
      <w:pPr>
        <w:adjustRightInd w:val="0"/>
        <w:snapToGrid w:val="0"/>
        <w:spacing w:line="360" w:lineRule="auto"/>
        <w:ind w:firstLine="630" w:firstLineChars="300"/>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color w:val="auto"/>
          <w:szCs w:val="21"/>
        </w:rPr>
        <w:t>地点</w:t>
      </w:r>
      <w:r>
        <w:rPr>
          <w:rFonts w:hint="eastAsia" w:asciiTheme="majorEastAsia" w:hAnsiTheme="majorEastAsia" w:eastAsiaTheme="majorEastAsia" w:cstheme="majorEastAsia"/>
          <w:b/>
          <w:color w:val="auto"/>
          <w:szCs w:val="21"/>
        </w:rPr>
        <w:t>：</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630" w:firstLineChars="3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方式：</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4.付款：</w:t>
      </w:r>
    </w:p>
    <w:p>
      <w:pPr>
        <w:ind w:firstLine="630" w:firstLineChars="3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5.解决合同纠纷方式</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首先通过双方协商解决，协商解决不成，则通过以下途径之一解决纠纷：</w:t>
      </w:r>
    </w:p>
    <w:p>
      <w:pPr>
        <w:adjustRightInd w:val="0"/>
        <w:snapToGrid w:val="0"/>
        <w:spacing w:line="360" w:lineRule="auto"/>
        <w:ind w:firstLine="840" w:firstLineChars="4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提请仲裁       □ 向人民法院提起诉讼</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6.组成合同的文件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本协议书与下列文件一起构成合同文件，如下述文件之间有任何抵触、矛盾或歧义，应按以下顺序解释：</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（1）在采购或合同履行过程中乙方作出的承诺以及双方协商达成的变更或补充协议</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（2）成交通知书</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（3）响应文件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（4）政府采购合同格式条款及其附件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（5）专用合同条款</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（6）通用合同条款（如果有）</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（7）标准、规范及有关技术文件，图纸，已标价工程量清单或预算书（如果有）</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（8）其他合同文件。</w:t>
      </w:r>
    </w:p>
    <w:p>
      <w:pPr>
        <w:adjustRightInd w:val="0"/>
        <w:snapToGrid w:val="0"/>
        <w:spacing w:line="360" w:lineRule="auto"/>
        <w:ind w:firstLine="310" w:firstLineChars="147"/>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7.合同生效</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本合同自</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生效。</w:t>
      </w:r>
    </w:p>
    <w:p>
      <w:pPr>
        <w:adjustRightInd w:val="0"/>
        <w:snapToGrid w:val="0"/>
        <w:spacing w:line="360" w:lineRule="auto"/>
        <w:ind w:firstLine="310" w:firstLineChars="147"/>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8.合同份数</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本合同一式</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份，采购人执</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份，供应商执</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份，均具有同等法律效力。</w:t>
      </w: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合同订立时间：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合同订立地点：</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甲      方：（公章）                     乙      方：（公章）</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法定代表人：</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委托代理人：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委托代理人：</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电      话：</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电      话：</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传      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传      真：</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开 户 银 行：</w:t>
      </w:r>
      <w:r>
        <w:rPr>
          <w:rFonts w:hint="eastAsia" w:asciiTheme="majorEastAsia" w:hAnsiTheme="majorEastAsia" w:eastAsiaTheme="majorEastAsia" w:cstheme="majorEastAsia"/>
          <w:color w:val="auto"/>
          <w:szCs w:val="21"/>
          <w:u w:val="single"/>
        </w:rPr>
        <w:t xml:space="preserve">                  </w:t>
      </w:r>
    </w:p>
    <w:p>
      <w:pPr>
        <w:snapToGrid w:val="0"/>
        <w:spacing w:line="360" w:lineRule="auto"/>
        <w:jc w:val="center"/>
        <w:outlineLvl w:val="9"/>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rPr>
        <w:t xml:space="preserve">        </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 xml:space="preserve"> 帐       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u w:val="single"/>
          <w:lang w:val="en-US" w:eastAsia="zh-CN"/>
        </w:rPr>
        <w:t xml:space="preserve"> </w:t>
      </w:r>
      <w:r>
        <w:rPr>
          <w:rFonts w:hint="eastAsia" w:asciiTheme="majorEastAsia" w:hAnsiTheme="majorEastAsia" w:eastAsiaTheme="majorEastAsia" w:cstheme="majorEastAsia"/>
          <w:color w:val="auto"/>
          <w:szCs w:val="21"/>
          <w:u w:val="single"/>
        </w:rPr>
        <w:t xml:space="preserve">    </w:t>
      </w:r>
    </w:p>
    <w:p>
      <w:pPr>
        <w:adjustRightInd w:val="0"/>
        <w:snapToGrid w:val="0"/>
        <w:spacing w:line="440" w:lineRule="exact"/>
        <w:ind w:firstLine="420" w:firstLineChars="200"/>
        <w:outlineLvl w:val="9"/>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outlineLvl w:val="9"/>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outlineLvl w:val="9"/>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spacing w:line="360" w:lineRule="exact"/>
        <w:jc w:val="center"/>
        <w:rPr>
          <w:rFonts w:hint="eastAsia" w:ascii="宋体" w:hAnsi="宋体"/>
          <w:b/>
          <w:bCs/>
          <w:szCs w:val="21"/>
        </w:rPr>
      </w:pPr>
      <w:r>
        <w:rPr>
          <w:rFonts w:hint="eastAsia" w:ascii="宋体" w:hAnsi="宋体"/>
          <w:b/>
          <w:bCs/>
          <w:szCs w:val="21"/>
        </w:rPr>
        <w:t>此合同格式仅做参考，具体乙双方签订为准。</w:t>
      </w: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adjustRightInd w:val="0"/>
        <w:snapToGrid w:val="0"/>
        <w:spacing w:line="440" w:lineRule="exact"/>
        <w:rPr>
          <w:rFonts w:hint="eastAsia" w:asciiTheme="majorEastAsia" w:hAnsiTheme="majorEastAsia" w:eastAsiaTheme="majorEastAsia" w:cstheme="majorEastAsia"/>
          <w:bCs/>
          <w:color w:val="auto"/>
          <w:szCs w:val="21"/>
        </w:rPr>
      </w:pPr>
    </w:p>
    <w:p>
      <w:pPr>
        <w:adjustRightInd w:val="0"/>
        <w:snapToGrid w:val="0"/>
        <w:spacing w:before="156" w:beforeLines="50" w:line="360" w:lineRule="auto"/>
        <w:jc w:val="both"/>
        <w:rPr>
          <w:rFonts w:hint="eastAsia" w:asciiTheme="majorEastAsia" w:hAnsiTheme="majorEastAsia" w:eastAsiaTheme="majorEastAsia" w:cstheme="majorEastAsia"/>
          <w:b/>
          <w:color w:val="auto"/>
          <w:sz w:val="32"/>
          <w:szCs w:val="32"/>
        </w:rPr>
      </w:pPr>
    </w:p>
    <w:p>
      <w:pPr>
        <w:pStyle w:val="39"/>
        <w:rPr>
          <w:rFonts w:hint="eastAsia"/>
        </w:rPr>
      </w:pPr>
    </w:p>
    <w:p>
      <w:pPr>
        <w:adjustRightInd w:val="0"/>
        <w:snapToGrid w:val="0"/>
        <w:spacing w:before="156" w:beforeLines="50" w:line="360" w:lineRule="auto"/>
        <w:jc w:val="center"/>
        <w:outlineLvl w:val="1"/>
        <w:rPr>
          <w:rFonts w:hint="eastAsia" w:ascii="宋体" w:hAnsi="宋体" w:eastAsia="宋体" w:cs="宋体"/>
          <w:b/>
          <w:color w:val="auto"/>
          <w:sz w:val="32"/>
          <w:szCs w:val="32"/>
        </w:rPr>
      </w:pPr>
      <w:bookmarkStart w:id="59" w:name="_Toc22741"/>
      <w:r>
        <w:rPr>
          <w:rFonts w:hint="eastAsia" w:ascii="宋体" w:hAnsi="宋体" w:cs="宋体"/>
          <w:b/>
          <w:color w:val="auto"/>
          <w:sz w:val="32"/>
          <w:szCs w:val="32"/>
          <w:lang w:eastAsia="zh-CN"/>
        </w:rPr>
        <w:t>第二节</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lang w:eastAsia="zh-CN"/>
        </w:rPr>
        <w:t>合同</w:t>
      </w:r>
      <w:r>
        <w:rPr>
          <w:rFonts w:hint="eastAsia" w:ascii="宋体" w:hAnsi="宋体" w:eastAsia="宋体" w:cs="宋体"/>
          <w:b/>
          <w:color w:val="auto"/>
          <w:sz w:val="32"/>
          <w:szCs w:val="32"/>
        </w:rPr>
        <w:t>条款</w:t>
      </w:r>
      <w:bookmarkEnd w:id="59"/>
    </w:p>
    <w:p>
      <w:pPr>
        <w:pStyle w:val="9"/>
        <w:adjustRightInd w:val="0"/>
        <w:snapToGrid w:val="0"/>
        <w:spacing w:after="0" w:line="360" w:lineRule="auto"/>
        <w:ind w:left="0" w:leftChars="0" w:firstLine="422" w:firstLineChars="200"/>
        <w:rPr>
          <w:rFonts w:hint="eastAsia" w:ascii="宋体" w:hAnsi="宋体" w:cs="宋体"/>
          <w:b/>
          <w:color w:val="auto"/>
          <w:sz w:val="21"/>
          <w:szCs w:val="21"/>
        </w:rPr>
      </w:pPr>
      <w:r>
        <w:rPr>
          <w:rFonts w:hint="eastAsia" w:ascii="宋体" w:hAnsi="宋体" w:cs="宋体"/>
          <w:b/>
          <w:color w:val="auto"/>
          <w:sz w:val="21"/>
          <w:szCs w:val="21"/>
        </w:rPr>
        <w:t>(一)、合同通用条款</w:t>
      </w:r>
    </w:p>
    <w:p>
      <w:pPr>
        <w:pStyle w:val="9"/>
        <w:adjustRightInd w:val="0"/>
        <w:snapToGrid w:val="0"/>
        <w:spacing w:after="0"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本合同通用条款按《</w:t>
      </w:r>
      <w:r>
        <w:rPr>
          <w:rFonts w:hint="eastAsia" w:ascii="宋体" w:hAnsi="宋体" w:cs="宋体"/>
          <w:color w:val="auto"/>
          <w:sz w:val="21"/>
          <w:szCs w:val="21"/>
          <w:lang w:eastAsia="zh-CN"/>
        </w:rPr>
        <w:t>湖南省</w:t>
      </w:r>
      <w:r>
        <w:rPr>
          <w:rFonts w:hint="eastAsia" w:ascii="宋体" w:hAnsi="宋体" w:cs="宋体"/>
          <w:color w:val="auto"/>
          <w:sz w:val="21"/>
          <w:szCs w:val="21"/>
        </w:rPr>
        <w:t>建设工程施工合同示范文本》（</w:t>
      </w:r>
      <w:r>
        <w:rPr>
          <w:rFonts w:hint="eastAsia" w:ascii="宋体" w:hAnsi="宋体" w:cs="宋体"/>
          <w:color w:val="auto"/>
          <w:sz w:val="21"/>
          <w:szCs w:val="21"/>
          <w:lang w:eastAsia="zh-CN"/>
        </w:rPr>
        <w:t>HNJS-2014</w:t>
      </w:r>
      <w:r>
        <w:rPr>
          <w:rFonts w:hint="eastAsia" w:ascii="宋体" w:hAnsi="宋体" w:cs="宋体"/>
          <w:color w:val="auto"/>
          <w:sz w:val="21"/>
          <w:szCs w:val="21"/>
        </w:rPr>
        <w:t>）中的合同通用条款执行。</w:t>
      </w:r>
    </w:p>
    <w:p>
      <w:pPr>
        <w:pStyle w:val="9"/>
        <w:adjustRightInd w:val="0"/>
        <w:snapToGrid w:val="0"/>
        <w:spacing w:after="0" w:line="360" w:lineRule="auto"/>
        <w:ind w:left="0" w:leftChars="0" w:firstLine="422" w:firstLineChars="200"/>
        <w:rPr>
          <w:rFonts w:hint="eastAsia" w:ascii="宋体" w:hAnsi="宋体" w:cs="宋体"/>
          <w:b/>
          <w:color w:val="auto"/>
          <w:sz w:val="21"/>
          <w:szCs w:val="21"/>
        </w:rPr>
      </w:pPr>
      <w:r>
        <w:rPr>
          <w:rFonts w:hint="eastAsia" w:ascii="宋体" w:hAnsi="宋体" w:cs="宋体"/>
          <w:b/>
          <w:color w:val="auto"/>
          <w:sz w:val="21"/>
          <w:szCs w:val="21"/>
        </w:rPr>
        <w:t>(二)、合同专用条款</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按采购建设工程的特殊要求，对第二部分通用合同条款的原则性约定进行细化、完善、补充，参照湖南省建设厅指定的《湖南省建设工程施工合同》范本中的合同专用条款。</w:t>
      </w:r>
    </w:p>
    <w:p>
      <w:pPr>
        <w:adjustRightInd w:val="0"/>
        <w:snapToGrid w:val="0"/>
        <w:spacing w:before="156" w:beforeLines="50" w:line="360" w:lineRule="auto"/>
        <w:rPr>
          <w:rFonts w:hint="eastAsia" w:ascii="宋体" w:hAnsi="宋体" w:eastAsia="宋体" w:cs="宋体"/>
          <w:b/>
          <w:color w:val="auto"/>
          <w:sz w:val="32"/>
          <w:szCs w:val="32"/>
        </w:rPr>
      </w:pP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spacing w:line="900" w:lineRule="exact"/>
        <w:jc w:val="center"/>
        <w:rPr>
          <w:rFonts w:hint="eastAsia" w:ascii="宋体" w:hAnsi="宋体" w:eastAsia="宋体" w:cs="宋体"/>
          <w:b/>
          <w:color w:val="auto"/>
          <w:spacing w:val="-30"/>
          <w:w w:val="90"/>
          <w:sz w:val="28"/>
          <w:szCs w:val="28"/>
          <w:highlight w:val="none"/>
        </w:rPr>
      </w:pPr>
      <w:r>
        <w:rPr>
          <w:rFonts w:hint="eastAsia" w:ascii="宋体" w:hAnsi="宋体" w:eastAsia="宋体" w:cs="宋体"/>
          <w:b/>
          <w:color w:val="auto"/>
          <w:spacing w:val="20"/>
          <w:w w:val="90"/>
          <w:sz w:val="28"/>
          <w:szCs w:val="28"/>
          <w:highlight w:val="none"/>
        </w:rPr>
        <w:br w:type="page"/>
      </w:r>
    </w:p>
    <w:p>
      <w:pPr>
        <w:numPr>
          <w:ilvl w:val="0"/>
          <w:numId w:val="0"/>
        </w:numPr>
        <w:adjustRightInd w:val="0"/>
        <w:snapToGrid w:val="0"/>
        <w:spacing w:before="156" w:beforeLines="50" w:line="360" w:lineRule="auto"/>
        <w:jc w:val="center"/>
        <w:outlineLvl w:val="0"/>
        <w:rPr>
          <w:rFonts w:hint="eastAsia" w:asciiTheme="majorEastAsia" w:hAnsiTheme="majorEastAsia" w:eastAsiaTheme="majorEastAsia" w:cstheme="majorEastAsia"/>
          <w:b/>
          <w:color w:val="auto"/>
          <w:sz w:val="32"/>
          <w:szCs w:val="32"/>
        </w:rPr>
      </w:pPr>
      <w:bookmarkStart w:id="60" w:name="_Toc17191"/>
      <w:r>
        <w:rPr>
          <w:rFonts w:hint="eastAsia" w:asciiTheme="majorEastAsia" w:hAnsiTheme="majorEastAsia" w:eastAsiaTheme="majorEastAsia" w:cstheme="majorEastAsia"/>
          <w:b/>
          <w:color w:val="auto"/>
          <w:sz w:val="32"/>
          <w:szCs w:val="32"/>
          <w:lang w:eastAsia="zh-CN"/>
        </w:rPr>
        <w:t>第六章</w:t>
      </w:r>
      <w:r>
        <w:rPr>
          <w:rFonts w:hint="eastAsia" w:asciiTheme="majorEastAsia" w:hAnsiTheme="majorEastAsia" w:eastAsiaTheme="majorEastAsia" w:cstheme="majorEastAsia"/>
          <w:b/>
          <w:color w:val="auto"/>
          <w:sz w:val="32"/>
          <w:szCs w:val="32"/>
          <w:lang w:val="en-US" w:eastAsia="zh-CN"/>
        </w:rPr>
        <w:t xml:space="preserve"> </w:t>
      </w:r>
      <w:r>
        <w:rPr>
          <w:rFonts w:hint="eastAsia" w:asciiTheme="majorEastAsia" w:hAnsiTheme="majorEastAsia" w:eastAsiaTheme="majorEastAsia" w:cstheme="majorEastAsia"/>
          <w:b/>
          <w:color w:val="auto"/>
          <w:sz w:val="32"/>
          <w:szCs w:val="32"/>
        </w:rPr>
        <w:t>采购需求</w:t>
      </w:r>
      <w:bookmarkEnd w:id="60"/>
    </w:p>
    <w:p>
      <w:pPr>
        <w:adjustRightInd w:val="0"/>
        <w:snapToGrid w:val="0"/>
        <w:spacing w:line="360" w:lineRule="auto"/>
        <w:outlineLvl w:val="1"/>
        <w:rPr>
          <w:rFonts w:hint="eastAsia" w:asciiTheme="majorEastAsia" w:hAnsiTheme="majorEastAsia" w:eastAsiaTheme="majorEastAsia" w:cstheme="majorEastAsia"/>
          <w:b/>
          <w:bCs/>
          <w:color w:val="auto"/>
          <w:szCs w:val="21"/>
        </w:rPr>
      </w:pPr>
      <w:bookmarkStart w:id="61" w:name="_Toc25839"/>
      <w:r>
        <w:rPr>
          <w:rFonts w:hint="eastAsia" w:asciiTheme="majorEastAsia" w:hAnsiTheme="majorEastAsia" w:eastAsiaTheme="majorEastAsia" w:cstheme="majorEastAsia"/>
          <w:b/>
          <w:bCs/>
          <w:color w:val="auto"/>
          <w:szCs w:val="21"/>
        </w:rPr>
        <w:t>一、项目概况</w:t>
      </w:r>
      <w:bookmarkEnd w:id="6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rPr>
        <w:t>1、采购项目名称</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茶陵县湖口镇梅林村古柏桥危桥改造工程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ajorEastAsia" w:hAnsiTheme="majorEastAsia" w:eastAsiaTheme="majorEastAsia" w:cstheme="majorEastAsia"/>
          <w:b/>
          <w:bCs/>
          <w:color w:val="auto"/>
          <w:sz w:val="21"/>
          <w:szCs w:val="21"/>
          <w:highlight w:val="none"/>
        </w:rPr>
        <w:t>2、建设地点</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茶陵县湖口镇梅林村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sz w:val="24"/>
          <w:szCs w:val="24"/>
          <w:lang w:val="en-US" w:eastAsia="zh-CN"/>
        </w:rPr>
      </w:pPr>
      <w:r>
        <w:rPr>
          <w:rFonts w:hint="eastAsia" w:asciiTheme="majorEastAsia" w:hAnsiTheme="majorEastAsia" w:eastAsiaTheme="majorEastAsia" w:cstheme="majorEastAsia"/>
          <w:b/>
          <w:bCs/>
          <w:color w:val="auto"/>
          <w:sz w:val="21"/>
          <w:szCs w:val="21"/>
          <w:highlight w:val="none"/>
        </w:rPr>
        <w:t>3、</w:t>
      </w:r>
      <w:r>
        <w:rPr>
          <w:rFonts w:hint="eastAsia" w:asciiTheme="majorEastAsia" w:hAnsiTheme="majorEastAsia" w:eastAsiaTheme="majorEastAsia" w:cstheme="majorEastAsia"/>
          <w:b/>
          <w:bCs/>
          <w:color w:val="auto"/>
          <w:sz w:val="21"/>
          <w:szCs w:val="21"/>
          <w:highlight w:val="none"/>
          <w:lang w:eastAsia="zh-CN"/>
        </w:rPr>
        <w:t>项目建设规模及内容</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该桥为 1×16m 预应力混凝土空心板桥，全长28.82m，桥梁处于路线直线段上，桥面设1.5%的双向横坡, 主要包含临时工程、预制空心板桥及附属工程等。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eastAsia="宋体" w:cs="Times New Roman"/>
          <w:color w:val="auto"/>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4、工程承包范围</w:t>
      </w:r>
      <w:r>
        <w:rPr>
          <w:rFonts w:hint="eastAsia" w:asciiTheme="majorEastAsia" w:hAnsiTheme="majorEastAsia" w:eastAsiaTheme="majorEastAsia" w:cstheme="majorEastAsia"/>
          <w:color w:val="auto"/>
          <w:sz w:val="21"/>
          <w:szCs w:val="21"/>
          <w:highlight w:val="none"/>
          <w:lang w:val="en-US" w:eastAsia="zh-CN"/>
        </w:rPr>
        <w:t>：</w:t>
      </w:r>
      <w:r>
        <w:rPr>
          <w:rFonts w:hint="eastAsia" w:ascii="宋体" w:hAnsi="宋体"/>
          <w:color w:val="auto"/>
          <w:szCs w:val="21"/>
          <w:highlight w:val="none"/>
          <w:lang w:val="en-US" w:eastAsia="zh-CN"/>
        </w:rPr>
        <w:t>本招标项目的招标范围</w:t>
      </w:r>
      <w:r>
        <w:rPr>
          <w:rFonts w:hint="eastAsia" w:ascii="宋体" w:hAnsi="宋体" w:eastAsia="宋体" w:cs="Times New Roman"/>
          <w:color w:val="auto"/>
          <w:szCs w:val="21"/>
          <w:highlight w:val="none"/>
          <w:lang w:val="en-US" w:eastAsia="zh-CN"/>
        </w:rPr>
        <w:t>为全部内容。具体以项目设计图纸及工程量清单为准。</w:t>
      </w:r>
    </w:p>
    <w:p>
      <w:pPr>
        <w:keepNext w:val="0"/>
        <w:keepLines w:val="0"/>
        <w:pageBreakBefore w:val="0"/>
        <w:kinsoku/>
        <w:wordWrap/>
        <w:overflowPunct/>
        <w:topLinePunct w:val="0"/>
        <w:autoSpaceDN/>
        <w:bidi w:val="0"/>
        <w:adjustRightInd w:val="0"/>
        <w:snapToGrid w:val="0"/>
        <w:spacing w:line="360" w:lineRule="auto"/>
        <w:textAlignment w:val="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val="en-US" w:eastAsia="zh-CN"/>
        </w:rPr>
        <w:t>5</w:t>
      </w:r>
      <w:r>
        <w:rPr>
          <w:rFonts w:hint="eastAsia" w:asciiTheme="majorEastAsia" w:hAnsiTheme="majorEastAsia" w:eastAsiaTheme="majorEastAsia" w:cstheme="majorEastAsia"/>
          <w:color w:val="auto"/>
          <w:szCs w:val="21"/>
        </w:rPr>
        <w:t>、采购项目的主要需求及</w:t>
      </w:r>
      <w:r>
        <w:rPr>
          <w:rFonts w:hint="eastAsia" w:asciiTheme="majorEastAsia" w:hAnsiTheme="majorEastAsia" w:eastAsiaTheme="majorEastAsia" w:cstheme="majorEastAsia"/>
          <w:color w:val="auto"/>
          <w:szCs w:val="21"/>
          <w:lang w:eastAsia="zh-CN"/>
        </w:rPr>
        <w:t>磋商</w:t>
      </w:r>
      <w:r>
        <w:rPr>
          <w:rFonts w:hint="eastAsia" w:asciiTheme="majorEastAsia" w:hAnsiTheme="majorEastAsia" w:eastAsiaTheme="majorEastAsia" w:cstheme="majorEastAsia"/>
          <w:color w:val="auto"/>
          <w:szCs w:val="21"/>
        </w:rPr>
        <w:t>可能实质性变动内容：</w:t>
      </w:r>
    </w:p>
    <w:tbl>
      <w:tblPr>
        <w:tblStyle w:val="20"/>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436"/>
        <w:gridCol w:w="2299"/>
        <w:gridCol w:w="1654"/>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6" w:type="dxa"/>
            <w:vMerge w:val="restart"/>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品目号</w:t>
            </w:r>
          </w:p>
        </w:tc>
        <w:tc>
          <w:tcPr>
            <w:tcW w:w="1436" w:type="dxa"/>
            <w:vMerge w:val="restart"/>
            <w:noWrap w:val="0"/>
            <w:vAlign w:val="center"/>
          </w:tcPr>
          <w:p>
            <w:pPr>
              <w:widowControl/>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标的物</w:t>
            </w:r>
          </w:p>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名称</w:t>
            </w:r>
          </w:p>
        </w:tc>
        <w:tc>
          <w:tcPr>
            <w:tcW w:w="7664" w:type="dxa"/>
            <w:gridSpan w:val="3"/>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标的主要需求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dxa"/>
            <w:vMerge w:val="continue"/>
            <w:noWrap w:val="0"/>
            <w:vAlign w:val="center"/>
          </w:tcPr>
          <w:p>
            <w:pPr>
              <w:widowControl/>
              <w:adjustRightInd w:val="0"/>
              <w:snapToGrid w:val="0"/>
              <w:jc w:val="left"/>
              <w:rPr>
                <w:rFonts w:hint="eastAsia" w:asciiTheme="majorEastAsia" w:hAnsiTheme="majorEastAsia" w:eastAsiaTheme="majorEastAsia" w:cstheme="majorEastAsia"/>
                <w:color w:val="auto"/>
                <w:sz w:val="18"/>
                <w:szCs w:val="18"/>
              </w:rPr>
            </w:pPr>
          </w:p>
        </w:tc>
        <w:tc>
          <w:tcPr>
            <w:tcW w:w="1436" w:type="dxa"/>
            <w:vMerge w:val="continue"/>
            <w:noWrap w:val="0"/>
            <w:vAlign w:val="center"/>
          </w:tcPr>
          <w:p>
            <w:pPr>
              <w:widowControl/>
              <w:adjustRightInd w:val="0"/>
              <w:snapToGrid w:val="0"/>
              <w:jc w:val="left"/>
              <w:rPr>
                <w:rFonts w:hint="eastAsia" w:asciiTheme="majorEastAsia" w:hAnsiTheme="majorEastAsia" w:eastAsiaTheme="majorEastAsia" w:cstheme="majorEastAsia"/>
                <w:color w:val="auto"/>
                <w:sz w:val="18"/>
                <w:szCs w:val="18"/>
              </w:rPr>
            </w:pPr>
          </w:p>
        </w:tc>
        <w:tc>
          <w:tcPr>
            <w:tcW w:w="2299" w:type="dxa"/>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技术</w:t>
            </w:r>
          </w:p>
        </w:tc>
        <w:tc>
          <w:tcPr>
            <w:tcW w:w="1654" w:type="dxa"/>
            <w:noWrap w:val="0"/>
            <w:vAlign w:val="center"/>
          </w:tcPr>
          <w:p>
            <w:pPr>
              <w:widowControl/>
              <w:adjustRightInd w:val="0"/>
              <w:snapToGrid w:val="0"/>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kern w:val="0"/>
                <w:szCs w:val="21"/>
              </w:rPr>
              <w:t>服务</w:t>
            </w:r>
          </w:p>
        </w:tc>
        <w:tc>
          <w:tcPr>
            <w:tcW w:w="3711" w:type="dxa"/>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6" w:type="dxa"/>
            <w:noWrap w:val="0"/>
            <w:vAlign w:val="center"/>
          </w:tcPr>
          <w:p>
            <w:pPr>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Cs w:val="21"/>
              </w:rPr>
              <w:t>1</w:t>
            </w:r>
          </w:p>
        </w:tc>
        <w:tc>
          <w:tcPr>
            <w:tcW w:w="1436" w:type="dxa"/>
            <w:noWrap w:val="0"/>
            <w:vAlign w:val="center"/>
          </w:tcPr>
          <w:p>
            <w:pPr>
              <w:adjustRightInd w:val="0"/>
              <w:snapToGrid w:val="0"/>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Cs w:val="21"/>
                <w:lang w:val="en-US" w:eastAsia="zh-CN"/>
              </w:rPr>
              <w:t xml:space="preserve">茶陵县湖口镇梅林村古柏桥危桥改造工程 </w:t>
            </w:r>
          </w:p>
        </w:tc>
        <w:tc>
          <w:tcPr>
            <w:tcW w:w="2299" w:type="dxa"/>
            <w:noWrap w:val="0"/>
            <w:vAlign w:val="center"/>
          </w:tcPr>
          <w:p>
            <w:pPr>
              <w:adjustRightInd w:val="0"/>
              <w:snapToGrid w:val="0"/>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1、施工要求：中标人须加强施工的组织管理，所有施工人员须遵守文明安全施工的有关规章制度。</w:t>
            </w:r>
          </w:p>
          <w:p>
            <w:pPr>
              <w:adjustRightInd w:val="0"/>
              <w:snapToGrid w:val="0"/>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2、验收要求：由采购人组织验收活动，按工程建设相关程序办理。</w:t>
            </w:r>
          </w:p>
        </w:tc>
        <w:tc>
          <w:tcPr>
            <w:tcW w:w="1654" w:type="dxa"/>
            <w:noWrap w:val="0"/>
            <w:vAlign w:val="center"/>
          </w:tcPr>
          <w:p>
            <w:pPr>
              <w:adjustRightInd w:val="0"/>
              <w:snapToGrid w:val="0"/>
              <w:rPr>
                <w:rFonts w:hint="eastAsia" w:asciiTheme="majorEastAsia" w:hAnsiTheme="majorEastAsia" w:eastAsiaTheme="majorEastAsia" w:cstheme="majorEastAsia"/>
                <w:color w:val="auto"/>
                <w:szCs w:val="21"/>
                <w:lang w:val="en-US" w:eastAsia="zh-CN"/>
              </w:rPr>
            </w:pPr>
            <w:r>
              <w:rPr>
                <w:rFonts w:hint="eastAsia" w:ascii="宋体" w:hAnsi="宋体" w:cs="宋体"/>
                <w:color w:val="000000"/>
              </w:rPr>
              <w:t>达到国家现行质量验收评定的标准，一次性验收合格。</w:t>
            </w:r>
          </w:p>
        </w:tc>
        <w:tc>
          <w:tcPr>
            <w:tcW w:w="3711" w:type="dxa"/>
            <w:noWrap w:val="0"/>
            <w:vAlign w:val="center"/>
          </w:tcPr>
          <w:p>
            <w:pPr>
              <w:adjustRightInd w:val="0"/>
              <w:snapToGrid w:val="0"/>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lang w:eastAsia="zh-CN"/>
              </w:rPr>
              <w:t>本工程工期要求</w:t>
            </w:r>
            <w:r>
              <w:rPr>
                <w:rFonts w:hint="eastAsia" w:asciiTheme="majorEastAsia" w:hAnsiTheme="majorEastAsia" w:eastAsiaTheme="majorEastAsia" w:cstheme="majorEastAsia"/>
                <w:color w:val="auto"/>
                <w:szCs w:val="21"/>
                <w:lang w:val="en-US" w:eastAsia="zh-CN"/>
              </w:rPr>
              <w:t>6个月。</w:t>
            </w:r>
          </w:p>
          <w:p>
            <w:pPr>
              <w:adjustRightInd w:val="0"/>
              <w:snapToGrid w:val="0"/>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lang w:eastAsia="zh-CN"/>
              </w:rPr>
              <w:t>付款方式：</w:t>
            </w:r>
          </w:p>
          <w:p>
            <w:pPr>
              <w:adjustRightInd w:val="0"/>
              <w:snapToGrid w:val="0"/>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1"/>
                <w:lang w:eastAsia="zh-CN"/>
                <w14:textFill>
                  <w14:solidFill>
                    <w14:schemeClr w14:val="tx1"/>
                  </w14:solidFill>
                </w14:textFill>
              </w:rPr>
              <w:t>本项目竣工验收后支付合同金额的</w:t>
            </w: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70%，工程完工结算审计后，支付合同金额的95%；剩余5%作为质量保证金。竣工验收一年后，如无质量问题，质量保证金一次性无息付清。</w:t>
            </w:r>
          </w:p>
          <w:p>
            <w:pPr>
              <w:adjustRightInd w:val="0"/>
              <w:snapToGrid w:val="0"/>
              <w:rPr>
                <w:rFonts w:hint="eastAsia" w:asciiTheme="majorEastAsia" w:hAnsiTheme="majorEastAsia" w:eastAsiaTheme="majorEastAsia" w:cstheme="maj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52" w:type="dxa"/>
            <w:gridSpan w:val="2"/>
            <w:vMerge w:val="restart"/>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竞争性磋商</w:t>
            </w:r>
            <w:r>
              <w:rPr>
                <w:rFonts w:hint="eastAsia" w:asciiTheme="majorEastAsia" w:hAnsiTheme="majorEastAsia" w:eastAsiaTheme="majorEastAsia" w:cstheme="majorEastAsia"/>
                <w:color w:val="auto"/>
                <w:szCs w:val="21"/>
              </w:rPr>
              <w:t>项目可能实质性变动内容</w:t>
            </w:r>
          </w:p>
        </w:tc>
        <w:tc>
          <w:tcPr>
            <w:tcW w:w="2299"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w:t>
            </w:r>
          </w:p>
        </w:tc>
        <w:tc>
          <w:tcPr>
            <w:tcW w:w="1654"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w:t>
            </w:r>
          </w:p>
        </w:tc>
        <w:tc>
          <w:tcPr>
            <w:tcW w:w="3711"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52" w:type="dxa"/>
            <w:gridSpan w:val="2"/>
            <w:vMerge w:val="continue"/>
            <w:noWrap w:val="0"/>
            <w:vAlign w:val="center"/>
          </w:tcPr>
          <w:p>
            <w:pPr>
              <w:adjustRightInd w:val="0"/>
              <w:snapToGrid w:val="0"/>
              <w:jc w:val="center"/>
              <w:rPr>
                <w:rFonts w:hint="eastAsia" w:asciiTheme="majorEastAsia" w:hAnsiTheme="majorEastAsia" w:eastAsiaTheme="majorEastAsia" w:cstheme="majorEastAsia"/>
                <w:color w:val="auto"/>
                <w:szCs w:val="21"/>
              </w:rPr>
            </w:pPr>
          </w:p>
        </w:tc>
        <w:tc>
          <w:tcPr>
            <w:tcW w:w="2299"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否（√）</w:t>
            </w:r>
          </w:p>
        </w:tc>
        <w:tc>
          <w:tcPr>
            <w:tcW w:w="1654"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否（√）</w:t>
            </w:r>
          </w:p>
        </w:tc>
        <w:tc>
          <w:tcPr>
            <w:tcW w:w="3711"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否（√）</w:t>
            </w:r>
          </w:p>
        </w:tc>
      </w:tr>
    </w:tbl>
    <w:p>
      <w:pPr>
        <w:keepNext w:val="0"/>
        <w:keepLines w:val="0"/>
        <w:pageBreakBefore w:val="0"/>
        <w:widowControl w:val="0"/>
        <w:kinsoku/>
        <w:wordWrap/>
        <w:overflowPunct/>
        <w:topLinePunct w:val="0"/>
        <w:bidi w:val="0"/>
        <w:spacing w:line="360" w:lineRule="exact"/>
        <w:textAlignment w:val="auto"/>
        <w:outlineLvl w:val="1"/>
        <w:rPr>
          <w:rFonts w:hint="eastAsia" w:ascii="宋体" w:hAnsi="宋体" w:eastAsia="宋体" w:cs="宋体"/>
          <w:b/>
          <w:bCs/>
          <w:color w:val="auto"/>
          <w:szCs w:val="21"/>
          <w:highlight w:val="none"/>
          <w:u w:val="none"/>
          <w:lang w:eastAsia="zh-CN"/>
        </w:rPr>
      </w:pPr>
      <w:bookmarkStart w:id="62" w:name="_Toc27525"/>
      <w:bookmarkStart w:id="63" w:name="_Toc9806"/>
      <w:bookmarkStart w:id="64" w:name="_Toc43611498"/>
      <w:bookmarkStart w:id="65" w:name="_Toc43609884"/>
      <w:bookmarkStart w:id="66" w:name="_Toc43609779"/>
      <w:bookmarkStart w:id="67" w:name="_Toc100825986"/>
      <w:bookmarkStart w:id="68" w:name="_Toc43608973"/>
      <w:r>
        <w:rPr>
          <w:rFonts w:hint="eastAsia" w:ascii="宋体" w:hAnsi="宋体" w:eastAsia="宋体" w:cs="宋体"/>
          <w:b/>
          <w:bCs/>
          <w:color w:val="auto"/>
          <w:szCs w:val="21"/>
          <w:highlight w:val="none"/>
          <w:lang w:eastAsia="zh-CN"/>
        </w:rPr>
        <w:t>二、</w:t>
      </w:r>
      <w:r>
        <w:rPr>
          <w:rFonts w:hint="eastAsia" w:ascii="宋体" w:hAnsi="宋体" w:eastAsia="宋体" w:cs="宋体"/>
          <w:b/>
          <w:bCs/>
          <w:color w:val="auto"/>
          <w:szCs w:val="21"/>
          <w:highlight w:val="none"/>
          <w:u w:val="none"/>
          <w:lang w:eastAsia="zh-CN"/>
        </w:rPr>
        <w:t>实施要求</w:t>
      </w:r>
      <w:bookmarkEnd w:id="62"/>
      <w:bookmarkEnd w:id="6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严格按设计图纸和施工规范要求施工，以国家和行业的质量检验评定标准为依据达到合同约定的合格标准。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质量要求：达到国家现行质量验收评定的标准，一次性验收合格。</w:t>
      </w:r>
    </w:p>
    <w:p>
      <w:pPr>
        <w:adjustRightInd w:val="0"/>
        <w:snapToGrid w:val="0"/>
        <w:spacing w:line="360" w:lineRule="auto"/>
        <w:outlineLvl w:val="1"/>
        <w:rPr>
          <w:rFonts w:hint="eastAsia" w:asciiTheme="majorEastAsia" w:hAnsiTheme="majorEastAsia" w:eastAsiaTheme="majorEastAsia" w:cstheme="majorEastAsia"/>
          <w:b/>
          <w:bCs/>
          <w:color w:val="auto"/>
          <w:szCs w:val="21"/>
        </w:rPr>
      </w:pPr>
      <w:bookmarkStart w:id="69" w:name="_Toc21307"/>
      <w:r>
        <w:rPr>
          <w:rFonts w:hint="eastAsia" w:asciiTheme="majorEastAsia" w:hAnsiTheme="majorEastAsia" w:eastAsiaTheme="majorEastAsia" w:cstheme="majorEastAsia"/>
          <w:b/>
          <w:bCs/>
          <w:color w:val="auto"/>
          <w:szCs w:val="21"/>
          <w:lang w:eastAsia="zh-CN"/>
        </w:rPr>
        <w:t>三</w:t>
      </w:r>
      <w:r>
        <w:rPr>
          <w:rFonts w:hint="eastAsia" w:asciiTheme="majorEastAsia" w:hAnsiTheme="majorEastAsia" w:eastAsiaTheme="majorEastAsia" w:cstheme="majorEastAsia"/>
          <w:b/>
          <w:bCs/>
          <w:color w:val="auto"/>
          <w:szCs w:val="21"/>
        </w:rPr>
        <w:t>、投标报价说明</w:t>
      </w:r>
      <w:bookmarkEnd w:id="69"/>
    </w:p>
    <w:p>
      <w:pPr>
        <w:spacing w:line="460" w:lineRule="exact"/>
        <w:rPr>
          <w:rFonts w:hint="eastAsia" w:asciiTheme="majorEastAsia" w:hAnsiTheme="majorEastAsia" w:eastAsiaTheme="majorEastAsia" w:cstheme="majorEastAsia"/>
          <w:b/>
          <w:bCs/>
          <w:color w:val="auto"/>
          <w:szCs w:val="21"/>
        </w:rPr>
      </w:pPr>
      <w:bookmarkStart w:id="70" w:name="_Toc100825985"/>
      <w:r>
        <w:rPr>
          <w:rFonts w:hint="eastAsia" w:asciiTheme="majorEastAsia" w:hAnsiTheme="majorEastAsia" w:eastAsiaTheme="majorEastAsia" w:cstheme="majorEastAsia"/>
          <w:b/>
          <w:bCs/>
          <w:color w:val="auto"/>
          <w:szCs w:val="21"/>
        </w:rPr>
        <w:t>1、投标报价</w:t>
      </w:r>
      <w:bookmarkEnd w:id="7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1.1本工程的采购范围即是投标报价范围。本工程不设标底，但设有最高投标限价。若供应商的报价高于采购人公布的上限值时，该投标将被拒绝，视为不合格供应商。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1.2编制依据：</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《公路工程预算定额》（JTGT3832-2018）文件计价相关规定；</w:t>
      </w:r>
    </w:p>
    <w:p>
      <w:pPr>
        <w:pStyle w:val="2"/>
        <w:numPr>
          <w:ilvl w:val="0"/>
          <w:numId w:val="2"/>
        </w:numP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人工标准及取费执行湘交基建【2019】74号有关规定；人工工日单价（含机械工）按103.86元/工日计取。</w:t>
      </w:r>
    </w:p>
    <w:p>
      <w:pPr>
        <w:pStyle w:val="17"/>
        <w:numPr>
          <w:ilvl w:val="0"/>
          <w:numId w:val="2"/>
        </w:numPr>
        <w:ind w:left="0" w:leftChars="0" w:firstLine="0" w:firstLineChars="0"/>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工程取费标准：按2020年1月1日茶陵县政府投资项目预算评审取费规定计取；</w:t>
      </w:r>
    </w:p>
    <w:p>
      <w:pPr>
        <w:pStyle w:val="17"/>
        <w:numPr>
          <w:ilvl w:val="0"/>
          <w:numId w:val="2"/>
        </w:numPr>
        <w:ind w:left="0" w:leftChars="0" w:firstLine="0" w:firstLineChars="0"/>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材料价格：参照2021年第一期《茶陵县建设工程造价信息》的市场价格和2021年株洲市第4月信息价格、湖南省2021年一季度交通建设工程材料参考价；优先采用《茶陵县建设工程造价信息》的市场价格。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1.3供应商的投标报价应是完成采购工程范围及工期的全部，不得以任何理由予以重复。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1.4供应商对采购人提供的工程量清单应根据采购资料及图纸认真计算复核，如有少算、多算或漏算，应于投标截止日3天前以书面形式向采购人提出。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1.5供应商可先到工地踏勘以充分了解工地位置、情况、道路、储存空间、装卸限制及任何其他足以影响承包价的情况。任何因忽视或误解工地情况而导致的索赔或工期延长申请将不被批准。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注：（1）供应商投标报价文件的投标总价扉页、工程计价总说明、建设项目（单项工程）工程造价汇总表、单位工程费用计算表都应由注册造价工程师签字并盖其执业专用章，同时将该造价师注册证书复印件附在其投标文件中。注册造价工程师属投标人本单位的，其注册单位名称应与投标人名称一致。如委托他人编制投标报价，应委托具备相应资质的工程造价咨询机构编制，并在投标文件中附有造价咨询机构的资质证书和委托合同（协议书）复印件，同时由被委托人的注册造价工程师签字并盖其执业专用章，签字盖章的注册造价工程师的注册单位名称应当与被委托人名称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供应商投标报价文件应按磋商文件提供的工程量清单填写已标价的工程量清单（包括项目编码、项目名称、项目特征描述、计量单位和工程量等），如有缺项、漏项、数量与磋商文件中的工程量清单不一致的，其投标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（3）暂列金额、暂估价部分（详见工程量清单）投标人不能更改，若有更改将作废标处理。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（4）本项目成交金额不能作为总价包干依据，最终结算价以招标人和有关审核部门审核的金额为准，以实际完成的工程量结算。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2、材料部分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2.1工程用材料必须符合设计要求、国家现行材料技术规范和标准以及采购人对有关材料的品牌要求，且应有产品合格证、出厂证明书、合法质监部门检验合格证，并经采购人现场代表确认合格后，方可用于本工程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2.2成交单位在施工过程中，必须按响应文件中描述的材料品牌、品质采购建筑材料，并查验进场。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3、投标人在投标前应充分了解施工现场，施工过程中材料安排、施工安排、施工给周边带来的影响及沟通与协调等事项全部由施工单位自行负责解决，并不得影响施工质量及进度。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注：在磋商过程中，磋商小组根据与供应商磋商情况可能实质性变动的内容（包括采购需求中的技术、服务要求以及合同条款）由磋商小组采用书面形式，并由磋商小组全体成员签字确认，成为磋商文件的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outlineLvl w:val="1"/>
        <w:rPr>
          <w:rFonts w:hint="eastAsia" w:ascii="宋体" w:hAnsi="宋体"/>
          <w:b/>
          <w:bCs/>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71" w:name="_Toc2503"/>
      <w:r>
        <w:rPr>
          <w:rFonts w:hint="eastAsia" w:ascii="宋体" w:hAnsi="宋体"/>
          <w:b/>
          <w:bCs/>
          <w:color w:val="auto"/>
          <w:szCs w:val="21"/>
          <w:highlight w:val="none"/>
          <w:lang w:val="en-US" w:eastAsia="zh-CN"/>
        </w:rPr>
        <w:t>四、工程量清单</w:t>
      </w:r>
      <w:bookmarkEnd w:id="71"/>
    </w:p>
    <w:tbl>
      <w:tblPr>
        <w:tblStyle w:val="20"/>
        <w:tblW w:w="133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2669"/>
        <w:gridCol w:w="819"/>
        <w:gridCol w:w="1003"/>
        <w:gridCol w:w="818"/>
        <w:gridCol w:w="835"/>
        <w:gridCol w:w="608"/>
        <w:gridCol w:w="543"/>
        <w:gridCol w:w="788"/>
        <w:gridCol w:w="828"/>
        <w:gridCol w:w="803"/>
        <w:gridCol w:w="838"/>
        <w:gridCol w:w="262"/>
        <w:gridCol w:w="787"/>
        <w:gridCol w:w="385"/>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365" w:type="dxa"/>
            <w:gridSpan w:val="1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表A.0.2-3 总预算汇总表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64" w:type="dxa"/>
            <w:gridSpan w:val="4"/>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建设项目名称：茶陵县古柏桥危桥改造工程-预算审核</w:t>
            </w:r>
          </w:p>
        </w:tc>
        <w:tc>
          <w:tcPr>
            <w:tcW w:w="2261" w:type="dxa"/>
            <w:gridSpan w:val="3"/>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2962" w:type="dxa"/>
            <w:gridSpan w:val="4"/>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8"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w:t>
            </w:r>
          </w:p>
        </w:tc>
        <w:tc>
          <w:tcPr>
            <w:tcW w:w="1049"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c>
          <w:tcPr>
            <w:tcW w:w="1091"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3"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2669" w:type="dxa"/>
            <w:vMerge w:val="restart"/>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819" w:type="dxa"/>
            <w:vMerge w:val="restart"/>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03" w:type="dxa"/>
            <w:vMerge w:val="restart"/>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总数量</w:t>
            </w:r>
          </w:p>
        </w:tc>
        <w:tc>
          <w:tcPr>
            <w:tcW w:w="2804" w:type="dxa"/>
            <w:gridSpan w:val="4"/>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茶陵县古柏桥危桥改造工程-预算审核</w:t>
            </w:r>
          </w:p>
        </w:tc>
        <w:tc>
          <w:tcPr>
            <w:tcW w:w="2419" w:type="dxa"/>
            <w:gridSpan w:val="3"/>
            <w:tcBorders>
              <w:top w:val="single" w:color="000000" w:sz="8"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1100" w:type="dxa"/>
            <w:gridSpan w:val="2"/>
            <w:vMerge w:val="restart"/>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总金额（元）</w:t>
            </w:r>
          </w:p>
        </w:tc>
        <w:tc>
          <w:tcPr>
            <w:tcW w:w="1172" w:type="dxa"/>
            <w:gridSpan w:val="2"/>
            <w:vMerge w:val="restart"/>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全路段</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技术经济</w:t>
            </w:r>
            <w:r>
              <w:rPr>
                <w:rFonts w:hint="eastAsia" w:ascii="宋体" w:hAnsi="宋体" w:eastAsia="宋体" w:cs="宋体"/>
                <w:b/>
                <w:bCs/>
                <w:i w:val="0"/>
                <w:iCs w:val="0"/>
                <w:color w:val="000000"/>
                <w:kern w:val="0"/>
                <w:sz w:val="16"/>
                <w:szCs w:val="16"/>
                <w:u w:val="none"/>
                <w:lang w:val="en-US" w:eastAsia="zh-CN" w:bidi="ar"/>
              </w:rPr>
              <w:br w:type="textWrapping"/>
            </w:r>
            <w:r>
              <w:rPr>
                <w:rFonts w:hint="eastAsia" w:ascii="宋体" w:hAnsi="宋体" w:eastAsia="宋体" w:cs="宋体"/>
                <w:b/>
                <w:bCs/>
                <w:i w:val="0"/>
                <w:iCs w:val="0"/>
                <w:color w:val="000000"/>
                <w:kern w:val="0"/>
                <w:sz w:val="16"/>
                <w:szCs w:val="16"/>
                <w:u w:val="none"/>
                <w:lang w:val="en-US" w:eastAsia="zh-CN" w:bidi="ar"/>
              </w:rPr>
              <w:t>指标</w:t>
            </w:r>
          </w:p>
        </w:tc>
        <w:tc>
          <w:tcPr>
            <w:tcW w:w="706" w:type="dxa"/>
            <w:vMerge w:val="restart"/>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各项费用比例（％）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73"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2669" w:type="dxa"/>
            <w:vMerge w:val="continue"/>
            <w:tcBorders>
              <w:top w:val="single" w:color="000000" w:sz="8"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819" w:type="dxa"/>
            <w:vMerge w:val="continue"/>
            <w:tcBorders>
              <w:top w:val="single" w:color="000000" w:sz="8"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1003" w:type="dxa"/>
            <w:vMerge w:val="continue"/>
            <w:tcBorders>
              <w:top w:val="single" w:color="000000" w:sz="8"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c>
          <w:tcPr>
            <w:tcW w:w="115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技术经济指标</w:t>
            </w:r>
          </w:p>
        </w:tc>
        <w:tc>
          <w:tcPr>
            <w:tcW w:w="78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82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c>
          <w:tcPr>
            <w:tcW w:w="80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技术经济指标</w:t>
            </w:r>
          </w:p>
        </w:tc>
        <w:tc>
          <w:tcPr>
            <w:tcW w:w="1100" w:type="dxa"/>
            <w:gridSpan w:val="2"/>
            <w:vMerge w:val="continue"/>
            <w:tcBorders>
              <w:top w:val="single" w:color="000000" w:sz="8"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1172" w:type="dxa"/>
            <w:gridSpan w:val="2"/>
            <w:vMerge w:val="continue"/>
            <w:tcBorders>
              <w:top w:val="single" w:color="000000" w:sz="8" w:space="0"/>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c>
          <w:tcPr>
            <w:tcW w:w="706" w:type="dxa"/>
            <w:vMerge w:val="continue"/>
            <w:tcBorders>
              <w:top w:val="single" w:color="000000" w:sz="8" w:space="0"/>
              <w:left w:val="nil"/>
              <w:bottom w:val="single" w:color="000000" w:sz="4"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第一部分 建筑安装工程费</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03"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151"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172"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专项费用</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0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36889</w:t>
            </w:r>
          </w:p>
        </w:tc>
        <w:tc>
          <w:tcPr>
            <w:tcW w:w="1151"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36,888.67</w:t>
            </w:r>
          </w:p>
        </w:tc>
        <w:tc>
          <w:tcPr>
            <w:tcW w:w="1172"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桥梁涵洞工程</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00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0.029</w:t>
            </w:r>
          </w:p>
        </w:tc>
        <w:tc>
          <w:tcPr>
            <w:tcW w:w="81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0.029</w:t>
            </w:r>
          </w:p>
        </w:tc>
        <w:tc>
          <w:tcPr>
            <w:tcW w:w="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15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17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第二部分 土地使用及拆迁补偿费</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3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51"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72"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第三部分 工程建设其他费</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3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51"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72"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第四部分 预备费</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19735</w:t>
            </w:r>
          </w:p>
        </w:tc>
        <w:tc>
          <w:tcPr>
            <w:tcW w:w="1151"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19,735.13</w:t>
            </w:r>
          </w:p>
        </w:tc>
        <w:tc>
          <w:tcPr>
            <w:tcW w:w="1172"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401</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基本预备费</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0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19735</w:t>
            </w:r>
          </w:p>
        </w:tc>
        <w:tc>
          <w:tcPr>
            <w:tcW w:w="1151"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19,735.13</w:t>
            </w:r>
          </w:p>
        </w:tc>
        <w:tc>
          <w:tcPr>
            <w:tcW w:w="1172"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402</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价差预备费</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0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3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51"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72"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第一至四部分合计</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151"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172"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建设期贷款利息</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35"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51"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72"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3"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66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公路基本造价</w:t>
            </w:r>
          </w:p>
        </w:tc>
        <w:tc>
          <w:tcPr>
            <w:tcW w:w="8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1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151"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8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2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803"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10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172"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70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bl>
    <w:p>
      <w:pPr>
        <w:pStyle w:val="2"/>
        <w:rPr>
          <w:rFonts w:hint="eastAsia"/>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20"/>
        <w:tblW w:w="134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167"/>
        <w:gridCol w:w="1006"/>
        <w:gridCol w:w="158"/>
        <w:gridCol w:w="3527"/>
        <w:gridCol w:w="81"/>
        <w:gridCol w:w="210"/>
        <w:gridCol w:w="42"/>
        <w:gridCol w:w="745"/>
        <w:gridCol w:w="34"/>
        <w:gridCol w:w="1016"/>
        <w:gridCol w:w="22"/>
        <w:gridCol w:w="1079"/>
        <w:gridCol w:w="35"/>
        <w:gridCol w:w="458"/>
        <w:gridCol w:w="8"/>
        <w:gridCol w:w="1199"/>
        <w:gridCol w:w="33"/>
        <w:gridCol w:w="728"/>
        <w:gridCol w:w="27"/>
        <w:gridCol w:w="862"/>
        <w:gridCol w:w="2"/>
        <w:gridCol w:w="884"/>
        <w:gridCol w:w="20"/>
        <w:gridCol w:w="801"/>
        <w:gridCol w:w="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560" w:hRule="atLeast"/>
        </w:trPr>
        <w:tc>
          <w:tcPr>
            <w:tcW w:w="13366" w:type="dxa"/>
            <w:gridSpan w:val="25"/>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表A.0.2-5 总预算表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10797" w:type="dxa"/>
            <w:gridSpan w:val="20"/>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建设项目名称：茶陵县古柏桥危桥改造工程-预算审核</w:t>
            </w:r>
          </w:p>
        </w:tc>
        <w:tc>
          <w:tcPr>
            <w:tcW w:w="2569" w:type="dxa"/>
            <w:gridSpan w:val="5"/>
            <w:tcBorders>
              <w:top w:val="nil"/>
              <w:left w:val="nil"/>
              <w:bottom w:val="nil"/>
              <w:right w:val="nil"/>
            </w:tcBorders>
            <w:shd w:val="clear" w:color="auto" w:fill="FFFFFF"/>
            <w:vAlign w:val="bottom"/>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5161" w:type="dxa"/>
            <w:gridSpan w:val="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编制范围：茶陵县古柏桥危桥改造工程-预算审核</w:t>
            </w:r>
          </w:p>
        </w:tc>
        <w:tc>
          <w:tcPr>
            <w:tcW w:w="3183" w:type="dxa"/>
            <w:gridSpan w:val="8"/>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2453" w:type="dxa"/>
            <w:gridSpan w:val="6"/>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62"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w:t>
            </w:r>
          </w:p>
        </w:tc>
        <w:tc>
          <w:tcPr>
            <w:tcW w:w="886"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2 页</w:t>
            </w:r>
          </w:p>
        </w:tc>
        <w:tc>
          <w:tcPr>
            <w:tcW w:w="821"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520" w:hRule="atLeast"/>
        </w:trPr>
        <w:tc>
          <w:tcPr>
            <w:tcW w:w="389" w:type="dxa"/>
            <w:gridSpan w:val="2"/>
            <w:tcBorders>
              <w:top w:val="nil"/>
              <w:left w:val="nil"/>
              <w:bottom w:val="nil"/>
              <w:right w:val="nil"/>
            </w:tcBorders>
            <w:shd w:val="clear" w:color="auto" w:fill="FFFFFF"/>
            <w:vAlign w:val="top"/>
          </w:tcPr>
          <w:p>
            <w:pPr>
              <w:jc w:val="left"/>
              <w:rPr>
                <w:rFonts w:hint="eastAsia" w:ascii="SansSerif" w:hAnsi="SansSerif" w:eastAsia="SansSerif" w:cs="SansSerif"/>
                <w:i w:val="0"/>
                <w:iCs w:val="0"/>
                <w:color w:val="000000"/>
                <w:sz w:val="20"/>
                <w:szCs w:val="20"/>
                <w:u w:val="none"/>
              </w:rPr>
            </w:pPr>
          </w:p>
        </w:tc>
        <w:tc>
          <w:tcPr>
            <w:tcW w:w="1164" w:type="dxa"/>
            <w:gridSpan w:val="2"/>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3860" w:type="dxa"/>
            <w:gridSpan w:val="4"/>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779"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38"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572" w:type="dxa"/>
            <w:gridSpan w:val="3"/>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c>
          <w:tcPr>
            <w:tcW w:w="1240" w:type="dxa"/>
            <w:gridSpan w:val="3"/>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技术经济指标</w:t>
            </w:r>
          </w:p>
        </w:tc>
        <w:tc>
          <w:tcPr>
            <w:tcW w:w="1617" w:type="dxa"/>
            <w:gridSpan w:val="3"/>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各项费用比例(%)</w:t>
            </w:r>
          </w:p>
        </w:tc>
        <w:tc>
          <w:tcPr>
            <w:tcW w:w="1707" w:type="dxa"/>
            <w:gridSpan w:val="4"/>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6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第一部分 建筑安装工程费</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38" w:type="dxa"/>
            <w:gridSpan w:val="2"/>
            <w:tcBorders>
              <w:top w:val="nil"/>
              <w:left w:val="nil"/>
              <w:bottom w:val="single" w:color="000000" w:sz="4" w:space="0"/>
              <w:right w:val="single" w:color="000000" w:sz="4" w:space="0"/>
            </w:tcBorders>
            <w:shd w:val="clear" w:color="auto" w:fill="FFFFFF"/>
            <w:vAlign w:val="center"/>
          </w:tcPr>
          <w:p>
            <w:pPr>
              <w:jc w:val="center"/>
              <w:rPr>
                <w:rFonts w:hint="eastAsia" w:ascii="Arial Narrow" w:hAnsi="Arial Narrow" w:eastAsia="Arial Narrow" w:cs="Arial Narrow"/>
                <w:i w:val="0"/>
                <w:iCs w:val="0"/>
                <w:color w:val="000000"/>
                <w:sz w:val="16"/>
                <w:szCs w:val="16"/>
                <w:u w:val="none"/>
              </w:rPr>
            </w:pP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建设项目路线总长度（主线长度）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专项费用</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038"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36889</w:t>
            </w:r>
          </w:p>
        </w:tc>
        <w:tc>
          <w:tcPr>
            <w:tcW w:w="1240" w:type="dxa"/>
            <w:gridSpan w:val="3"/>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11001</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施工场地建设费</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038"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27167</w:t>
            </w:r>
          </w:p>
        </w:tc>
        <w:tc>
          <w:tcPr>
            <w:tcW w:w="1240" w:type="dxa"/>
            <w:gridSpan w:val="3"/>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038"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9722</w:t>
            </w:r>
          </w:p>
        </w:tc>
        <w:tc>
          <w:tcPr>
            <w:tcW w:w="1240" w:type="dxa"/>
            <w:gridSpan w:val="3"/>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桥梁涵洞工程</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0.029</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10403</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小桥工程</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m/座</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28.82</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1040303</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预制空心板桥</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m2/m</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28.82</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临时电力线路</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300</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临时便道</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围堰【暂定】</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平面底座</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QL01</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基础工程</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56.6</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QL0101</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扩大基础</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56.6</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QL010102</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实体式（C25砼）</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56.6</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QL02</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下部构造</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105.9</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QL0202</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台身（C25砼）</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81.5</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QL0201</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台帽（C30砼）</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24.4</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QL03</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上部构造</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201.74</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QL0303</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预应力混凝土空心板（C40砼）</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51.6</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00"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QL0304</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铰缝（C40砼）</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124"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QL04</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桥面铺装</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112</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49"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QL0402</w:t>
            </w: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水泥混凝土铺装（C40防水）</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15.85</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 w:type="dxa"/>
          <w:trHeight w:val="364" w:hRule="atLeast"/>
        </w:trPr>
        <w:tc>
          <w:tcPr>
            <w:tcW w:w="389"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64"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860"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桥头搭板</w:t>
            </w:r>
          </w:p>
        </w:tc>
        <w:tc>
          <w:tcPr>
            <w:tcW w:w="779"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3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29.9</w:t>
            </w:r>
          </w:p>
        </w:tc>
        <w:tc>
          <w:tcPr>
            <w:tcW w:w="1572"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240"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17"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07"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401" w:type="dxa"/>
            <w:gridSpan w:val="2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表A.0.2-5 总预算表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770" w:type="dxa"/>
            <w:gridSpan w:val="19"/>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建设项目名称：茶陵县古柏桥危桥改造工程-预算审核</w:t>
            </w:r>
          </w:p>
        </w:tc>
        <w:tc>
          <w:tcPr>
            <w:tcW w:w="2631" w:type="dxa"/>
            <w:gridSpan w:val="7"/>
            <w:tcBorders>
              <w:top w:val="nil"/>
              <w:left w:val="nil"/>
              <w:bottom w:val="nil"/>
              <w:right w:val="nil"/>
            </w:tcBorders>
            <w:shd w:val="clear" w:color="auto" w:fill="FFFFFF"/>
            <w:vAlign w:val="bottom"/>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80" w:type="dxa"/>
            <w:gridSpan w:val="5"/>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编制范围：茶陵县古柏桥危桥改造工程-预算审核</w:t>
            </w:r>
          </w:p>
        </w:tc>
        <w:tc>
          <w:tcPr>
            <w:tcW w:w="3229" w:type="dxa"/>
            <w:gridSpan w:val="8"/>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2461" w:type="dxa"/>
            <w:gridSpan w:val="6"/>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91" w:type="dxa"/>
            <w:gridSpan w:val="3"/>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2 页</w:t>
            </w:r>
          </w:p>
        </w:tc>
        <w:tc>
          <w:tcPr>
            <w:tcW w:w="904"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2 页</w:t>
            </w:r>
          </w:p>
        </w:tc>
        <w:tc>
          <w:tcPr>
            <w:tcW w:w="836"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22" w:type="dxa"/>
            <w:tcBorders>
              <w:top w:val="nil"/>
              <w:left w:val="nil"/>
              <w:bottom w:val="nil"/>
              <w:right w:val="nil"/>
            </w:tcBorders>
            <w:shd w:val="clear" w:color="auto" w:fill="FFFFFF"/>
            <w:vAlign w:val="top"/>
          </w:tcPr>
          <w:p>
            <w:pPr>
              <w:jc w:val="left"/>
              <w:rPr>
                <w:rFonts w:hint="eastAsia" w:ascii="SansSerif" w:hAnsi="SansSerif" w:eastAsia="SansSerif" w:cs="SansSerif"/>
                <w:i w:val="0"/>
                <w:iCs w:val="0"/>
                <w:color w:val="000000"/>
                <w:sz w:val="20"/>
                <w:szCs w:val="20"/>
                <w:u w:val="none"/>
              </w:rPr>
            </w:pPr>
          </w:p>
        </w:tc>
        <w:tc>
          <w:tcPr>
            <w:tcW w:w="1173" w:type="dxa"/>
            <w:gridSpan w:val="2"/>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分项编号</w:t>
            </w:r>
          </w:p>
        </w:tc>
        <w:tc>
          <w:tcPr>
            <w:tcW w:w="3976" w:type="dxa"/>
            <w:gridSpan w:val="4"/>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787"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0"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602" w:type="dxa"/>
            <w:gridSpan w:val="5"/>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c>
          <w:tcPr>
            <w:tcW w:w="1199"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技术经济指标</w:t>
            </w:r>
          </w:p>
        </w:tc>
        <w:tc>
          <w:tcPr>
            <w:tcW w:w="1652" w:type="dxa"/>
            <w:gridSpan w:val="5"/>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各项费用比例(%)</w:t>
            </w:r>
          </w:p>
        </w:tc>
        <w:tc>
          <w:tcPr>
            <w:tcW w:w="1740" w:type="dxa"/>
            <w:gridSpan w:val="4"/>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QL05</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桥梁附属结构</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28.82</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QL0501</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桥梁支座</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QL050102</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板式橡胶支座</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QL0502</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泄水管</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4.8</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QL0502</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伸缩缝</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QL050201</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模数式伸缩缝</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QL0503</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护栏与护网</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14.9</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QL050304</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桥梁混凝土防撞护栏</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14.9</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QL06</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其他工程</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接线</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120</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拆除老桥</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138</w:t>
            </w: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第二部分 土地使用及拆迁补偿费</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5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02" w:type="dxa"/>
            <w:gridSpan w:val="5"/>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第三部分 工程建设其他费</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5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02" w:type="dxa"/>
            <w:gridSpan w:val="5"/>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第四部分 预备费</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5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19735</w:t>
            </w:r>
          </w:p>
        </w:tc>
        <w:tc>
          <w:tcPr>
            <w:tcW w:w="1199"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401</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基本预备费</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05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19735</w:t>
            </w:r>
          </w:p>
        </w:tc>
        <w:tc>
          <w:tcPr>
            <w:tcW w:w="1199"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402</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价差预备费</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c>
          <w:tcPr>
            <w:tcW w:w="105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02" w:type="dxa"/>
            <w:gridSpan w:val="5"/>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第一至四部分合计</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5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建设期贷款利息</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5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02" w:type="dxa"/>
            <w:gridSpan w:val="5"/>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173"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3976"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公路基本造价</w:t>
            </w:r>
          </w:p>
        </w:tc>
        <w:tc>
          <w:tcPr>
            <w:tcW w:w="78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w:t>
            </w:r>
          </w:p>
        </w:tc>
        <w:tc>
          <w:tcPr>
            <w:tcW w:w="1050"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0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199"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652" w:type="dxa"/>
            <w:gridSpan w:val="5"/>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p>
        </w:tc>
        <w:tc>
          <w:tcPr>
            <w:tcW w:w="1740" w:type="dxa"/>
            <w:gridSpan w:val="4"/>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bl>
    <w:p>
      <w:pPr>
        <w:rPr>
          <w:rFonts w:hint="eastAsia"/>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20"/>
        <w:tblW w:w="133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4090"/>
        <w:gridCol w:w="2"/>
        <w:gridCol w:w="3665"/>
        <w:gridCol w:w="3"/>
        <w:gridCol w:w="1232"/>
        <w:gridCol w:w="3"/>
        <w:gridCol w:w="1232"/>
        <w:gridCol w:w="3"/>
        <w:gridCol w:w="1355"/>
        <w:gridCol w:w="3"/>
        <w:gridCol w:w="1073"/>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60" w:hRule="atLeast"/>
        </w:trPr>
        <w:tc>
          <w:tcPr>
            <w:tcW w:w="13365" w:type="dxa"/>
            <w:gridSpan w:val="12"/>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表A.0.2-11 专项费用计算表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9696" w:type="dxa"/>
            <w:gridSpan w:val="6"/>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建设项目名称：茶陵县古柏桥危桥改造工程-预算审核</w:t>
            </w:r>
          </w:p>
        </w:tc>
        <w:tc>
          <w:tcPr>
            <w:tcW w:w="3669" w:type="dxa"/>
            <w:gridSpan w:val="6"/>
            <w:tcBorders>
              <w:top w:val="nil"/>
              <w:left w:val="nil"/>
              <w:bottom w:val="nil"/>
              <w:right w:val="nil"/>
            </w:tcBorders>
            <w:shd w:val="clear" w:color="auto" w:fill="FFFFFF"/>
            <w:vAlign w:val="bottom"/>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00" w:hRule="atLeast"/>
        </w:trPr>
        <w:tc>
          <w:tcPr>
            <w:tcW w:w="9696" w:type="dxa"/>
            <w:gridSpan w:val="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编制范围：茶陵县古柏桥危桥改造工程-预算审核</w:t>
            </w:r>
          </w:p>
        </w:tc>
        <w:tc>
          <w:tcPr>
            <w:tcW w:w="1235"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w:t>
            </w:r>
          </w:p>
        </w:tc>
        <w:tc>
          <w:tcPr>
            <w:tcW w:w="1358"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c>
          <w:tcPr>
            <w:tcW w:w="1076"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20" w:hRule="atLeast"/>
        </w:trPr>
        <w:tc>
          <w:tcPr>
            <w:tcW w:w="704"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4090"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工程或费用名称</w:t>
            </w:r>
          </w:p>
        </w:tc>
        <w:tc>
          <w:tcPr>
            <w:tcW w:w="3667"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说明及计算式</w:t>
            </w:r>
          </w:p>
        </w:tc>
        <w:tc>
          <w:tcPr>
            <w:tcW w:w="1235"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c>
          <w:tcPr>
            <w:tcW w:w="3669" w:type="dxa"/>
            <w:gridSpan w:val="6"/>
            <w:tcBorders>
              <w:top w:val="single" w:color="000000" w:sz="8" w:space="0"/>
              <w:left w:val="nil"/>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687" w:hRule="atLeast"/>
        </w:trPr>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11001</w:t>
            </w:r>
          </w:p>
        </w:tc>
        <w:tc>
          <w:tcPr>
            <w:tcW w:w="409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施工场地建设费</w:t>
            </w:r>
          </w:p>
        </w:tc>
        <w:tc>
          <w:tcPr>
            <w:tcW w:w="366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{公路工程2019施工场地建设费}</w:t>
            </w:r>
          </w:p>
        </w:tc>
        <w:tc>
          <w:tcPr>
            <w:tcW w:w="123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27167</w:t>
            </w:r>
          </w:p>
        </w:tc>
        <w:tc>
          <w:tcPr>
            <w:tcW w:w="3669" w:type="dxa"/>
            <w:gridSpan w:val="6"/>
            <w:tcBorders>
              <w:top w:val="nil"/>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702" w:hRule="atLeast"/>
        </w:trPr>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11002</w:t>
            </w:r>
          </w:p>
        </w:tc>
        <w:tc>
          <w:tcPr>
            <w:tcW w:w="409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366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({A}-{A}DESCDⅡ)*1.5%</w:t>
            </w:r>
          </w:p>
        </w:tc>
        <w:tc>
          <w:tcPr>
            <w:tcW w:w="123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9722</w:t>
            </w:r>
          </w:p>
        </w:tc>
        <w:tc>
          <w:tcPr>
            <w:tcW w:w="3669" w:type="dxa"/>
            <w:gridSpan w:val="6"/>
            <w:tcBorders>
              <w:top w:val="nil"/>
              <w:left w:val="nil"/>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369" w:type="dxa"/>
            <w:gridSpan w:val="13"/>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表A.0.2-13 工程建设其他费计算表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99" w:type="dxa"/>
            <w:gridSpan w:val="7"/>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建设项目名称：茶陵县古柏桥危桥改造工程-预算审核</w:t>
            </w:r>
          </w:p>
        </w:tc>
        <w:tc>
          <w:tcPr>
            <w:tcW w:w="3670" w:type="dxa"/>
            <w:gridSpan w:val="6"/>
            <w:tcBorders>
              <w:top w:val="nil"/>
              <w:left w:val="nil"/>
              <w:bottom w:val="nil"/>
              <w:right w:val="nil"/>
            </w:tcBorders>
            <w:shd w:val="clear" w:color="auto" w:fill="FFFFFF"/>
            <w:vAlign w:val="bottom"/>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99" w:type="dxa"/>
            <w:gridSpan w:val="7"/>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编制范围：茶陵县古柏桥危桥改造工程-预算审核</w:t>
            </w:r>
          </w:p>
        </w:tc>
        <w:tc>
          <w:tcPr>
            <w:tcW w:w="1235"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 1 页</w:t>
            </w:r>
          </w:p>
        </w:tc>
        <w:tc>
          <w:tcPr>
            <w:tcW w:w="1358"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c>
          <w:tcPr>
            <w:tcW w:w="1077"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4092"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费用名称及项目</w:t>
            </w:r>
          </w:p>
        </w:tc>
        <w:tc>
          <w:tcPr>
            <w:tcW w:w="3668"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说明及计算式</w:t>
            </w:r>
          </w:p>
        </w:tc>
        <w:tc>
          <w:tcPr>
            <w:tcW w:w="1235"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c>
          <w:tcPr>
            <w:tcW w:w="3670" w:type="dxa"/>
            <w:gridSpan w:val="6"/>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09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第四部分 预备费</w:t>
            </w:r>
          </w:p>
        </w:tc>
        <w:tc>
          <w:tcPr>
            <w:tcW w:w="3668"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123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19735</w:t>
            </w:r>
          </w:p>
        </w:tc>
        <w:tc>
          <w:tcPr>
            <w:tcW w:w="3670" w:type="dxa"/>
            <w:gridSpan w:val="6"/>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401</w:t>
            </w:r>
          </w:p>
        </w:tc>
        <w:tc>
          <w:tcPr>
            <w:tcW w:w="4092"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基本预备费</w:t>
            </w:r>
          </w:p>
        </w:tc>
        <w:tc>
          <w:tcPr>
            <w:tcW w:w="36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(建安工程费+第二部分 土地使用及拆迁补偿费+第三部分 工程建设其他费)*3%</w:t>
            </w:r>
          </w:p>
        </w:tc>
        <w:tc>
          <w:tcPr>
            <w:tcW w:w="1235"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19735</w:t>
            </w:r>
          </w:p>
        </w:tc>
        <w:tc>
          <w:tcPr>
            <w:tcW w:w="3670" w:type="dxa"/>
            <w:gridSpan w:val="6"/>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bl>
    <w:p>
      <w:pPr>
        <w:pStyle w:val="2"/>
        <w:rPr>
          <w:rFonts w:hint="eastAsia"/>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64"/>
    <w:bookmarkEnd w:id="65"/>
    <w:bookmarkEnd w:id="66"/>
    <w:bookmarkEnd w:id="67"/>
    <w:bookmarkEnd w:id="68"/>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outlineLvl w:val="1"/>
        <w:rPr>
          <w:rFonts w:hint="eastAsia" w:ascii="宋体" w:hAnsi="宋体"/>
          <w:b/>
          <w:bCs/>
          <w:color w:val="auto"/>
          <w:szCs w:val="21"/>
          <w:highlight w:val="none"/>
          <w:lang w:val="en-US" w:eastAsia="zh-CN"/>
        </w:rPr>
      </w:pPr>
      <w:bookmarkStart w:id="72" w:name="_Toc15577"/>
      <w:r>
        <w:rPr>
          <w:rFonts w:hint="eastAsia" w:ascii="宋体" w:hAnsi="宋体"/>
          <w:b/>
          <w:bCs/>
          <w:color w:val="auto"/>
          <w:szCs w:val="21"/>
          <w:highlight w:val="none"/>
          <w:lang w:val="en-US" w:eastAsia="zh-CN"/>
        </w:rPr>
        <w:t>五、其他规定</w:t>
      </w:r>
      <w:bookmarkEnd w:id="7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 施工要求：中标人须加强施工的组织管理，所有施工人员须遵守文明安全施工的有关规章制度。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2、验收要求：由采购人组织验收活动，按工程建设相关程序办理。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 投标人在投标前应充分了解施工现场，施工过程中材料安排、施工安排、施工给周边带来的影响及沟通与协调等事项全部由施工单位自行负责解决，并不得影响施工质量及进度。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 在施工中如发生设计变更及工程隐蔽前，事先通知相关部门共同核定，按程序及规定呈报相应部门及领导批示后才能作为结算依据。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5、成交供应商必须根据现场情况，制定施工计划。在项目实施过程中不能影响采购方的正常工作。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（1）严格按照国家标准和甲方要求组 织施工。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（2）质保期从验收合格后开始计算。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pPr>
        <w:pStyle w:val="8"/>
        <w:numPr>
          <w:ilvl w:val="0"/>
          <w:numId w:val="0"/>
        </w:numPr>
        <w:ind w:leftChars="0"/>
        <w:jc w:val="center"/>
        <w:outlineLvl w:val="0"/>
        <w:rPr>
          <w:rFonts w:hint="eastAsia" w:asciiTheme="majorEastAsia" w:hAnsiTheme="majorEastAsia" w:eastAsiaTheme="majorEastAsia" w:cstheme="majorEastAsia"/>
          <w:b/>
          <w:color w:val="auto"/>
          <w:sz w:val="32"/>
          <w:szCs w:val="32"/>
        </w:rPr>
      </w:pPr>
      <w:bookmarkStart w:id="73" w:name="_Toc13173"/>
      <w:r>
        <w:rPr>
          <w:rFonts w:hint="eastAsia" w:asciiTheme="majorEastAsia" w:hAnsiTheme="majorEastAsia" w:eastAsiaTheme="majorEastAsia" w:cstheme="majorEastAsia"/>
          <w:b/>
          <w:color w:val="auto"/>
          <w:sz w:val="32"/>
          <w:szCs w:val="32"/>
        </w:rPr>
        <w:t>第</w:t>
      </w:r>
      <w:r>
        <w:rPr>
          <w:rFonts w:hint="eastAsia" w:asciiTheme="majorEastAsia" w:hAnsiTheme="majorEastAsia" w:eastAsiaTheme="majorEastAsia" w:cstheme="majorEastAsia"/>
          <w:b/>
          <w:color w:val="auto"/>
          <w:sz w:val="32"/>
          <w:szCs w:val="32"/>
          <w:lang w:eastAsia="zh-CN"/>
        </w:rPr>
        <w:t>七</w:t>
      </w:r>
      <w:r>
        <w:rPr>
          <w:rFonts w:hint="eastAsia" w:asciiTheme="majorEastAsia" w:hAnsiTheme="majorEastAsia" w:eastAsiaTheme="majorEastAsia" w:cstheme="majorEastAsia"/>
          <w:b/>
          <w:color w:val="auto"/>
          <w:sz w:val="32"/>
          <w:szCs w:val="32"/>
        </w:rPr>
        <w:t>章 响应文件组成</w:t>
      </w:r>
      <w:bookmarkEnd w:id="73"/>
    </w:p>
    <w:p>
      <w:pPr>
        <w:spacing w:line="360" w:lineRule="exact"/>
        <w:rPr>
          <w:rFonts w:hint="eastAsia" w:asciiTheme="majorEastAsia" w:hAnsiTheme="majorEastAsia" w:eastAsiaTheme="majorEastAsia" w:cstheme="majorEastAsia"/>
          <w:color w:val="auto"/>
        </w:rPr>
      </w:pPr>
    </w:p>
    <w:p>
      <w:pPr>
        <w:spacing w:line="360" w:lineRule="exact"/>
        <w:rPr>
          <w:rFonts w:hint="eastAsia" w:asciiTheme="majorEastAsia" w:hAnsiTheme="majorEastAsia" w:eastAsiaTheme="majorEastAsia" w:cstheme="majorEastAsia"/>
          <w:color w:val="auto"/>
          <w:sz w:val="20"/>
          <w:szCs w:val="20"/>
        </w:rPr>
      </w:pPr>
    </w:p>
    <w:p>
      <w:pPr>
        <w:spacing w:line="360" w:lineRule="exact"/>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供应商的响应文件应包含以下</w:t>
      </w:r>
      <w:r>
        <w:rPr>
          <w:rFonts w:hint="eastAsia" w:asciiTheme="majorEastAsia" w:hAnsiTheme="majorEastAsia" w:eastAsiaTheme="majorEastAsia" w:cstheme="majorEastAsia"/>
          <w:color w:val="auto"/>
          <w:szCs w:val="21"/>
          <w:lang w:eastAsia="zh-CN"/>
        </w:rPr>
        <w:t>两</w:t>
      </w:r>
      <w:r>
        <w:rPr>
          <w:rFonts w:hint="eastAsia" w:asciiTheme="majorEastAsia" w:hAnsiTheme="majorEastAsia" w:eastAsiaTheme="majorEastAsia" w:cstheme="majorEastAsia"/>
          <w:color w:val="auto"/>
          <w:szCs w:val="21"/>
        </w:rPr>
        <w:t>个部分：</w:t>
      </w:r>
    </w:p>
    <w:p>
      <w:pPr>
        <w:tabs>
          <w:tab w:val="left" w:pos="2124"/>
        </w:tabs>
        <w:outlineLvl w:val="9"/>
        <w:rPr>
          <w:rFonts w:hint="eastAsia" w:asciiTheme="majorEastAsia" w:hAnsiTheme="majorEastAsia" w:eastAsiaTheme="majorEastAsia" w:cstheme="majorEastAsia"/>
          <w:color w:val="auto"/>
          <w:sz w:val="28"/>
          <w:szCs w:val="28"/>
        </w:rPr>
      </w:pPr>
      <w:r>
        <w:rPr>
          <w:rFonts w:hint="eastAsia"/>
          <w:sz w:val="28"/>
          <w:szCs w:val="28"/>
          <w:lang w:eastAsia="zh-CN"/>
        </w:rPr>
        <w:t>第一部分</w:t>
      </w:r>
      <w:r>
        <w:rPr>
          <w:rFonts w:hint="eastAsia"/>
          <w:sz w:val="28"/>
          <w:szCs w:val="28"/>
          <w:lang w:val="en-US" w:eastAsia="zh-CN"/>
        </w:rPr>
        <w:t xml:space="preserve"> </w:t>
      </w:r>
      <w:r>
        <w:rPr>
          <w:sz w:val="28"/>
          <w:szCs w:val="28"/>
        </w:rPr>
        <w:t>资格证明文件</w:t>
      </w:r>
    </w:p>
    <w:p>
      <w:pPr>
        <w:adjustRightInd w:val="0"/>
        <w:snapToGrid w:val="0"/>
        <w:spacing w:line="360" w:lineRule="auto"/>
        <w:jc w:val="left"/>
        <w:outlineLvl w:val="9"/>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一、磋商响应声明</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附件1：法定代表人身份证明(法定代表人参加磋商)</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附件2：法定代表人授权书(委托代理人参加磋商)</w:t>
      </w:r>
    </w:p>
    <w:p>
      <w:pPr>
        <w:adjustRightInd w:val="0"/>
        <w:snapToGrid w:val="0"/>
        <w:spacing w:line="360" w:lineRule="auto"/>
        <w:jc w:val="left"/>
        <w:outlineLvl w:val="9"/>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color w:val="auto"/>
          <w:szCs w:val="21"/>
        </w:rPr>
        <w:t>二、保证金</w:t>
      </w:r>
    </w:p>
    <w:p>
      <w:pPr>
        <w:adjustRightInd w:val="0"/>
        <w:snapToGrid w:val="0"/>
        <w:spacing w:line="360" w:lineRule="auto"/>
        <w:jc w:val="left"/>
        <w:outlineLvl w:val="9"/>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三、供应商的资格证明材料</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1 法人或者其他组织的营业执照等主体资格证明文件，自然人的身份证明</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-2 供应商资格声明(格式)</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-3 符合特定资格条件证明材料复印件或者情况说明</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-4 联合体协议书（格式）（联合体形式的提供）</w:t>
      </w:r>
    </w:p>
    <w:p>
      <w:pPr>
        <w:tabs>
          <w:tab w:val="left" w:pos="2124"/>
        </w:tabs>
        <w:outlineLvl w:val="9"/>
        <w:rPr>
          <w:rFonts w:hint="eastAsia" w:eastAsia="宋体" w:asciiTheme="majorEastAsia" w:hAnsiTheme="majorEastAsia" w:cstheme="majorEastAsia"/>
          <w:color w:val="auto"/>
          <w:sz w:val="28"/>
          <w:szCs w:val="28"/>
          <w:lang w:eastAsia="zh-CN"/>
        </w:rPr>
      </w:pPr>
      <w:r>
        <w:rPr>
          <w:rFonts w:hint="eastAsia"/>
          <w:sz w:val="28"/>
          <w:szCs w:val="28"/>
          <w:lang w:eastAsia="zh-CN"/>
        </w:rPr>
        <w:t>第二部分</w:t>
      </w:r>
      <w:r>
        <w:rPr>
          <w:rFonts w:hint="eastAsia"/>
          <w:sz w:val="28"/>
          <w:szCs w:val="28"/>
          <w:lang w:val="en-US" w:eastAsia="zh-CN"/>
        </w:rPr>
        <w:t xml:space="preserve"> </w:t>
      </w:r>
      <w:r>
        <w:rPr>
          <w:rFonts w:hint="eastAsia"/>
          <w:sz w:val="28"/>
          <w:szCs w:val="28"/>
          <w:lang w:eastAsia="zh-CN"/>
        </w:rPr>
        <w:t>商务技术文件</w:t>
      </w:r>
    </w:p>
    <w:p>
      <w:pPr>
        <w:adjustRightInd w:val="0"/>
        <w:snapToGrid w:val="0"/>
        <w:spacing w:line="360" w:lineRule="auto"/>
        <w:outlineLvl w:val="9"/>
        <w:rPr>
          <w:rFonts w:hint="eastAsia" w:asciiTheme="majorEastAsia" w:hAnsiTheme="majorEastAsia" w:eastAsiaTheme="majorEastAsia" w:cstheme="majorEastAsia"/>
          <w:b/>
          <w:color w:val="auto"/>
        </w:rPr>
      </w:pPr>
      <w:r>
        <w:rPr>
          <w:rFonts w:hint="eastAsia" w:asciiTheme="majorEastAsia" w:hAnsiTheme="majorEastAsia" w:eastAsiaTheme="majorEastAsia" w:cstheme="majorEastAsia"/>
          <w:b/>
          <w:color w:val="auto"/>
          <w:lang w:eastAsia="zh-CN"/>
        </w:rPr>
        <w:t>四</w:t>
      </w:r>
      <w:r>
        <w:rPr>
          <w:rFonts w:hint="eastAsia" w:asciiTheme="majorEastAsia" w:hAnsiTheme="majorEastAsia" w:eastAsiaTheme="majorEastAsia" w:cstheme="majorEastAsia"/>
          <w:b/>
          <w:color w:val="auto"/>
        </w:rPr>
        <w:t>、</w:t>
      </w:r>
      <w:r>
        <w:rPr>
          <w:rFonts w:hint="eastAsia" w:asciiTheme="majorEastAsia" w:hAnsiTheme="majorEastAsia" w:eastAsiaTheme="majorEastAsia" w:cstheme="majorEastAsia"/>
          <w:b/>
          <w:color w:val="auto"/>
          <w:lang w:eastAsia="zh-CN"/>
        </w:rPr>
        <w:t>采购需求</w:t>
      </w:r>
      <w:r>
        <w:rPr>
          <w:rFonts w:hint="eastAsia" w:asciiTheme="majorEastAsia" w:hAnsiTheme="majorEastAsia" w:eastAsiaTheme="majorEastAsia" w:cstheme="majorEastAsia"/>
          <w:b/>
          <w:color w:val="auto"/>
          <w:lang w:val="en-US" w:eastAsia="zh-CN"/>
        </w:rPr>
        <w:t>/</w:t>
      </w:r>
      <w:r>
        <w:rPr>
          <w:rFonts w:hint="eastAsia" w:asciiTheme="majorEastAsia" w:hAnsiTheme="majorEastAsia" w:eastAsiaTheme="majorEastAsia" w:cstheme="majorEastAsia"/>
          <w:b/>
          <w:color w:val="auto"/>
        </w:rPr>
        <w:t>技术</w:t>
      </w:r>
      <w:r>
        <w:rPr>
          <w:rFonts w:hint="eastAsia" w:asciiTheme="majorEastAsia" w:hAnsiTheme="majorEastAsia" w:eastAsiaTheme="majorEastAsia" w:cstheme="majorEastAsia"/>
          <w:b/>
          <w:color w:val="auto"/>
          <w:lang w:eastAsia="zh-CN"/>
        </w:rPr>
        <w:t>和</w:t>
      </w:r>
      <w:r>
        <w:rPr>
          <w:rFonts w:hint="eastAsia" w:asciiTheme="majorEastAsia" w:hAnsiTheme="majorEastAsia" w:eastAsiaTheme="majorEastAsia" w:cstheme="majorEastAsia"/>
          <w:b/>
          <w:color w:val="auto"/>
        </w:rPr>
        <w:t>商务响应与偏离表</w:t>
      </w:r>
    </w:p>
    <w:p>
      <w:pPr>
        <w:pStyle w:val="11"/>
        <w:adjustRightInd w:val="0"/>
        <w:snapToGrid w:val="0"/>
        <w:spacing w:line="360" w:lineRule="auto"/>
        <w:outlineLvl w:val="9"/>
        <w:rPr>
          <w:rFonts w:hint="eastAsia" w:asciiTheme="majorEastAsia" w:hAnsiTheme="majorEastAsia" w:eastAsiaTheme="majorEastAsia" w:cstheme="majorEastAsia"/>
          <w:b/>
          <w:color w:val="auto"/>
          <w:sz w:val="21"/>
        </w:rPr>
      </w:pPr>
      <w:r>
        <w:rPr>
          <w:rFonts w:hint="eastAsia" w:asciiTheme="majorEastAsia" w:hAnsiTheme="majorEastAsia" w:eastAsiaTheme="majorEastAsia" w:cstheme="majorEastAsia"/>
          <w:b/>
          <w:color w:val="auto"/>
          <w:sz w:val="21"/>
          <w:lang w:eastAsia="zh-CN"/>
        </w:rPr>
        <w:t>五</w:t>
      </w:r>
      <w:r>
        <w:rPr>
          <w:rFonts w:hint="eastAsia" w:asciiTheme="majorEastAsia" w:hAnsiTheme="majorEastAsia" w:eastAsiaTheme="majorEastAsia" w:cstheme="majorEastAsia"/>
          <w:b/>
          <w:color w:val="auto"/>
          <w:sz w:val="21"/>
        </w:rPr>
        <w:t>、报价一览表及报价文件</w:t>
      </w:r>
    </w:p>
    <w:p>
      <w:pPr>
        <w:adjustRightInd w:val="0"/>
        <w:snapToGrid w:val="0"/>
        <w:spacing w:line="360" w:lineRule="auto"/>
        <w:ind w:firstLine="420" w:firstLineChars="200"/>
        <w:jc w:val="left"/>
        <w:outlineLvl w:val="9"/>
        <w:rPr>
          <w:rFonts w:hint="eastAsia" w:asciiTheme="majorEastAsia" w:hAnsiTheme="majorEastAsia" w:eastAsiaTheme="majorEastAsia" w:cstheme="majorEastAsia"/>
          <w:color w:val="auto"/>
          <w:szCs w:val="21"/>
          <w:lang w:eastAsia="zh-CN"/>
        </w:rPr>
      </w:pPr>
      <w:r>
        <w:t>（一）</w:t>
      </w:r>
      <w:r>
        <w:rPr>
          <w:rFonts w:hint="eastAsia" w:asciiTheme="majorEastAsia" w:hAnsiTheme="majorEastAsia" w:eastAsiaTheme="majorEastAsia" w:cstheme="majorEastAsia"/>
          <w:color w:val="auto"/>
          <w:szCs w:val="21"/>
          <w:lang w:eastAsia="zh-CN"/>
        </w:rPr>
        <w:t>报价一览表</w:t>
      </w:r>
    </w:p>
    <w:p>
      <w:pPr>
        <w:pStyle w:val="19"/>
        <w:ind w:left="0" w:leftChars="0" w:firstLine="0" w:firstLineChars="0"/>
        <w:outlineLvl w:val="9"/>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szCs w:val="21"/>
          <w:lang w:val="en-US" w:eastAsia="zh-CN"/>
        </w:rPr>
        <w:t xml:space="preserve">    </w:t>
      </w:r>
      <w:r>
        <w:rPr>
          <w:sz w:val="21"/>
        </w:rPr>
        <w:t>（二）已标价工程量清单</w:t>
      </w:r>
    </w:p>
    <w:p>
      <w:pPr>
        <w:adjustRightInd w:val="0"/>
        <w:snapToGrid w:val="0"/>
        <w:spacing w:line="360" w:lineRule="auto"/>
        <w:outlineLvl w:val="9"/>
        <w:rPr>
          <w:rFonts w:hint="eastAsia"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lang w:eastAsia="zh-CN"/>
        </w:rPr>
        <w:t>六</w:t>
      </w:r>
      <w:r>
        <w:rPr>
          <w:rFonts w:hint="eastAsia" w:asciiTheme="majorEastAsia" w:hAnsiTheme="majorEastAsia" w:eastAsiaTheme="majorEastAsia" w:cstheme="majorEastAsia"/>
          <w:b/>
          <w:color w:val="auto"/>
        </w:rPr>
        <w:t>、</w:t>
      </w:r>
      <w:bookmarkStart w:id="74" w:name="_Toc10880"/>
      <w:bookmarkStart w:id="75" w:name="_Toc3258"/>
      <w:bookmarkStart w:id="76" w:name="_Toc30800"/>
      <w:r>
        <w:rPr>
          <w:rFonts w:hint="eastAsia" w:asciiTheme="majorEastAsia" w:hAnsiTheme="majorEastAsia" w:eastAsiaTheme="majorEastAsia" w:cstheme="majorEastAsia"/>
          <w:b/>
          <w:color w:val="auto"/>
          <w:sz w:val="24"/>
        </w:rPr>
        <w:t>施工组织设计</w:t>
      </w:r>
      <w:bookmarkEnd w:id="74"/>
      <w:bookmarkEnd w:id="75"/>
      <w:bookmarkEnd w:id="76"/>
    </w:p>
    <w:p>
      <w:pPr>
        <w:adjustRightInd w:val="0"/>
        <w:snapToGrid w:val="0"/>
        <w:spacing w:line="360" w:lineRule="auto"/>
        <w:ind w:firstLine="420" w:firstLineChars="200"/>
        <w:jc w:val="left"/>
        <w:outlineLvl w:val="9"/>
      </w:pPr>
      <w:r>
        <w:t>（一）施工组织设计</w:t>
      </w:r>
    </w:p>
    <w:p>
      <w:pPr>
        <w:adjustRightInd w:val="0"/>
        <w:snapToGrid w:val="0"/>
        <w:spacing w:line="360" w:lineRule="auto"/>
        <w:ind w:firstLine="420" w:firstLineChars="200"/>
        <w:jc w:val="left"/>
        <w:outlineLvl w:val="9"/>
      </w:pPr>
      <w:r>
        <w:t>（二）主要人员简历表</w:t>
      </w:r>
    </w:p>
    <w:p>
      <w:pPr>
        <w:pStyle w:val="11"/>
        <w:adjustRightInd w:val="0"/>
        <w:snapToGrid w:val="0"/>
        <w:spacing w:line="360" w:lineRule="auto"/>
        <w:outlineLvl w:val="9"/>
        <w:rPr>
          <w:rFonts w:hint="eastAsia" w:asciiTheme="majorEastAsia" w:hAnsiTheme="majorEastAsia" w:eastAsiaTheme="majorEastAsia" w:cstheme="majorEastAsia"/>
          <w:b/>
          <w:color w:val="auto"/>
          <w:sz w:val="21"/>
        </w:rPr>
      </w:pPr>
      <w:r>
        <w:rPr>
          <w:rFonts w:hint="eastAsia" w:asciiTheme="majorEastAsia" w:hAnsiTheme="majorEastAsia" w:eastAsiaTheme="majorEastAsia" w:cstheme="majorEastAsia"/>
          <w:b/>
          <w:color w:val="auto"/>
          <w:sz w:val="21"/>
          <w:lang w:eastAsia="zh-CN"/>
        </w:rPr>
        <w:t>七</w:t>
      </w:r>
      <w:r>
        <w:rPr>
          <w:rFonts w:hint="eastAsia" w:asciiTheme="majorEastAsia" w:hAnsiTheme="majorEastAsia" w:eastAsiaTheme="majorEastAsia" w:cstheme="majorEastAsia"/>
          <w:b/>
          <w:color w:val="auto"/>
          <w:sz w:val="21"/>
        </w:rPr>
        <w:t>、</w:t>
      </w:r>
      <w:r>
        <w:rPr>
          <w:rFonts w:hint="eastAsia" w:asciiTheme="majorEastAsia" w:hAnsiTheme="majorEastAsia" w:eastAsiaTheme="majorEastAsia" w:cstheme="majorEastAsia"/>
          <w:b/>
          <w:color w:val="auto"/>
          <w:kern w:val="2"/>
          <w:sz w:val="24"/>
          <w:szCs w:val="24"/>
          <w:lang w:val="en-US" w:eastAsia="zh-CN" w:bidi="ar-SA"/>
        </w:rPr>
        <w:t>享受政府采购政策优惠的证明材料</w:t>
      </w:r>
    </w:p>
    <w:p>
      <w:pPr>
        <w:adjustRightInd w:val="0"/>
        <w:snapToGrid w:val="0"/>
        <w:spacing w:line="360" w:lineRule="auto"/>
        <w:ind w:firstLine="420" w:firstLineChars="200"/>
        <w:jc w:val="left"/>
        <w:outlineLvl w:val="9"/>
      </w:pPr>
      <w:r>
        <w:t>（一）中小企业声明函</w:t>
      </w:r>
    </w:p>
    <w:p>
      <w:pPr>
        <w:adjustRightInd w:val="0"/>
        <w:snapToGrid w:val="0"/>
        <w:spacing w:line="360" w:lineRule="auto"/>
        <w:ind w:firstLine="420" w:firstLineChars="200"/>
        <w:jc w:val="left"/>
        <w:outlineLvl w:val="9"/>
        <w:rPr>
          <w:rFonts w:hint="eastAsia"/>
        </w:rPr>
      </w:pPr>
      <w:r>
        <w:t>（二）</w:t>
      </w:r>
      <w:r>
        <w:rPr>
          <w:rFonts w:hint="eastAsia"/>
        </w:rPr>
        <w:t>“节能产品”、“环境标志产品”</w:t>
      </w:r>
      <w:r>
        <w:rPr>
          <w:rFonts w:hint="eastAsia"/>
          <w:lang w:eastAsia="zh-CN"/>
        </w:rPr>
        <w:t>、“两型产品”</w:t>
      </w:r>
      <w:r>
        <w:rPr>
          <w:rFonts w:hint="eastAsia"/>
        </w:rPr>
        <w:t>等证明材料</w:t>
      </w:r>
    </w:p>
    <w:p>
      <w:pPr>
        <w:pStyle w:val="11"/>
        <w:adjustRightInd w:val="0"/>
        <w:snapToGrid w:val="0"/>
        <w:spacing w:line="360" w:lineRule="auto"/>
        <w:outlineLvl w:val="9"/>
        <w:rPr>
          <w:rFonts w:hint="eastAsia" w:asciiTheme="majorEastAsia" w:hAnsiTheme="majorEastAsia" w:eastAsiaTheme="majorEastAsia" w:cstheme="majorEastAsia"/>
          <w:b/>
          <w:color w:val="auto"/>
          <w:sz w:val="21"/>
          <w:lang w:eastAsia="zh-CN"/>
        </w:rPr>
      </w:pPr>
      <w:r>
        <w:rPr>
          <w:rFonts w:hint="eastAsia" w:asciiTheme="majorEastAsia" w:hAnsiTheme="majorEastAsia" w:eastAsiaTheme="majorEastAsia" w:cstheme="majorEastAsia"/>
          <w:b/>
          <w:color w:val="auto"/>
          <w:sz w:val="21"/>
          <w:lang w:eastAsia="zh-CN"/>
        </w:rPr>
        <w:t>八、供应商认为需提供的其它资料</w:t>
      </w:r>
    </w:p>
    <w:p>
      <w:pPr>
        <w:pStyle w:val="11"/>
        <w:adjustRightInd w:val="0"/>
        <w:snapToGrid w:val="0"/>
        <w:spacing w:line="360" w:lineRule="auto"/>
        <w:outlineLvl w:val="9"/>
        <w:rPr>
          <w:rFonts w:hint="eastAsia" w:asciiTheme="majorEastAsia" w:hAnsiTheme="majorEastAsia" w:eastAsiaTheme="majorEastAsia" w:cstheme="majorEastAsia"/>
          <w:b/>
          <w:color w:val="auto"/>
          <w:sz w:val="21"/>
          <w:lang w:eastAsia="zh-CN"/>
        </w:rPr>
      </w:pPr>
      <w:r>
        <w:rPr>
          <w:rFonts w:hint="eastAsia" w:asciiTheme="majorEastAsia" w:hAnsiTheme="majorEastAsia" w:eastAsiaTheme="majorEastAsia" w:cstheme="majorEastAsia"/>
          <w:b/>
          <w:color w:val="auto"/>
          <w:sz w:val="21"/>
          <w:lang w:eastAsia="zh-CN"/>
        </w:rPr>
        <w:t>九、代理服务费承诺书</w:t>
      </w:r>
    </w:p>
    <w:p>
      <w:pPr>
        <w:pStyle w:val="11"/>
        <w:adjustRightInd w:val="0"/>
        <w:snapToGrid w:val="0"/>
        <w:spacing w:line="360" w:lineRule="auto"/>
        <w:outlineLvl w:val="9"/>
        <w:rPr>
          <w:rFonts w:hint="eastAsia" w:asciiTheme="majorEastAsia" w:hAnsiTheme="majorEastAsia" w:eastAsiaTheme="majorEastAsia" w:cstheme="majorEastAsia"/>
          <w:b/>
          <w:color w:val="auto"/>
          <w:sz w:val="21"/>
          <w:lang w:eastAsia="zh-CN"/>
        </w:rPr>
      </w:pPr>
      <w:r>
        <w:rPr>
          <w:rFonts w:hint="eastAsia" w:asciiTheme="majorEastAsia" w:hAnsiTheme="majorEastAsia" w:eastAsiaTheme="majorEastAsia" w:cstheme="majorEastAsia"/>
          <w:b/>
          <w:color w:val="auto"/>
          <w:sz w:val="21"/>
          <w:lang w:eastAsia="zh-CN"/>
        </w:rPr>
        <w:t>十、最后报价</w:t>
      </w:r>
    </w:p>
    <w:p>
      <w:pPr>
        <w:rPr>
          <w:rFonts w:hint="eastAsia" w:asciiTheme="majorEastAsia" w:hAnsiTheme="majorEastAsia" w:eastAsiaTheme="majorEastAsia" w:cstheme="majorEastAsia"/>
          <w:b/>
          <w:color w:val="auto"/>
          <w:kern w:val="0"/>
          <w:sz w:val="21"/>
          <w:szCs w:val="21"/>
          <w:lang w:val="en-US" w:eastAsia="zh-CN" w:bidi="ar-SA"/>
        </w:rPr>
      </w:pPr>
      <w:r>
        <w:rPr>
          <w:rFonts w:hint="eastAsia" w:asciiTheme="majorEastAsia" w:hAnsiTheme="majorEastAsia" w:eastAsiaTheme="majorEastAsia" w:cstheme="majorEastAsia"/>
          <w:b/>
          <w:color w:val="auto"/>
          <w:kern w:val="0"/>
          <w:sz w:val="21"/>
          <w:szCs w:val="21"/>
          <w:lang w:val="en-US" w:eastAsia="zh-CN" w:bidi="ar-SA"/>
        </w:rPr>
        <w:t>十一、履约保证金退款申请格式</w:t>
      </w:r>
    </w:p>
    <w:p>
      <w:pPr>
        <w:spacing w:line="360" w:lineRule="exact"/>
        <w:rPr>
          <w:rFonts w:hint="eastAsia" w:asciiTheme="majorEastAsia" w:hAnsiTheme="majorEastAsia" w:eastAsiaTheme="majorEastAsia" w:cstheme="majorEastAsia"/>
          <w:b/>
          <w:color w:val="auto"/>
        </w:rPr>
      </w:pPr>
      <w:r>
        <w:rPr>
          <w:rFonts w:hint="eastAsia" w:asciiTheme="majorEastAsia" w:hAnsiTheme="majorEastAsia" w:eastAsiaTheme="majorEastAsia" w:cstheme="majorEastAsia"/>
          <w:b/>
          <w:color w:val="auto"/>
          <w:sz w:val="20"/>
          <w:szCs w:val="20"/>
        </w:rPr>
        <w:br w:type="page"/>
      </w:r>
    </w:p>
    <w:p>
      <w:pPr>
        <w:spacing w:before="0" w:line="922" w:lineRule="exact"/>
        <w:ind w:left="0" w:right="17" w:firstLine="0"/>
        <w:jc w:val="center"/>
        <w:rPr>
          <w:b/>
          <w:sz w:val="72"/>
        </w:rPr>
      </w:pPr>
      <w:r>
        <w:rPr>
          <w:b/>
          <w:sz w:val="72"/>
        </w:rPr>
        <w:t>竞争性磋商</w:t>
      </w:r>
    </w:p>
    <w:p>
      <w:pPr>
        <w:pStyle w:val="2"/>
        <w:spacing w:before="11"/>
        <w:rPr>
          <w:b/>
          <w:sz w:val="85"/>
        </w:rPr>
      </w:pPr>
    </w:p>
    <w:p>
      <w:pPr>
        <w:spacing w:before="0"/>
        <w:ind w:left="0" w:right="21" w:firstLine="0"/>
        <w:jc w:val="center"/>
        <w:rPr>
          <w:b/>
          <w:sz w:val="84"/>
        </w:rPr>
      </w:pPr>
      <w:r>
        <w:rPr>
          <w:b/>
          <w:spacing w:val="-3"/>
          <w:sz w:val="84"/>
        </w:rPr>
        <w:t>响 应 文 件</w:t>
      </w:r>
    </w:p>
    <w:p>
      <w:pPr>
        <w:pStyle w:val="2"/>
        <w:spacing w:before="9"/>
        <w:rPr>
          <w:b/>
          <w:sz w:val="87"/>
        </w:rPr>
      </w:pPr>
    </w:p>
    <w:p>
      <w:pPr>
        <w:spacing w:before="0"/>
        <w:ind w:left="0" w:right="13" w:firstLine="0"/>
        <w:jc w:val="center"/>
        <w:outlineLvl w:val="1"/>
        <w:rPr>
          <w:rFonts w:hint="eastAsia" w:ascii="黑体" w:eastAsia="黑体"/>
          <w:b/>
          <w:sz w:val="44"/>
        </w:rPr>
      </w:pPr>
      <w:bookmarkStart w:id="77" w:name="第一部分 资格证明文件"/>
      <w:bookmarkEnd w:id="77"/>
      <w:bookmarkStart w:id="78" w:name="_bookmark49"/>
      <w:bookmarkEnd w:id="78"/>
      <w:bookmarkStart w:id="79" w:name="_Toc9303"/>
      <w:r>
        <w:rPr>
          <w:rFonts w:hint="eastAsia" w:ascii="黑体" w:eastAsia="黑体"/>
          <w:b/>
          <w:spacing w:val="-3"/>
          <w:sz w:val="44"/>
        </w:rPr>
        <w:t>第一部分 资格证明文件</w:t>
      </w:r>
      <w:bookmarkEnd w:id="79"/>
    </w:p>
    <w:p>
      <w:pPr>
        <w:pStyle w:val="11"/>
        <w:adjustRightInd w:val="0"/>
        <w:snapToGrid w:val="0"/>
        <w:spacing w:line="360" w:lineRule="auto"/>
        <w:ind w:firstLine="1988" w:firstLineChars="660"/>
        <w:rPr>
          <w:rFonts w:hint="eastAsia" w:hAnsi="宋体"/>
          <w:b/>
          <w:bCs/>
          <w:sz w:val="30"/>
          <w:szCs w:val="30"/>
        </w:rPr>
      </w:pPr>
    </w:p>
    <w:p>
      <w:pPr>
        <w:pStyle w:val="11"/>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r>
        <w:rPr>
          <w:rFonts w:hint="eastAsia" w:hAnsi="宋体"/>
          <w:b/>
          <w:bCs/>
          <w:sz w:val="30"/>
          <w:szCs w:val="30"/>
          <w:u w:val="single"/>
        </w:rPr>
        <w:t xml:space="preserve">                       </w:t>
      </w:r>
    </w:p>
    <w:p>
      <w:pPr>
        <w:pStyle w:val="11"/>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r>
        <w:rPr>
          <w:rFonts w:hint="eastAsia" w:hAnsi="宋体"/>
          <w:b/>
          <w:bCs/>
          <w:sz w:val="30"/>
          <w:szCs w:val="30"/>
          <w:u w:val="single"/>
        </w:rPr>
        <w:t xml:space="preserve">                      </w:t>
      </w:r>
    </w:p>
    <w:p>
      <w:pPr>
        <w:pStyle w:val="11"/>
        <w:adjustRightInd w:val="0"/>
        <w:snapToGrid w:val="0"/>
        <w:spacing w:line="360" w:lineRule="auto"/>
        <w:ind w:firstLine="1988" w:firstLineChars="660"/>
        <w:rPr>
          <w:rFonts w:hAnsi="宋体"/>
          <w:b/>
          <w:bCs/>
          <w:sz w:val="30"/>
          <w:szCs w:val="30"/>
          <w:u w:val="single"/>
        </w:rPr>
      </w:pPr>
      <w:r>
        <w:rPr>
          <w:rFonts w:hint="eastAsia" w:hAnsi="宋体"/>
          <w:b/>
          <w:bCs/>
          <w:sz w:val="30"/>
          <w:szCs w:val="30"/>
        </w:rPr>
        <w:t>政府采购编号:</w:t>
      </w:r>
      <w:r>
        <w:rPr>
          <w:rFonts w:hint="eastAsia" w:hAnsi="宋体"/>
          <w:b/>
          <w:bCs/>
          <w:sz w:val="30"/>
          <w:szCs w:val="30"/>
          <w:u w:val="single"/>
        </w:rPr>
        <w:t xml:space="preserve">                       </w:t>
      </w:r>
    </w:p>
    <w:p>
      <w:pPr>
        <w:pStyle w:val="11"/>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采购代理编号:</w:t>
      </w:r>
      <w:r>
        <w:rPr>
          <w:rFonts w:hint="eastAsia" w:hAnsi="宋体"/>
          <w:b/>
          <w:bCs/>
          <w:sz w:val="30"/>
          <w:szCs w:val="30"/>
          <w:u w:val="single"/>
        </w:rPr>
        <w:t xml:space="preserve">                       </w:t>
      </w:r>
    </w:p>
    <w:p>
      <w:pPr>
        <w:pStyle w:val="11"/>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采购代理机构：</w:t>
      </w:r>
      <w:r>
        <w:rPr>
          <w:rFonts w:hint="eastAsia" w:hAnsi="宋体"/>
          <w:b/>
          <w:bCs/>
          <w:sz w:val="30"/>
          <w:szCs w:val="30"/>
          <w:u w:val="single"/>
        </w:rPr>
        <w:t xml:space="preserve">                   </w:t>
      </w:r>
      <w:r>
        <w:rPr>
          <w:rFonts w:hint="eastAsia" w:hAnsi="宋体"/>
          <w:b/>
          <w:bCs/>
          <w:sz w:val="30"/>
          <w:szCs w:val="30"/>
          <w:u w:val="single"/>
          <w:lang w:val="en-US" w:eastAsia="zh-CN"/>
        </w:rPr>
        <w:t xml:space="preserve"> </w:t>
      </w:r>
      <w:r>
        <w:rPr>
          <w:rFonts w:hint="eastAsia" w:hAnsi="宋体"/>
          <w:b/>
          <w:bCs/>
          <w:sz w:val="30"/>
          <w:szCs w:val="30"/>
          <w:u w:val="single"/>
        </w:rPr>
        <w:t xml:space="preserve">  </w:t>
      </w:r>
    </w:p>
    <w:p>
      <w:pPr>
        <w:adjustRightInd w:val="0"/>
        <w:snapToGrid w:val="0"/>
        <w:spacing w:line="360" w:lineRule="auto"/>
        <w:rPr>
          <w:rFonts w:ascii="宋体" w:hAnsi="宋体"/>
          <w:sz w:val="30"/>
          <w:szCs w:val="30"/>
        </w:rPr>
      </w:pPr>
    </w:p>
    <w:p>
      <w:pPr>
        <w:adjustRightInd w:val="0"/>
        <w:snapToGrid w:val="0"/>
        <w:spacing w:line="360" w:lineRule="auto"/>
        <w:rPr>
          <w:rFonts w:ascii="宋体" w:hAnsi="宋体"/>
          <w:sz w:val="30"/>
          <w:szCs w:val="30"/>
        </w:rPr>
      </w:pPr>
    </w:p>
    <w:p>
      <w:pPr>
        <w:adjustRightInd w:val="0"/>
        <w:snapToGrid w:val="0"/>
        <w:spacing w:line="360" w:lineRule="auto"/>
        <w:ind w:left="1273" w:leftChars="606" w:firstLine="643" w:firstLineChars="200"/>
        <w:rPr>
          <w:rFonts w:hint="eastAsia" w:ascii="宋体" w:hAnsi="宋体"/>
          <w:b/>
          <w:bCs/>
          <w:sz w:val="32"/>
          <w:szCs w:val="32"/>
        </w:rPr>
      </w:pPr>
    </w:p>
    <w:p>
      <w:pPr>
        <w:adjustRightInd w:val="0"/>
        <w:snapToGrid w:val="0"/>
        <w:spacing w:line="360" w:lineRule="auto"/>
        <w:ind w:left="1273" w:leftChars="606" w:firstLine="643" w:firstLineChars="200"/>
        <w:rPr>
          <w:rFonts w:hint="eastAsia" w:ascii="宋体" w:hAnsi="宋体"/>
          <w:b/>
          <w:bCs/>
          <w:sz w:val="32"/>
          <w:szCs w:val="32"/>
        </w:rPr>
      </w:pPr>
    </w:p>
    <w:p>
      <w:pPr>
        <w:adjustRightInd w:val="0"/>
        <w:snapToGrid w:val="0"/>
        <w:spacing w:line="360" w:lineRule="auto"/>
        <w:ind w:left="1273" w:leftChars="606" w:firstLine="643" w:firstLineChars="200"/>
        <w:rPr>
          <w:rFonts w:ascii="宋体" w:hAnsi="宋体"/>
          <w:b/>
          <w:bCs/>
          <w:sz w:val="32"/>
          <w:szCs w:val="32"/>
          <w:u w:val="single"/>
        </w:rPr>
      </w:pPr>
      <w:r>
        <w:rPr>
          <w:rFonts w:hint="eastAsia" w:ascii="宋体" w:hAnsi="宋体"/>
          <w:b/>
          <w:bCs/>
          <w:sz w:val="32"/>
          <w:szCs w:val="32"/>
        </w:rPr>
        <w:t>供应商</w:t>
      </w:r>
      <w:r>
        <w:rPr>
          <w:rFonts w:hint="eastAsia" w:ascii="宋体" w:hAnsi="宋体"/>
          <w:b/>
          <w:bCs/>
          <w:sz w:val="32"/>
          <w:szCs w:val="32"/>
          <w:u w:val="single"/>
        </w:rPr>
        <w:t xml:space="preserve">                         </w:t>
      </w:r>
    </w:p>
    <w:p>
      <w:pPr>
        <w:adjustRightInd w:val="0"/>
        <w:snapToGrid w:val="0"/>
        <w:spacing w:line="360" w:lineRule="auto"/>
        <w:jc w:val="center"/>
        <w:rPr>
          <w:rFonts w:ascii="宋体" w:hAnsi="宋体"/>
          <w:sz w:val="32"/>
          <w:szCs w:val="32"/>
        </w:rPr>
      </w:pPr>
      <w:r>
        <w:rPr>
          <w:rFonts w:hint="eastAsia" w:ascii="宋体" w:hAnsi="宋体"/>
          <w:sz w:val="32"/>
          <w:szCs w:val="32"/>
        </w:rPr>
        <w:t>年  月  日</w:t>
      </w: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pStyle w:val="2"/>
        <w:spacing w:before="70"/>
        <w:rPr>
          <w:rFonts w:hint="eastAsia" w:ascii="黑体" w:eastAsia="黑体"/>
        </w:rPr>
      </w:pPr>
      <w:r>
        <w:rPr>
          <w:rFonts w:hint="eastAsia" w:ascii="黑体" w:eastAsia="黑体"/>
        </w:rPr>
        <w:t>索引表 1 资格审查索引表</w:t>
      </w:r>
    </w:p>
    <w:p>
      <w:pPr>
        <w:pStyle w:val="2"/>
        <w:spacing w:before="5"/>
        <w:rPr>
          <w:rFonts w:ascii="黑体"/>
          <w:sz w:val="18"/>
        </w:rPr>
      </w:pPr>
    </w:p>
    <w:p>
      <w:pPr>
        <w:spacing w:before="61"/>
        <w:ind w:left="0" w:right="17" w:firstLine="0"/>
        <w:jc w:val="center"/>
        <w:rPr>
          <w:rFonts w:hint="eastAsia" w:ascii="黑体" w:eastAsia="黑体"/>
          <w:sz w:val="28"/>
        </w:rPr>
      </w:pPr>
      <w:r>
        <w:rPr>
          <w:rFonts w:hint="eastAsia" w:ascii="黑体" w:eastAsia="黑体"/>
          <w:sz w:val="28"/>
        </w:rPr>
        <w:t>资格审查索引表</w:t>
      </w:r>
    </w:p>
    <w:tbl>
      <w:tblPr>
        <w:tblStyle w:val="20"/>
        <w:tblpPr w:leftFromText="180" w:rightFromText="180" w:vertAnchor="text" w:horzAnchor="page" w:tblpXSpec="center" w:tblpY="409"/>
        <w:tblOverlap w:val="never"/>
        <w:tblW w:w="0" w:type="auto"/>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89"/>
        <w:gridCol w:w="1871"/>
        <w:gridCol w:w="2257"/>
        <w:gridCol w:w="2070"/>
        <w:gridCol w:w="2445"/>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73" w:hRule="atLeast"/>
          <w:jc w:val="center"/>
        </w:trPr>
        <w:tc>
          <w:tcPr>
            <w:tcW w:w="789" w:type="dxa"/>
            <w:tcBorders>
              <w:bottom w:val="single" w:color="000000" w:sz="6" w:space="0"/>
              <w:right w:val="single" w:color="000000" w:sz="6" w:space="0"/>
            </w:tcBorders>
          </w:tcPr>
          <w:p>
            <w:pPr>
              <w:pStyle w:val="47"/>
              <w:spacing w:before="2"/>
              <w:rPr>
                <w:rFonts w:ascii="黑体"/>
                <w:sz w:val="28"/>
              </w:rPr>
            </w:pPr>
          </w:p>
          <w:p>
            <w:pPr>
              <w:pStyle w:val="47"/>
              <w:ind w:left="173"/>
              <w:rPr>
                <w:b/>
                <w:sz w:val="21"/>
              </w:rPr>
            </w:pPr>
            <w:r>
              <w:rPr>
                <w:b/>
                <w:sz w:val="21"/>
              </w:rPr>
              <w:t>序号</w:t>
            </w:r>
          </w:p>
        </w:tc>
        <w:tc>
          <w:tcPr>
            <w:tcW w:w="1871" w:type="dxa"/>
            <w:tcBorders>
              <w:left w:val="single" w:color="000000" w:sz="6" w:space="0"/>
              <w:bottom w:val="single" w:color="000000" w:sz="6" w:space="0"/>
              <w:right w:val="single" w:color="000000" w:sz="4" w:space="0"/>
            </w:tcBorders>
          </w:tcPr>
          <w:p>
            <w:pPr>
              <w:pStyle w:val="47"/>
              <w:spacing w:before="2"/>
              <w:rPr>
                <w:rFonts w:ascii="黑体"/>
                <w:sz w:val="28"/>
              </w:rPr>
            </w:pPr>
          </w:p>
          <w:p>
            <w:pPr>
              <w:pStyle w:val="47"/>
              <w:ind w:left="196"/>
              <w:rPr>
                <w:b/>
                <w:sz w:val="21"/>
              </w:rPr>
            </w:pPr>
            <w:r>
              <w:rPr>
                <w:b/>
                <w:sz w:val="21"/>
              </w:rPr>
              <w:t>磋商文件条款号</w:t>
            </w:r>
          </w:p>
        </w:tc>
        <w:tc>
          <w:tcPr>
            <w:tcW w:w="2257" w:type="dxa"/>
            <w:tcBorders>
              <w:left w:val="single" w:color="000000" w:sz="4" w:space="0"/>
              <w:bottom w:val="single" w:color="000000" w:sz="6" w:space="0"/>
              <w:right w:val="single" w:color="000000" w:sz="6" w:space="0"/>
            </w:tcBorders>
          </w:tcPr>
          <w:p>
            <w:pPr>
              <w:pStyle w:val="47"/>
              <w:spacing w:before="2"/>
              <w:rPr>
                <w:rFonts w:ascii="黑体"/>
                <w:sz w:val="28"/>
              </w:rPr>
            </w:pPr>
          </w:p>
          <w:p>
            <w:pPr>
              <w:pStyle w:val="47"/>
              <w:ind w:left="497"/>
              <w:rPr>
                <w:b/>
                <w:sz w:val="21"/>
              </w:rPr>
            </w:pPr>
            <w:r>
              <w:rPr>
                <w:b/>
                <w:sz w:val="21"/>
              </w:rPr>
              <w:t>资格审查标准</w:t>
            </w:r>
          </w:p>
        </w:tc>
        <w:tc>
          <w:tcPr>
            <w:tcW w:w="2070" w:type="dxa"/>
            <w:tcBorders>
              <w:left w:val="single" w:color="000000" w:sz="6" w:space="0"/>
              <w:bottom w:val="single" w:color="000000" w:sz="6" w:space="0"/>
              <w:right w:val="single" w:color="000000" w:sz="6" w:space="0"/>
            </w:tcBorders>
          </w:tcPr>
          <w:p>
            <w:pPr>
              <w:pStyle w:val="47"/>
              <w:spacing w:before="2"/>
              <w:rPr>
                <w:rFonts w:ascii="黑体"/>
                <w:sz w:val="28"/>
              </w:rPr>
            </w:pPr>
          </w:p>
          <w:p>
            <w:pPr>
              <w:pStyle w:val="47"/>
              <w:ind w:left="611"/>
              <w:rPr>
                <w:b/>
                <w:sz w:val="21"/>
              </w:rPr>
            </w:pPr>
            <w:r>
              <w:rPr>
                <w:b/>
                <w:sz w:val="21"/>
              </w:rPr>
              <w:t>证明材料</w:t>
            </w:r>
          </w:p>
        </w:tc>
        <w:tc>
          <w:tcPr>
            <w:tcW w:w="2445" w:type="dxa"/>
            <w:tcBorders>
              <w:left w:val="single" w:color="000000" w:sz="6" w:space="0"/>
              <w:bottom w:val="single" w:color="000000" w:sz="6" w:space="0"/>
            </w:tcBorders>
          </w:tcPr>
          <w:p>
            <w:pPr>
              <w:pStyle w:val="47"/>
              <w:spacing w:before="16" w:line="410" w:lineRule="atLeast"/>
              <w:ind w:left="905" w:right="144" w:hanging="737"/>
              <w:rPr>
                <w:b/>
                <w:sz w:val="21"/>
              </w:rPr>
            </w:pPr>
            <w:r>
              <w:rPr>
                <w:b/>
                <w:sz w:val="21"/>
              </w:rPr>
              <w:t>响应文件对应内容的册及页码</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bottom w:val="single" w:color="000000" w:sz="6" w:space="0"/>
            </w:tcBorders>
          </w:tcPr>
          <w:p>
            <w:pPr>
              <w:pStyle w:val="4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bottom w:val="single" w:color="000000" w:sz="6" w:space="0"/>
            </w:tcBorders>
          </w:tcPr>
          <w:p>
            <w:pPr>
              <w:pStyle w:val="4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bottom w:val="single" w:color="000000" w:sz="6" w:space="0"/>
            </w:tcBorders>
          </w:tcPr>
          <w:p>
            <w:pPr>
              <w:pStyle w:val="4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bottom w:val="single" w:color="000000" w:sz="6" w:space="0"/>
            </w:tcBorders>
          </w:tcPr>
          <w:p>
            <w:pPr>
              <w:pStyle w:val="4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bottom w:val="single" w:color="000000" w:sz="6" w:space="0"/>
            </w:tcBorders>
          </w:tcPr>
          <w:p>
            <w:pPr>
              <w:pStyle w:val="4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bottom w:val="single" w:color="000000" w:sz="6" w:space="0"/>
            </w:tcBorders>
          </w:tcPr>
          <w:p>
            <w:pPr>
              <w:pStyle w:val="4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bottom w:val="single" w:color="000000" w:sz="6" w:space="0"/>
            </w:tcBorders>
          </w:tcPr>
          <w:p>
            <w:pPr>
              <w:pStyle w:val="4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bottom w:val="single" w:color="000000" w:sz="6" w:space="0"/>
            </w:tcBorders>
          </w:tcPr>
          <w:p>
            <w:pPr>
              <w:pStyle w:val="4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bottom w:val="single" w:color="000000" w:sz="6" w:space="0"/>
            </w:tcBorders>
          </w:tcPr>
          <w:p>
            <w:pPr>
              <w:pStyle w:val="4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bottom w:val="single" w:color="000000" w:sz="6" w:space="0"/>
            </w:tcBorders>
          </w:tcPr>
          <w:p>
            <w:pPr>
              <w:pStyle w:val="47"/>
              <w:rPr>
                <w:rFonts w:ascii="Times New Roman"/>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4" w:hRule="atLeast"/>
          <w:jc w:val="center"/>
        </w:trPr>
        <w:tc>
          <w:tcPr>
            <w:tcW w:w="789" w:type="dxa"/>
            <w:tcBorders>
              <w:top w:val="single" w:color="000000" w:sz="6" w:space="0"/>
              <w:right w:val="single" w:color="000000" w:sz="6" w:space="0"/>
            </w:tcBorders>
          </w:tcPr>
          <w:p>
            <w:pPr>
              <w:pStyle w:val="47"/>
              <w:rPr>
                <w:rFonts w:ascii="Times New Roman"/>
                <w:sz w:val="20"/>
              </w:rPr>
            </w:pPr>
          </w:p>
        </w:tc>
        <w:tc>
          <w:tcPr>
            <w:tcW w:w="1871" w:type="dxa"/>
            <w:tcBorders>
              <w:top w:val="single" w:color="000000" w:sz="6" w:space="0"/>
              <w:left w:val="single" w:color="000000" w:sz="6" w:space="0"/>
              <w:right w:val="single" w:color="000000" w:sz="4" w:space="0"/>
            </w:tcBorders>
          </w:tcPr>
          <w:p>
            <w:pPr>
              <w:pStyle w:val="47"/>
              <w:rPr>
                <w:rFonts w:ascii="Times New Roman"/>
                <w:sz w:val="20"/>
              </w:rPr>
            </w:pPr>
          </w:p>
        </w:tc>
        <w:tc>
          <w:tcPr>
            <w:tcW w:w="2257" w:type="dxa"/>
            <w:tcBorders>
              <w:top w:val="single" w:color="000000" w:sz="6" w:space="0"/>
              <w:left w:val="single" w:color="000000" w:sz="4" w:space="0"/>
              <w:right w:val="single" w:color="000000" w:sz="6" w:space="0"/>
            </w:tcBorders>
          </w:tcPr>
          <w:p>
            <w:pPr>
              <w:pStyle w:val="47"/>
              <w:rPr>
                <w:rFonts w:ascii="Times New Roman"/>
                <w:sz w:val="20"/>
              </w:rPr>
            </w:pPr>
          </w:p>
        </w:tc>
        <w:tc>
          <w:tcPr>
            <w:tcW w:w="2070" w:type="dxa"/>
            <w:tcBorders>
              <w:top w:val="single" w:color="000000" w:sz="6" w:space="0"/>
              <w:left w:val="single" w:color="000000" w:sz="6" w:space="0"/>
              <w:right w:val="single" w:color="000000" w:sz="6" w:space="0"/>
            </w:tcBorders>
          </w:tcPr>
          <w:p>
            <w:pPr>
              <w:pStyle w:val="47"/>
              <w:rPr>
                <w:rFonts w:ascii="Times New Roman"/>
                <w:sz w:val="20"/>
              </w:rPr>
            </w:pPr>
          </w:p>
        </w:tc>
        <w:tc>
          <w:tcPr>
            <w:tcW w:w="2445" w:type="dxa"/>
            <w:tcBorders>
              <w:top w:val="single" w:color="000000" w:sz="6" w:space="0"/>
              <w:left w:val="single" w:color="000000" w:sz="6" w:space="0"/>
            </w:tcBorders>
          </w:tcPr>
          <w:p>
            <w:pPr>
              <w:pStyle w:val="47"/>
              <w:rPr>
                <w:rFonts w:ascii="Times New Roman"/>
                <w:sz w:val="20"/>
              </w:rPr>
            </w:pPr>
          </w:p>
        </w:tc>
      </w:tr>
    </w:tbl>
    <w:p>
      <w:pPr>
        <w:pStyle w:val="2"/>
        <w:spacing w:before="2"/>
        <w:rPr>
          <w:rFonts w:ascii="黑体"/>
          <w:sz w:val="15"/>
        </w:rPr>
      </w:pP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spacing w:line="360" w:lineRule="auto"/>
        <w:jc w:val="center"/>
        <w:outlineLvl w:val="2"/>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一、磋商响应声明</w:t>
      </w: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致</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rPr>
        <w:t>(采购人</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rPr>
        <w:t>采购代理机构)：</w:t>
      </w:r>
    </w:p>
    <w:p>
      <w:pPr>
        <w:keepNext w:val="0"/>
        <w:keepLines w:val="0"/>
        <w:pageBreakBefore w:val="0"/>
        <w:widowControl w:val="0"/>
        <w:kinsoku/>
        <w:wordWrap/>
        <w:overflowPunct/>
        <w:topLinePunct w:val="0"/>
        <w:autoSpaceDE/>
        <w:autoSpaceDN/>
        <w:bidi w:val="0"/>
        <w:adjustRightInd w:val="0"/>
        <w:snapToGrid w:val="0"/>
        <w:spacing w:line="360" w:lineRule="auto"/>
        <w:ind w:right="23" w:firstLine="420" w:firstLineChars="200"/>
        <w:textAlignment w:val="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我方已仔细研究了</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(项目名称)的竞争性磋商文件（政府采购编号：</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；采购代理编号：</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）的全部内容，签字代表</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（姓名、职务）经正式授权并代表供应商</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（供应商名称）提交资格证明文件正本一份,副本</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rPr>
        <w:t>份；商务技术文件正本一份,副本</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rPr>
        <w:t>份；响应文件电子文档：一份，参加该采购项目磋商，并在此声明，所递交的响应文件内容完整、真实。</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一、我方已详细审查磋商文件。我们完全理解并同意放弃对这方面有不明及误解的权力。</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二、我方愿意向贵方提供任何与本项采购有关的数据、情况和技术资料。若贵方需要，我方愿意提供我方作出的一切承诺的证明材料。</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三、我方愿意按磋商文件规定和磋商小组要求重新提交响应文件和最后报价。</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四、我方同意在磋商文件中规定的提交首次响应文件截止时间起</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日内(响应文件有效期)遵守本响应文件中的承诺且在此期限期满之前均具有法律约束力。</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五、我方承诺遵守《政府采购法》及实施条例、《政府采购竞争性磋商采购方式管理暂行办法》（财库﹝2014﹞214 号）的有关规定，保证在获得成交资格后，按照磋商文件确定的事项签订政府采购合同，履行双方所签订的合同，并承担合同规定的责任和义务。</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六、我方承诺在参与竞争性磋商过程中，若出现《政府采购法》第七十七条和《政府采购法实施条例》第七十二条规定之情形，我方同意接受条款规定作出的处罚。</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七、我方的联系方式：</w:t>
      </w: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地址：</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；邮编：</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；电话：</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；电子邮箱：</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w:t>
      </w:r>
    </w:p>
    <w:p>
      <w:pPr>
        <w:pStyle w:val="11"/>
        <w:adjustRightInd w:val="0"/>
        <w:snapToGrid w:val="0"/>
        <w:spacing w:line="360" w:lineRule="auto"/>
        <w:ind w:firstLine="420" w:firstLineChars="200"/>
        <w:rPr>
          <w:rFonts w:hint="eastAsia" w:asciiTheme="majorEastAsia" w:hAnsiTheme="majorEastAsia" w:eastAsiaTheme="majorEastAsia" w:cstheme="majorEastAsia"/>
          <w:color w:val="auto"/>
          <w:sz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附件1：</w:t>
      </w:r>
      <w:r>
        <w:rPr>
          <w:rFonts w:hint="eastAsia" w:asciiTheme="majorEastAsia" w:hAnsiTheme="majorEastAsia" w:eastAsiaTheme="majorEastAsia" w:cstheme="majorEastAsia"/>
          <w:color w:val="auto"/>
          <w:szCs w:val="21"/>
        </w:rPr>
        <w:t>法定代表人身份证明(法定代表人参加磋商)</w:t>
      </w:r>
    </w:p>
    <w:p>
      <w:pPr>
        <w:adjustRightInd w:val="0"/>
        <w:snapToGrid w:val="0"/>
        <w:spacing w:line="360" w:lineRule="auto"/>
        <w:ind w:right="2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附件2</w:t>
      </w:r>
      <w:r>
        <w:rPr>
          <w:rFonts w:hint="eastAsia" w:asciiTheme="majorEastAsia" w:hAnsiTheme="majorEastAsia" w:eastAsiaTheme="majorEastAsia" w:cstheme="majorEastAsia"/>
          <w:color w:val="auto"/>
          <w:szCs w:val="21"/>
        </w:rPr>
        <w:t>：法定代表人授权书(委托代理人参加磋商)</w:t>
      </w:r>
    </w:p>
    <w:p>
      <w:pPr>
        <w:pStyle w:val="11"/>
        <w:adjustRightInd w:val="0"/>
        <w:snapToGrid w:val="0"/>
        <w:spacing w:line="360" w:lineRule="auto"/>
        <w:rPr>
          <w:rFonts w:hint="eastAsia" w:asciiTheme="majorEastAsia" w:hAnsiTheme="majorEastAsia" w:eastAsiaTheme="majorEastAsia" w:cstheme="majorEastAsia"/>
          <w:color w:val="auto"/>
          <w:sz w:val="21"/>
        </w:rPr>
      </w:pPr>
    </w:p>
    <w:p>
      <w:pPr>
        <w:pStyle w:val="11"/>
        <w:adjustRightInd w:val="0"/>
        <w:snapToGrid w:val="0"/>
        <w:spacing w:line="360" w:lineRule="auto"/>
        <w:rPr>
          <w:rFonts w:hint="eastAsia" w:asciiTheme="majorEastAsia" w:hAnsiTheme="majorEastAsia" w:eastAsiaTheme="majorEastAsia" w:cstheme="majorEastAsia"/>
          <w:color w:val="auto"/>
          <w:sz w:val="21"/>
        </w:rPr>
      </w:pPr>
    </w:p>
    <w:p>
      <w:pPr>
        <w:pStyle w:val="11"/>
        <w:adjustRightInd w:val="0"/>
        <w:snapToGrid w:val="0"/>
        <w:spacing w:line="360" w:lineRule="auto"/>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rPr>
        <w:t>供应商名称(盖单位章)：</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法定代表人或其委托代理人 (签字)：</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outlineLvl w:val="9"/>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附件1：</w:t>
      </w:r>
    </w:p>
    <w:p>
      <w:pPr>
        <w:adjustRightInd w:val="0"/>
        <w:snapToGrid w:val="0"/>
        <w:spacing w:line="360" w:lineRule="auto"/>
        <w:ind w:right="24"/>
        <w:jc w:val="cente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法定代表人身份证明(法定代表人参加磋商)</w:t>
      </w:r>
    </w:p>
    <w:p>
      <w:pPr>
        <w:snapToGrid w:val="0"/>
        <w:spacing w:line="480" w:lineRule="auto"/>
        <w:rPr>
          <w:rFonts w:hint="eastAsia" w:asciiTheme="majorEastAsia" w:hAnsiTheme="majorEastAsia" w:eastAsiaTheme="majorEastAsia" w:cstheme="majorEastAsia"/>
          <w:color w:val="auto"/>
          <w:szCs w:val="21"/>
        </w:rPr>
      </w:pP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rPr>
        <w:t>供应商</w:t>
      </w:r>
      <w:r>
        <w:rPr>
          <w:rFonts w:hint="eastAsia" w:asciiTheme="majorEastAsia" w:hAnsiTheme="majorEastAsia" w:eastAsiaTheme="majorEastAsia" w:cstheme="majorEastAsia"/>
          <w:color w:val="auto"/>
          <w:kern w:val="0"/>
          <w:szCs w:val="21"/>
        </w:rPr>
        <w:t>名称：</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注册号：</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注册地址：</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成立时间： </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年 </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月</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日</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u w:val="single"/>
        </w:rPr>
      </w:pPr>
      <w:r>
        <w:rPr>
          <w:rFonts w:hint="eastAsia" w:asciiTheme="majorEastAsia" w:hAnsiTheme="majorEastAsia" w:eastAsiaTheme="majorEastAsia" w:cstheme="majorEastAsia"/>
          <w:color w:val="auto"/>
          <w:kern w:val="0"/>
          <w:szCs w:val="21"/>
        </w:rPr>
        <w:t>经营期限：</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u w:val="single"/>
        </w:rPr>
      </w:pPr>
      <w:r>
        <w:rPr>
          <w:rFonts w:hint="eastAsia" w:asciiTheme="majorEastAsia" w:hAnsiTheme="majorEastAsia" w:eastAsiaTheme="majorEastAsia" w:cstheme="majorEastAsia"/>
          <w:color w:val="auto"/>
          <w:kern w:val="0"/>
          <w:szCs w:val="21"/>
        </w:rPr>
        <w:t>经营范围：主营：</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；兼营：</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姓名：</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性别：</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年龄：</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系</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w:t>
      </w:r>
      <w:r>
        <w:rPr>
          <w:rFonts w:hint="eastAsia" w:asciiTheme="majorEastAsia" w:hAnsiTheme="majorEastAsia" w:eastAsiaTheme="majorEastAsia" w:cstheme="majorEastAsia"/>
          <w:color w:val="auto"/>
          <w:szCs w:val="21"/>
        </w:rPr>
        <w:t>供应商</w:t>
      </w:r>
      <w:r>
        <w:rPr>
          <w:rFonts w:hint="eastAsia" w:asciiTheme="majorEastAsia" w:hAnsiTheme="majorEastAsia" w:eastAsiaTheme="majorEastAsia" w:cstheme="majorEastAsia"/>
          <w:color w:val="auto"/>
          <w:kern w:val="0"/>
          <w:szCs w:val="21"/>
        </w:rPr>
        <w:t>名称）的法定代表人。</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特此证明。</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rPr>
        <w:t>附：法定代表人身份证复印件</w:t>
      </w:r>
    </w:p>
    <w:p>
      <w:pPr>
        <w:snapToGrid w:val="0"/>
        <w:spacing w:line="480" w:lineRule="auto"/>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供应商名称（盖单位章）：</w:t>
      </w: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日      </w:t>
      </w:r>
    </w:p>
    <w:p>
      <w:pPr>
        <w:adjustRightInd w:val="0"/>
        <w:snapToGrid w:val="0"/>
        <w:spacing w:before="156" w:beforeLines="50" w:line="360" w:lineRule="auto"/>
        <w:rPr>
          <w:rFonts w:hint="eastAsia" w:asciiTheme="majorEastAsia" w:hAnsiTheme="majorEastAsia" w:eastAsiaTheme="majorEastAsia" w:cstheme="majorEastAsia"/>
          <w:color w:val="auto"/>
          <w:szCs w:val="21"/>
        </w:rPr>
      </w:pPr>
    </w:p>
    <w:p>
      <w:pPr>
        <w:adjustRightInd w:val="0"/>
        <w:snapToGrid w:val="0"/>
        <w:spacing w:before="156" w:beforeLines="50" w:line="360" w:lineRule="auto"/>
        <w:rPr>
          <w:rFonts w:hint="eastAsia" w:asciiTheme="majorEastAsia" w:hAnsiTheme="majorEastAsia" w:eastAsiaTheme="majorEastAsia" w:cstheme="majorEastAsia"/>
          <w:color w:val="auto"/>
          <w:szCs w:val="21"/>
        </w:rPr>
      </w:pPr>
    </w:p>
    <w:p>
      <w:pPr>
        <w:adjustRightInd w:val="0"/>
        <w:snapToGrid w:val="0"/>
        <w:spacing w:before="156" w:beforeLines="50" w:line="360" w:lineRule="auto"/>
        <w:rPr>
          <w:rFonts w:hint="eastAsia" w:asciiTheme="majorEastAsia" w:hAnsiTheme="majorEastAsia" w:eastAsiaTheme="majorEastAsia" w:cstheme="majorEastAsia"/>
          <w:color w:val="auto"/>
          <w:szCs w:val="21"/>
        </w:rPr>
      </w:pPr>
    </w:p>
    <w:p>
      <w:pPr>
        <w:pStyle w:val="19"/>
        <w:rPr>
          <w:rFonts w:hint="eastAsia" w:asciiTheme="majorEastAsia" w:hAnsiTheme="majorEastAsia" w:eastAsiaTheme="majorEastAsia" w:cstheme="majorEastAsia"/>
          <w:color w:val="auto"/>
          <w:szCs w:val="21"/>
        </w:rPr>
      </w:pPr>
    </w:p>
    <w:p>
      <w:pPr>
        <w:pStyle w:val="19"/>
        <w:rPr>
          <w:rFonts w:hint="eastAsia" w:asciiTheme="majorEastAsia" w:hAnsiTheme="majorEastAsia" w:eastAsiaTheme="majorEastAsia" w:cstheme="majorEastAsia"/>
          <w:color w:val="auto"/>
          <w:szCs w:val="21"/>
        </w:rPr>
      </w:pPr>
    </w:p>
    <w:p>
      <w:pPr>
        <w:pStyle w:val="19"/>
        <w:rPr>
          <w:rFonts w:hint="eastAsia" w:asciiTheme="majorEastAsia" w:hAnsiTheme="majorEastAsia" w:eastAsiaTheme="majorEastAsia" w:cstheme="majorEastAsia"/>
          <w:color w:val="auto"/>
          <w:szCs w:val="21"/>
        </w:rPr>
      </w:pPr>
    </w:p>
    <w:p>
      <w:pPr>
        <w:pStyle w:val="19"/>
        <w:rPr>
          <w:rFonts w:hint="eastAsia" w:asciiTheme="majorEastAsia" w:hAnsiTheme="majorEastAsia" w:eastAsiaTheme="majorEastAsia" w:cstheme="majorEastAsia"/>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 w:val="24"/>
        </w:rPr>
      </w:pPr>
    </w:p>
    <w:p>
      <w:pPr>
        <w:adjustRightInd w:val="0"/>
        <w:snapToGrid w:val="0"/>
        <w:spacing w:line="360" w:lineRule="auto"/>
        <w:ind w:right="24"/>
        <w:rPr>
          <w:rFonts w:hint="eastAsia" w:asciiTheme="majorEastAsia" w:hAnsiTheme="majorEastAsia" w:eastAsiaTheme="majorEastAsia" w:cstheme="majorEastAsia"/>
          <w:bCs/>
          <w:color w:val="auto"/>
          <w:sz w:val="24"/>
        </w:rPr>
      </w:pPr>
    </w:p>
    <w:p>
      <w:pPr>
        <w:adjustRightInd w:val="0"/>
        <w:snapToGrid w:val="0"/>
        <w:spacing w:line="360" w:lineRule="auto"/>
        <w:ind w:right="24"/>
        <w:outlineLvl w:val="9"/>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Cs/>
          <w:color w:val="auto"/>
          <w:sz w:val="24"/>
        </w:rPr>
        <w:t>附件2</w:t>
      </w:r>
      <w:r>
        <w:rPr>
          <w:rFonts w:hint="eastAsia" w:asciiTheme="majorEastAsia" w:hAnsiTheme="majorEastAsia" w:eastAsiaTheme="majorEastAsia" w:cstheme="majorEastAsia"/>
          <w:color w:val="auto"/>
          <w:sz w:val="24"/>
        </w:rPr>
        <w:t>：</w:t>
      </w:r>
    </w:p>
    <w:p>
      <w:pPr>
        <w:adjustRightInd w:val="0"/>
        <w:snapToGrid w:val="0"/>
        <w:spacing w:line="360" w:lineRule="auto"/>
        <w:ind w:right="24"/>
        <w:jc w:val="cente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法定代表人授权书(委托代理人参加磋商)</w:t>
      </w:r>
    </w:p>
    <w:p>
      <w:pPr>
        <w:adjustRightInd w:val="0"/>
        <w:snapToGrid w:val="0"/>
        <w:spacing w:line="360" w:lineRule="auto"/>
        <w:jc w:val="center"/>
        <w:rPr>
          <w:rFonts w:hint="eastAsia" w:asciiTheme="majorEastAsia" w:hAnsiTheme="majorEastAsia" w:eastAsiaTheme="majorEastAsia" w:cstheme="majorEastAsia"/>
          <w:b/>
          <w:color w:val="auto"/>
          <w:sz w:val="28"/>
          <w:szCs w:val="28"/>
        </w:rPr>
      </w:pP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本人</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（姓名、职务）系</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w:t>
      </w:r>
      <w:r>
        <w:rPr>
          <w:rFonts w:hint="eastAsia" w:asciiTheme="majorEastAsia" w:hAnsiTheme="majorEastAsia" w:eastAsiaTheme="majorEastAsia" w:cstheme="majorEastAsia"/>
          <w:color w:val="auto"/>
          <w:szCs w:val="21"/>
        </w:rPr>
        <w:t>供应商</w:t>
      </w:r>
      <w:r>
        <w:rPr>
          <w:rFonts w:hint="eastAsia" w:asciiTheme="majorEastAsia" w:hAnsiTheme="majorEastAsia" w:eastAsiaTheme="majorEastAsia" w:cstheme="majorEastAsia"/>
          <w:color w:val="auto"/>
          <w:kern w:val="0"/>
          <w:szCs w:val="21"/>
        </w:rPr>
        <w:t>名称）的法定代表人，现授权</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（姓名、职务）为我方代理人。代理人根据授权，以我方名义：(1)签署、澄清、补正、修改、撤回、提交</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（项目名称、</w:t>
      </w:r>
      <w:r>
        <w:rPr>
          <w:rFonts w:hint="eastAsia" w:asciiTheme="majorEastAsia" w:hAnsiTheme="majorEastAsia" w:eastAsiaTheme="majorEastAsia" w:cstheme="majorEastAsia"/>
          <w:color w:val="auto"/>
          <w:szCs w:val="21"/>
        </w:rPr>
        <w:t>政府</w:t>
      </w:r>
      <w:r>
        <w:rPr>
          <w:rFonts w:hint="eastAsia" w:asciiTheme="majorEastAsia" w:hAnsiTheme="majorEastAsia" w:eastAsiaTheme="majorEastAsia" w:cstheme="majorEastAsia"/>
          <w:color w:val="auto"/>
          <w:kern w:val="0"/>
          <w:szCs w:val="21"/>
        </w:rPr>
        <w:t>采购编号、采购代理机构编号）响应文件；(2)签署并重新提交响应文件及最后报价；(3)退出磋商；(4)签订合同和处理有关事宜，其法律后果由我方承担。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委托期限：</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w:t>
      </w:r>
    </w:p>
    <w:p>
      <w:pPr>
        <w:spacing w:line="360" w:lineRule="auto"/>
        <w:ind w:firstLine="435"/>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代理人无转委托权。</w:t>
      </w:r>
    </w:p>
    <w:p>
      <w:pPr>
        <w:spacing w:line="360" w:lineRule="auto"/>
        <w:ind w:firstLine="435"/>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本授权书于</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日签字生效，特此声明。</w:t>
      </w:r>
    </w:p>
    <w:p>
      <w:pPr>
        <w:adjustRightInd w:val="0"/>
        <w:snapToGrid w:val="0"/>
        <w:spacing w:before="156"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附：</w:t>
      </w:r>
      <w:r>
        <w:rPr>
          <w:rFonts w:hint="eastAsia" w:asciiTheme="majorEastAsia" w:hAnsiTheme="majorEastAsia" w:eastAsiaTheme="majorEastAsia" w:cstheme="majorEastAsia"/>
          <w:color w:val="auto"/>
          <w:szCs w:val="21"/>
          <w:lang w:eastAsia="zh-CN"/>
        </w:rPr>
        <w:t>受托</w:t>
      </w:r>
      <w:r>
        <w:rPr>
          <w:rFonts w:hint="eastAsia" w:asciiTheme="majorEastAsia" w:hAnsiTheme="majorEastAsia" w:eastAsiaTheme="majorEastAsia" w:cstheme="majorEastAsia"/>
          <w:color w:val="auto"/>
          <w:szCs w:val="21"/>
        </w:rPr>
        <w:t>人身份证复印件及法定代表人身份证明(附件1，原件)</w:t>
      </w: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法定代表人（签字）：</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受托</w:t>
      </w:r>
      <w:r>
        <w:rPr>
          <w:rFonts w:hint="eastAsia" w:asciiTheme="majorEastAsia" w:hAnsiTheme="majorEastAsia" w:eastAsiaTheme="majorEastAsia" w:cstheme="majorEastAsia"/>
          <w:color w:val="auto"/>
          <w:szCs w:val="21"/>
        </w:rPr>
        <w:t>人（签字）：</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right="2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spacing w:line="360" w:lineRule="exact"/>
        <w:rPr>
          <w:rFonts w:hint="eastAsia" w:asciiTheme="majorEastAsia" w:hAnsiTheme="majorEastAsia" w:eastAsiaTheme="majorEastAsia" w:cstheme="majorEastAsia"/>
          <w:b/>
          <w:color w:val="auto"/>
          <w:szCs w:val="21"/>
        </w:rPr>
      </w:pPr>
    </w:p>
    <w:p>
      <w:pPr>
        <w:spacing w:line="360" w:lineRule="exact"/>
        <w:rPr>
          <w:rFonts w:hint="eastAsia" w:asciiTheme="majorEastAsia" w:hAnsiTheme="majorEastAsia" w:eastAsiaTheme="majorEastAsia" w:cstheme="majorEastAsia"/>
          <w:b/>
          <w:color w:val="auto"/>
          <w:sz w:val="20"/>
          <w:szCs w:val="20"/>
        </w:rPr>
      </w:pPr>
    </w:p>
    <w:p>
      <w:pPr>
        <w:spacing w:line="360" w:lineRule="exact"/>
        <w:rPr>
          <w:rFonts w:hint="eastAsia" w:asciiTheme="majorEastAsia" w:hAnsiTheme="majorEastAsia" w:eastAsiaTheme="majorEastAsia" w:cstheme="majorEastAsia"/>
          <w:b/>
          <w:color w:val="auto"/>
        </w:rPr>
      </w:pPr>
    </w:p>
    <w:p>
      <w:pPr>
        <w:spacing w:line="360" w:lineRule="exact"/>
        <w:rPr>
          <w:rFonts w:hint="eastAsia" w:asciiTheme="majorEastAsia" w:hAnsiTheme="majorEastAsia" w:eastAsiaTheme="majorEastAsia" w:cstheme="majorEastAsia"/>
          <w:color w:val="auto"/>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1"/>
        <w:adjustRightInd w:val="0"/>
        <w:snapToGrid w:val="0"/>
        <w:spacing w:line="360" w:lineRule="auto"/>
        <w:jc w:val="center"/>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kern w:val="2"/>
          <w:sz w:val="32"/>
          <w:szCs w:val="32"/>
        </w:rPr>
        <w:t>二、</w:t>
      </w:r>
      <w:r>
        <w:rPr>
          <w:rFonts w:hint="eastAsia" w:asciiTheme="majorEastAsia" w:hAnsiTheme="majorEastAsia" w:eastAsiaTheme="majorEastAsia" w:cstheme="majorEastAsia"/>
          <w:b/>
          <w:bCs/>
          <w:color w:val="auto"/>
          <w:kern w:val="2"/>
          <w:sz w:val="32"/>
          <w:szCs w:val="32"/>
          <w:lang w:eastAsia="zh-CN"/>
        </w:rPr>
        <w:t>投标</w:t>
      </w:r>
      <w:r>
        <w:rPr>
          <w:rFonts w:hint="eastAsia" w:asciiTheme="majorEastAsia" w:hAnsiTheme="majorEastAsia" w:eastAsiaTheme="majorEastAsia" w:cstheme="majorEastAsia"/>
          <w:b/>
          <w:bCs/>
          <w:color w:val="auto"/>
          <w:kern w:val="2"/>
          <w:sz w:val="32"/>
          <w:szCs w:val="32"/>
        </w:rPr>
        <w:t>保证金</w:t>
      </w:r>
    </w:p>
    <w:p>
      <w:pPr>
        <w:pStyle w:val="19"/>
        <w:ind w:left="0" w:leftChars="0" w:firstLine="0" w:firstLineChars="0"/>
        <w:rPr>
          <w:rFonts w:hint="eastAsia" w:asciiTheme="majorEastAsia" w:hAnsiTheme="majorEastAsia" w:eastAsiaTheme="majorEastAsia" w:cstheme="majorEastAsia"/>
          <w:color w:val="auto"/>
        </w:rPr>
      </w:pPr>
    </w:p>
    <w:p>
      <w:pPr>
        <w:pStyle w:val="19"/>
        <w:ind w:left="0" w:leftChars="0" w:firstLine="0" w:firstLineChars="0"/>
        <w:rPr>
          <w:rFonts w:hint="eastAsia" w:asciiTheme="majorEastAsia" w:hAnsiTheme="majorEastAsia" w:eastAsiaTheme="majorEastAsia" w:cstheme="majorEastAsia"/>
          <w:color w:val="auto"/>
        </w:rPr>
      </w:pPr>
    </w:p>
    <w:p>
      <w:pPr>
        <w:shd w:val="clear" w:color="auto" w:fill="auto"/>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w:t>
      </w:r>
      <w:r>
        <w:rPr>
          <w:rFonts w:hint="eastAsia" w:ascii="宋体" w:hAnsi="宋体" w:eastAsia="宋体" w:cs="宋体"/>
          <w:b/>
          <w:bCs/>
          <w:color w:val="auto"/>
          <w:highlight w:val="none"/>
        </w:rPr>
        <w:t>提供付款凭证</w:t>
      </w:r>
      <w:r>
        <w:rPr>
          <w:rFonts w:hint="eastAsia" w:ascii="宋体" w:hAnsi="宋体" w:eastAsia="宋体" w:cs="宋体"/>
          <w:b/>
          <w:bCs/>
          <w:color w:val="auto"/>
          <w:highlight w:val="none"/>
          <w:lang w:eastAsia="zh-CN"/>
        </w:rPr>
        <w:t>扫描件或</w:t>
      </w:r>
      <w:r>
        <w:rPr>
          <w:rFonts w:hint="eastAsia" w:ascii="宋体" w:hAnsi="宋体" w:eastAsia="宋体" w:cs="宋体"/>
          <w:b/>
          <w:bCs/>
          <w:color w:val="auto"/>
          <w:highlight w:val="none"/>
        </w:rPr>
        <w:t>复印件</w:t>
      </w: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pStyle w:val="35"/>
        <w:rPr>
          <w:rFonts w:hint="eastAsia"/>
        </w:rPr>
      </w:pPr>
    </w:p>
    <w:p>
      <w:pPr>
        <w:adjustRightInd w:val="0"/>
        <w:snapToGrid w:val="0"/>
        <w:spacing w:line="360" w:lineRule="auto"/>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outlineLvl w:val="9"/>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outlineLvl w:val="9"/>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outlineLvl w:val="2"/>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color w:val="auto"/>
          <w:sz w:val="32"/>
          <w:szCs w:val="32"/>
        </w:rPr>
        <w:t>三、供应商</w:t>
      </w:r>
      <w:r>
        <w:rPr>
          <w:rFonts w:hint="eastAsia" w:asciiTheme="majorEastAsia" w:hAnsiTheme="majorEastAsia" w:eastAsiaTheme="majorEastAsia" w:cstheme="majorEastAsia"/>
          <w:b/>
          <w:bCs/>
          <w:color w:val="auto"/>
          <w:sz w:val="32"/>
          <w:szCs w:val="32"/>
        </w:rPr>
        <w:t>的资格证明材料</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1、供应商应按第二章要求提供下列证明材料</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-1 法人或者其他组织的营业执照等主体资格证明文件，自然人的身份证明</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-2 供应商资格声明(格式)</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-3 符合特定资格条件证明材料复印件或者情况说明</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-4 联合体协议书（格式）（联合体形式的提供）</w:t>
      </w:r>
    </w:p>
    <w:p>
      <w:pPr>
        <w:spacing w:line="480" w:lineRule="exact"/>
        <w:ind w:firstLine="42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Cs w:val="21"/>
        </w:rPr>
        <w:t>2、供应商以联合体形式参加磋商的，除应提交联合协议书外，参加联合体的各方均应提交上款资格证明材料。</w:t>
      </w:r>
    </w:p>
    <w:p>
      <w:pPr>
        <w:spacing w:line="480" w:lineRule="exact"/>
        <w:rPr>
          <w:rFonts w:hint="eastAsia" w:asciiTheme="majorEastAsia" w:hAnsiTheme="majorEastAsia" w:eastAsiaTheme="majorEastAsia" w:cstheme="majorEastAsia"/>
          <w:color w:val="auto"/>
          <w:sz w:val="24"/>
        </w:rPr>
      </w:pPr>
    </w:p>
    <w:p>
      <w:pP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br w:type="page"/>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-1 法人或者其他组织的营业执照等主体资格证明文件，自然人的身份证明</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1</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供应商为法人的，应提交营业执照或法人登记证书的复印件；</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2</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供应商为非法人组织的，应提交依法登记证书复印件；</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供应商人为个体工商户的，应提交个体工商户营业执照复印件；</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4</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供应商为自然人的，应提交自然人的身份证明复印件。</w:t>
      </w:r>
    </w:p>
    <w:p>
      <w:pPr>
        <w:spacing w:after="0" w:line="240" w:lineRule="auto"/>
        <w:jc w:val="left"/>
        <w:rPr>
          <w:sz w:val="21"/>
        </w:rPr>
        <w:sectPr>
          <w:pgSz w:w="11910" w:h="16840"/>
          <w:pgMar w:top="1160" w:right="860" w:bottom="1260" w:left="880" w:header="878" w:footer="1070" w:gutter="0"/>
          <w:pgNumType w:fmt="decimal"/>
          <w:cols w:space="720" w:num="1"/>
        </w:sectPr>
      </w:pPr>
    </w:p>
    <w:p>
      <w:pPr>
        <w:pStyle w:val="19"/>
        <w:rPr>
          <w:rFonts w:hint="eastAsia" w:asciiTheme="majorEastAsia" w:hAnsiTheme="majorEastAsia" w:eastAsiaTheme="majorEastAsia" w:cstheme="majorEastAsia"/>
          <w:color w:val="auto"/>
          <w:sz w:val="21"/>
          <w:szCs w:val="21"/>
        </w:rPr>
      </w:pPr>
    </w:p>
    <w:p>
      <w:pPr>
        <w:adjustRightInd w:val="0"/>
        <w:snapToGrid w:val="0"/>
        <w:spacing w:before="156" w:beforeLines="50" w:after="0" w:line="360" w:lineRule="auto"/>
        <w:outlineLvl w:val="9"/>
        <w:rPr>
          <w:rFonts w:ascii="黑体" w:hAnsi="仿宋" w:cs="宋体"/>
          <w:b w:val="0"/>
          <w:sz w:val="21"/>
          <w:szCs w:val="21"/>
        </w:rPr>
      </w:pPr>
      <w:r>
        <w:rPr>
          <w:rFonts w:hint="eastAsia" w:ascii="黑体" w:hAnsi="仿宋" w:cs="宋体"/>
          <w:b w:val="0"/>
          <w:sz w:val="21"/>
          <w:szCs w:val="21"/>
        </w:rPr>
        <w:t>附件</w:t>
      </w:r>
      <w:r>
        <w:rPr>
          <w:rFonts w:hint="eastAsia" w:ascii="黑体" w:hAnsi="仿宋" w:cs="宋体"/>
          <w:b w:val="0"/>
          <w:sz w:val="21"/>
          <w:szCs w:val="21"/>
          <w:lang w:val="en-US" w:eastAsia="zh-CN"/>
        </w:rPr>
        <w:t>3</w:t>
      </w:r>
      <w:r>
        <w:rPr>
          <w:rFonts w:hint="eastAsia" w:ascii="黑体" w:hAnsi="仿宋" w:cs="宋体"/>
          <w:b w:val="0"/>
          <w:sz w:val="21"/>
          <w:szCs w:val="21"/>
        </w:rPr>
        <w:t>-2 供应商资格声明(格式)</w:t>
      </w:r>
    </w:p>
    <w:p>
      <w:pPr>
        <w:widowControl/>
        <w:spacing w:before="100" w:beforeAutospacing="1" w:after="100" w:afterAutospacing="1" w:line="400" w:lineRule="atLeast"/>
        <w:ind w:firstLine="562"/>
        <w:jc w:val="center"/>
        <w:rPr>
          <w:rFonts w:ascii="微软雅黑" w:hAnsi="微软雅黑" w:eastAsia="微软雅黑" w:cs="微软雅黑"/>
          <w:sz w:val="24"/>
        </w:rPr>
      </w:pPr>
      <w:r>
        <w:rPr>
          <w:rFonts w:ascii="黑体" w:hAnsi="宋体" w:eastAsia="黑体" w:cs="黑体"/>
          <w:b/>
          <w:bCs/>
          <w:kern w:val="0"/>
          <w:sz w:val="28"/>
          <w:szCs w:val="28"/>
          <w:lang w:bidi="ar"/>
        </w:rPr>
        <w:t>供应商资格声明</w:t>
      </w:r>
      <w:r>
        <w:rPr>
          <w:rFonts w:hint="eastAsia" w:ascii="黑体" w:hAnsi="宋体" w:eastAsia="黑体" w:cs="黑体"/>
          <w:b/>
          <w:bCs/>
          <w:kern w:val="0"/>
          <w:sz w:val="28"/>
          <w:szCs w:val="28"/>
          <w:lang w:bidi="ar"/>
        </w:rPr>
        <w:t>(格式)</w:t>
      </w:r>
    </w:p>
    <w:p>
      <w:pPr>
        <w:widowControl/>
        <w:spacing w:before="100" w:beforeAutospacing="1" w:after="100" w:afterAutospacing="1" w:line="380" w:lineRule="atLeast"/>
        <w:jc w:val="left"/>
        <w:rPr>
          <w:rFonts w:hint="eastAsia" w:ascii="微软雅黑" w:hAnsi="微软雅黑" w:eastAsia="微软雅黑" w:cs="微软雅黑"/>
          <w:sz w:val="24"/>
        </w:rPr>
      </w:pPr>
      <w:r>
        <w:rPr>
          <w:rFonts w:hint="eastAsia" w:ascii="宋体" w:hAnsi="宋体" w:cs="宋体"/>
          <w:kern w:val="0"/>
          <w:szCs w:val="21"/>
          <w:lang w:bidi="ar"/>
        </w:rPr>
        <w:t>致</w:t>
      </w:r>
      <w:r>
        <w:rPr>
          <w:rFonts w:hint="eastAsia" w:ascii="宋体" w:hAnsi="宋体" w:cs="宋体"/>
          <w:kern w:val="0"/>
          <w:szCs w:val="21"/>
          <w:u w:val="single"/>
          <w:lang w:bidi="ar"/>
        </w:rPr>
        <w:t>            </w:t>
      </w:r>
      <w:r>
        <w:rPr>
          <w:rFonts w:hint="eastAsia" w:ascii="宋体" w:hAnsi="宋体" w:cs="宋体"/>
          <w:kern w:val="0"/>
          <w:szCs w:val="21"/>
          <w:lang w:bidi="ar"/>
        </w:rPr>
        <w:t>(采购人、采购代理机构)：</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按照《中华人民共和国政府采购法》及实施条例和</w:t>
      </w:r>
      <w:r>
        <w:rPr>
          <w:rFonts w:hint="eastAsia" w:ascii="宋体" w:hAnsi="宋体" w:cs="宋体"/>
          <w:kern w:val="0"/>
          <w:szCs w:val="21"/>
          <w:u w:val="single"/>
          <w:lang w:bidi="ar"/>
        </w:rPr>
        <w:t>         </w:t>
      </w:r>
      <w:r>
        <w:rPr>
          <w:rFonts w:hint="eastAsia" w:ascii="宋体" w:hAnsi="宋体" w:cs="宋体"/>
          <w:kern w:val="0"/>
          <w:szCs w:val="21"/>
          <w:lang w:bidi="ar"/>
        </w:rPr>
        <w:t>(项目名称)邀请公告的规定，我单位郑重声明如下：</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一、我单位是按照中华人民共和国法律规定登记注册的，注册地点为</w:t>
      </w:r>
      <w:r>
        <w:rPr>
          <w:rFonts w:hint="eastAsia" w:ascii="宋体" w:hAnsi="宋体" w:cs="宋体"/>
          <w:kern w:val="0"/>
          <w:szCs w:val="21"/>
          <w:u w:val="single"/>
          <w:lang w:bidi="ar"/>
        </w:rPr>
        <w:t>         </w:t>
      </w:r>
      <w:r>
        <w:rPr>
          <w:rFonts w:hint="eastAsia" w:ascii="宋体" w:hAnsi="宋体" w:cs="宋体"/>
          <w:kern w:val="0"/>
          <w:szCs w:val="21"/>
          <w:lang w:bidi="ar"/>
        </w:rPr>
        <w:t>，全称为</w:t>
      </w:r>
      <w:r>
        <w:rPr>
          <w:rFonts w:hint="eastAsia" w:ascii="宋体" w:hAnsi="宋体" w:cs="宋体"/>
          <w:kern w:val="0"/>
          <w:szCs w:val="21"/>
          <w:u w:val="single"/>
          <w:lang w:bidi="ar"/>
        </w:rPr>
        <w:t>        </w:t>
      </w:r>
      <w:r>
        <w:rPr>
          <w:rFonts w:hint="eastAsia" w:ascii="宋体" w:hAnsi="宋体" w:cs="宋体"/>
          <w:kern w:val="0"/>
          <w:szCs w:val="21"/>
          <w:lang w:bidi="ar"/>
        </w:rPr>
        <w:t>，统一社会信用代码为</w:t>
      </w:r>
      <w:r>
        <w:rPr>
          <w:rFonts w:hint="eastAsia" w:ascii="宋体" w:hAnsi="宋体" w:cs="宋体"/>
          <w:kern w:val="0"/>
          <w:szCs w:val="21"/>
          <w:u w:val="single"/>
          <w:lang w:bidi="ar"/>
        </w:rPr>
        <w:t>            </w:t>
      </w:r>
      <w:r>
        <w:rPr>
          <w:rFonts w:hint="eastAsia" w:ascii="宋体" w:hAnsi="宋体" w:cs="宋体"/>
          <w:kern w:val="0"/>
          <w:szCs w:val="21"/>
          <w:lang w:bidi="ar"/>
        </w:rPr>
        <w:t>，法定代表人（</w:t>
      </w:r>
      <w:r>
        <w:rPr>
          <w:rFonts w:hint="eastAsia" w:ascii="宋体" w:hAnsi="宋体" w:cs="宋体"/>
          <w:spacing w:val="-2"/>
          <w:kern w:val="0"/>
          <w:szCs w:val="21"/>
          <w:lang w:bidi="ar"/>
        </w:rPr>
        <w:t>单</w:t>
      </w:r>
      <w:r>
        <w:rPr>
          <w:rFonts w:hint="eastAsia" w:ascii="宋体" w:hAnsi="宋体" w:cs="宋体"/>
          <w:kern w:val="0"/>
          <w:szCs w:val="21"/>
          <w:lang w:bidi="ar"/>
        </w:rPr>
        <w:t>位</w:t>
      </w:r>
      <w:r>
        <w:rPr>
          <w:rFonts w:hint="eastAsia" w:ascii="宋体" w:hAnsi="宋体" w:cs="宋体"/>
          <w:spacing w:val="-2"/>
          <w:kern w:val="0"/>
          <w:szCs w:val="21"/>
          <w:lang w:bidi="ar"/>
        </w:rPr>
        <w:t>负</w:t>
      </w:r>
      <w:r>
        <w:rPr>
          <w:rFonts w:hint="eastAsia" w:ascii="宋体" w:hAnsi="宋体" w:cs="宋体"/>
          <w:kern w:val="0"/>
          <w:szCs w:val="21"/>
          <w:lang w:bidi="ar"/>
        </w:rPr>
        <w:t>责人</w:t>
      </w:r>
      <w:r>
        <w:rPr>
          <w:rFonts w:hint="eastAsia" w:ascii="宋体" w:hAnsi="宋体" w:cs="宋体"/>
          <w:spacing w:val="-2"/>
          <w:kern w:val="0"/>
          <w:szCs w:val="21"/>
          <w:lang w:bidi="ar"/>
        </w:rPr>
        <w:t>）</w:t>
      </w:r>
      <w:r>
        <w:rPr>
          <w:rFonts w:hint="eastAsia" w:ascii="宋体" w:hAnsi="宋体" w:cs="宋体"/>
          <w:kern w:val="0"/>
          <w:szCs w:val="21"/>
          <w:lang w:bidi="ar"/>
        </w:rPr>
        <w:t>为</w:t>
      </w:r>
      <w:r>
        <w:rPr>
          <w:rFonts w:hint="eastAsia" w:ascii="宋体" w:hAnsi="宋体" w:cs="宋体"/>
          <w:kern w:val="0"/>
          <w:szCs w:val="21"/>
          <w:u w:val="single"/>
          <w:lang w:bidi="ar"/>
        </w:rPr>
        <w:t>         </w:t>
      </w:r>
      <w:r>
        <w:rPr>
          <w:rFonts w:hint="eastAsia" w:ascii="宋体" w:hAnsi="宋体" w:cs="宋体"/>
          <w:kern w:val="0"/>
          <w:szCs w:val="21"/>
          <w:lang w:bidi="ar"/>
        </w:rPr>
        <w:t>，具有独立承担民事责任的能力。</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二、我单位具有良好的商业信誉和健全的财务会计制度。</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三、我单位依法进行纳税和社会保险申报并实际履行了义务。</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四、我单位具有履行本项目采购合同所必需的设备和专业技术能力，并具有履行合同的良好记录。</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供应商在参加政府采购活动前3年内因违法经营被禁止在一定期限内参加政府采购活动，期限届满的，可以参加政府采购活动。</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六、我单位具备法律、行政法规规定的其他条件。</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七、与我单位存在“单位负责人为同一人或者存在直接控股、管理关系”的其他单位信息如下（如无，填写“无”）：</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1、与我单位的法定代表人（单位负责人）为同一人的其他单位如下：</w:t>
      </w:r>
      <w:r>
        <w:rPr>
          <w:rFonts w:hint="eastAsia" w:ascii="宋体" w:hAnsi="宋体" w:cs="宋体"/>
          <w:kern w:val="0"/>
          <w:szCs w:val="21"/>
          <w:u w:val="single"/>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2、我单位直接控股的其他单位如下：</w:t>
      </w:r>
      <w:r>
        <w:rPr>
          <w:rFonts w:hint="eastAsia" w:ascii="宋体" w:hAnsi="宋体" w:cs="宋体"/>
          <w:kern w:val="0"/>
          <w:szCs w:val="21"/>
          <w:u w:val="single"/>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3、与我单位存在管理关系的其他单位如下：</w:t>
      </w:r>
      <w:r>
        <w:rPr>
          <w:rFonts w:hint="eastAsia" w:ascii="宋体" w:hAnsi="宋体" w:cs="宋体"/>
          <w:kern w:val="0"/>
          <w:szCs w:val="21"/>
          <w:u w:val="single"/>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八、我单位不属于为本项目提供整体设计、规范编制或者项目管理、监理、检测等服务的供应商。</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九、我单位无以下不良信用记录情形：</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1、在“信用中国”网站被列入失信被执行人和重大税收违法案件当事人名单；</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2、在“中国政府采购网”网站被列入政府采购严重违法失信行为记录名单；</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3、不符合《政府采购法》第二十二条规定的条件。</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我单位保证上述声明的事项都是真实的，如有虚假，我单位愿意承担相应的法律责任，并承担因此所造成的一切损失。</w:t>
      </w:r>
    </w:p>
    <w:p>
      <w:pPr>
        <w:widowControl/>
        <w:spacing w:before="100" w:beforeAutospacing="1" w:after="100" w:afterAutospacing="1" w:line="380" w:lineRule="atLeast"/>
        <w:ind w:firstLine="420"/>
        <w:jc w:val="left"/>
        <w:rPr>
          <w:rFonts w:hint="eastAsia" w:ascii="微软雅黑" w:hAnsi="微软雅黑" w:eastAsia="微软雅黑" w:cs="微软雅黑"/>
          <w:b/>
          <w:bCs/>
          <w:sz w:val="24"/>
        </w:rPr>
      </w:pPr>
      <w:r>
        <w:rPr>
          <w:rFonts w:hint="eastAsia" w:ascii="宋体" w:hAnsi="宋体" w:cs="宋体"/>
          <w:b/>
          <w:bCs/>
          <w:kern w:val="0"/>
          <w:szCs w:val="21"/>
          <w:lang w:bidi="ar"/>
        </w:rPr>
        <w:t>注：第二条“良好的商业信誉”是指供应商经营状况良好，无本资格声明第九条情形。</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供应商名称（盖单位公章）：</w:t>
      </w:r>
    </w:p>
    <w:p>
      <w:pPr>
        <w:widowControl/>
        <w:spacing w:before="100" w:beforeAutospacing="1" w:after="100" w:afterAutospacing="1" w:line="380" w:lineRule="atLeast"/>
        <w:ind w:firstLine="412"/>
        <w:jc w:val="left"/>
        <w:rPr>
          <w:rFonts w:hint="eastAsia" w:ascii="微软雅黑" w:hAnsi="微软雅黑" w:eastAsia="微软雅黑" w:cs="微软雅黑"/>
          <w:sz w:val="24"/>
        </w:rPr>
      </w:pPr>
      <w:r>
        <w:rPr>
          <w:rFonts w:hint="eastAsia" w:ascii="宋体" w:hAnsi="宋体" w:cs="宋体"/>
          <w:spacing w:val="-2"/>
          <w:kern w:val="0"/>
          <w:szCs w:val="21"/>
          <w:lang w:bidi="ar"/>
        </w:rPr>
        <w:t>法</w:t>
      </w:r>
      <w:r>
        <w:rPr>
          <w:rFonts w:hint="eastAsia" w:ascii="宋体" w:hAnsi="宋体" w:cs="宋体"/>
          <w:kern w:val="0"/>
          <w:szCs w:val="21"/>
          <w:lang w:bidi="ar"/>
        </w:rPr>
        <w:t>定</w:t>
      </w:r>
      <w:r>
        <w:rPr>
          <w:rFonts w:hint="eastAsia" w:ascii="宋体" w:hAnsi="宋体" w:cs="宋体"/>
          <w:spacing w:val="-2"/>
          <w:kern w:val="0"/>
          <w:szCs w:val="21"/>
          <w:lang w:bidi="ar"/>
        </w:rPr>
        <w:t>代</w:t>
      </w:r>
      <w:r>
        <w:rPr>
          <w:rFonts w:hint="eastAsia" w:ascii="宋体" w:hAnsi="宋体" w:cs="宋体"/>
          <w:kern w:val="0"/>
          <w:szCs w:val="21"/>
          <w:lang w:bidi="ar"/>
        </w:rPr>
        <w:t>表</w:t>
      </w:r>
      <w:r>
        <w:rPr>
          <w:rFonts w:hint="eastAsia" w:ascii="宋体" w:hAnsi="宋体" w:cs="宋体"/>
          <w:spacing w:val="-2"/>
          <w:kern w:val="0"/>
          <w:szCs w:val="21"/>
          <w:lang w:bidi="ar"/>
        </w:rPr>
        <w:t>人</w:t>
      </w:r>
      <w:r>
        <w:rPr>
          <w:rFonts w:hint="eastAsia" w:ascii="宋体" w:hAnsi="宋体" w:cs="宋体"/>
          <w:kern w:val="0"/>
          <w:szCs w:val="21"/>
          <w:lang w:bidi="ar"/>
        </w:rPr>
        <w:t>（</w:t>
      </w:r>
      <w:r>
        <w:rPr>
          <w:rFonts w:hint="eastAsia" w:ascii="宋体" w:hAnsi="宋体" w:cs="宋体"/>
          <w:spacing w:val="-2"/>
          <w:kern w:val="0"/>
          <w:szCs w:val="21"/>
          <w:lang w:bidi="ar"/>
        </w:rPr>
        <w:t>单</w:t>
      </w:r>
      <w:r>
        <w:rPr>
          <w:rFonts w:hint="eastAsia" w:ascii="宋体" w:hAnsi="宋体" w:cs="宋体"/>
          <w:kern w:val="0"/>
          <w:szCs w:val="21"/>
          <w:lang w:bidi="ar"/>
        </w:rPr>
        <w:t>位</w:t>
      </w:r>
      <w:r>
        <w:rPr>
          <w:rFonts w:hint="eastAsia" w:ascii="宋体" w:hAnsi="宋体" w:cs="宋体"/>
          <w:spacing w:val="-2"/>
          <w:kern w:val="0"/>
          <w:szCs w:val="21"/>
          <w:lang w:bidi="ar"/>
        </w:rPr>
        <w:t>负</w:t>
      </w:r>
      <w:r>
        <w:rPr>
          <w:rFonts w:hint="eastAsia" w:ascii="宋体" w:hAnsi="宋体" w:cs="宋体"/>
          <w:kern w:val="0"/>
          <w:szCs w:val="21"/>
          <w:lang w:bidi="ar"/>
        </w:rPr>
        <w:t>责人</w:t>
      </w:r>
      <w:r>
        <w:rPr>
          <w:rFonts w:hint="eastAsia" w:ascii="宋体" w:hAnsi="宋体" w:cs="宋体"/>
          <w:spacing w:val="-2"/>
          <w:kern w:val="0"/>
          <w:szCs w:val="21"/>
          <w:lang w:bidi="ar"/>
        </w:rPr>
        <w:t>）</w:t>
      </w:r>
      <w:r>
        <w:rPr>
          <w:rFonts w:hint="eastAsia" w:ascii="宋体" w:hAnsi="宋体" w:cs="宋体"/>
          <w:kern w:val="0"/>
          <w:szCs w:val="21"/>
          <w:lang w:bidi="ar"/>
        </w:rPr>
        <w:t>或委托代理人：</w:t>
      </w:r>
      <w:r>
        <w:rPr>
          <w:rFonts w:hint="eastAsia" w:ascii="宋体" w:hAnsi="宋体" w:cs="宋体"/>
          <w:kern w:val="0"/>
          <w:szCs w:val="21"/>
          <w:u w:val="single"/>
          <w:lang w:bidi="ar"/>
        </w:rPr>
        <w:t>       </w:t>
      </w:r>
      <w:r>
        <w:rPr>
          <w:rFonts w:hint="eastAsia" w:ascii="宋体" w:hAnsi="宋体" w:cs="宋体"/>
          <w:kern w:val="0"/>
          <w:szCs w:val="21"/>
          <w:lang w:bidi="ar"/>
        </w:rPr>
        <w:t>（签字或印章）</w:t>
      </w:r>
    </w:p>
    <w:p>
      <w:pPr>
        <w:widowControl/>
        <w:spacing w:before="100" w:beforeAutospacing="1" w:after="100" w:afterAutospacing="1" w:line="380" w:lineRule="atLeast"/>
        <w:ind w:firstLine="420"/>
        <w:jc w:val="left"/>
        <w:rPr>
          <w:rFonts w:hint="eastAsia" w:ascii="微软雅黑" w:hAnsi="微软雅黑" w:eastAsia="微软雅黑" w:cs="微软雅黑"/>
          <w:sz w:val="24"/>
        </w:rPr>
      </w:pPr>
      <w:r>
        <w:rPr>
          <w:rFonts w:hint="eastAsia" w:ascii="宋体" w:hAnsi="宋体" w:cs="宋体"/>
          <w:kern w:val="0"/>
          <w:szCs w:val="21"/>
          <w:lang w:bidi="ar"/>
        </w:rPr>
        <w:t>日期：</w:t>
      </w:r>
      <w:r>
        <w:rPr>
          <w:rFonts w:hint="eastAsia" w:ascii="宋体" w:hAnsi="宋体" w:cs="宋体"/>
          <w:kern w:val="0"/>
          <w:szCs w:val="21"/>
          <w:u w:val="single"/>
          <w:lang w:bidi="ar"/>
        </w:rPr>
        <w:t>       </w:t>
      </w:r>
      <w:r>
        <w:rPr>
          <w:rFonts w:hint="eastAsia" w:ascii="宋体" w:hAnsi="宋体" w:cs="宋体"/>
          <w:kern w:val="0"/>
          <w:szCs w:val="21"/>
          <w:lang w:bidi="ar"/>
        </w:rPr>
        <w:t>年</w:t>
      </w:r>
      <w:r>
        <w:rPr>
          <w:rFonts w:hint="eastAsia" w:ascii="宋体" w:hAnsi="宋体" w:cs="宋体"/>
          <w:kern w:val="0"/>
          <w:szCs w:val="21"/>
          <w:u w:val="single"/>
          <w:lang w:bidi="ar"/>
        </w:rPr>
        <w:t>  </w:t>
      </w:r>
      <w:r>
        <w:rPr>
          <w:rFonts w:hint="eastAsia" w:ascii="宋体" w:hAnsi="宋体" w:cs="宋体"/>
          <w:kern w:val="0"/>
          <w:szCs w:val="21"/>
          <w:lang w:bidi="ar"/>
        </w:rPr>
        <w:t>月</w:t>
      </w:r>
      <w:r>
        <w:rPr>
          <w:rFonts w:hint="eastAsia" w:ascii="宋体" w:hAnsi="宋体" w:cs="宋体"/>
          <w:kern w:val="0"/>
          <w:szCs w:val="21"/>
          <w:u w:val="single"/>
          <w:lang w:bidi="ar"/>
        </w:rPr>
        <w:t>  </w:t>
      </w:r>
      <w:r>
        <w:rPr>
          <w:rFonts w:hint="eastAsia" w:ascii="宋体" w:hAnsi="宋体" w:cs="宋体"/>
          <w:kern w:val="0"/>
          <w:szCs w:val="21"/>
          <w:lang w:bidi="ar"/>
        </w:rPr>
        <w:t>日</w:t>
      </w:r>
    </w:p>
    <w:p>
      <w:pPr>
        <w:outlineLvl w:val="9"/>
        <w:rPr>
          <w:rFonts w:ascii="黑体" w:hAnsi="仿宋" w:cs="宋体"/>
          <w:b w:val="0"/>
          <w:sz w:val="21"/>
          <w:szCs w:val="21"/>
        </w:rPr>
      </w:pPr>
      <w:bookmarkStart w:id="80" w:name="_Toc27891"/>
      <w:r>
        <w:rPr>
          <w:rFonts w:hint="eastAsia" w:ascii="黑体" w:hAnsi="仿宋" w:cs="宋体"/>
          <w:b w:val="0"/>
          <w:sz w:val="21"/>
          <w:szCs w:val="21"/>
        </w:rPr>
        <w:br w:type="page"/>
      </w:r>
      <w:r>
        <w:rPr>
          <w:rFonts w:hint="eastAsia" w:ascii="黑体" w:hAnsi="仿宋" w:cs="宋体"/>
          <w:b w:val="0"/>
          <w:sz w:val="21"/>
          <w:szCs w:val="21"/>
        </w:rPr>
        <w:t>附件</w:t>
      </w:r>
      <w:r>
        <w:rPr>
          <w:rFonts w:hint="eastAsia" w:ascii="黑体" w:hAnsi="仿宋" w:cs="宋体"/>
          <w:b w:val="0"/>
          <w:sz w:val="21"/>
          <w:szCs w:val="21"/>
          <w:lang w:val="en-US" w:eastAsia="zh-CN"/>
        </w:rPr>
        <w:t>3</w:t>
      </w:r>
      <w:r>
        <w:rPr>
          <w:rFonts w:hint="eastAsia" w:ascii="黑体" w:hAnsi="仿宋" w:cs="宋体"/>
          <w:b w:val="0"/>
          <w:sz w:val="21"/>
          <w:szCs w:val="21"/>
        </w:rPr>
        <w:t>-2-1 2020年度经会计事务所审计的财务审计报告或者基本开户银行出具的资信证明</w:t>
      </w:r>
      <w:bookmarkEnd w:id="80"/>
    </w:p>
    <w:p>
      <w:pPr>
        <w:keepNext/>
        <w:keepLines/>
        <w:spacing w:line="377" w:lineRule="auto"/>
        <w:ind w:firstLine="210" w:firstLineChars="100"/>
        <w:rPr>
          <w:rFonts w:hint="eastAsia" w:ascii="黑体" w:hAnsi="仿宋" w:cs="宋体"/>
          <w:szCs w:val="21"/>
        </w:rPr>
      </w:pPr>
      <w:r>
        <w:rPr>
          <w:rFonts w:hint="eastAsia" w:ascii="黑体" w:hAnsi="仿宋" w:cs="宋体"/>
          <w:szCs w:val="21"/>
        </w:rPr>
        <w:t>说明：提供证明材料的复印件或者扫描件</w:t>
      </w:r>
    </w:p>
    <w:p>
      <w:pPr>
        <w:pStyle w:val="39"/>
        <w:rPr>
          <w:rFonts w:hint="eastAsia" w:ascii="黑体" w:hAnsi="仿宋" w:cs="宋体"/>
          <w:szCs w:val="21"/>
        </w:rPr>
      </w:pPr>
    </w:p>
    <w:p>
      <w:pPr>
        <w:pStyle w:val="39"/>
        <w:rPr>
          <w:rFonts w:hint="eastAsia" w:ascii="黑体" w:hAnsi="仿宋" w:cs="宋体"/>
          <w:szCs w:val="21"/>
        </w:rPr>
      </w:pPr>
    </w:p>
    <w:p>
      <w:pPr>
        <w:pStyle w:val="39"/>
        <w:rPr>
          <w:rFonts w:hint="eastAsia" w:ascii="黑体" w:hAnsi="仿宋" w:cs="宋体"/>
          <w:szCs w:val="21"/>
        </w:rPr>
      </w:pPr>
    </w:p>
    <w:p>
      <w:pPr>
        <w:pStyle w:val="39"/>
        <w:rPr>
          <w:rFonts w:hint="eastAsia" w:ascii="黑体" w:hAnsi="仿宋" w:cs="宋体"/>
          <w:szCs w:val="21"/>
        </w:rPr>
      </w:pPr>
    </w:p>
    <w:p>
      <w:pPr>
        <w:pStyle w:val="39"/>
        <w:rPr>
          <w:rFonts w:hint="eastAsia" w:ascii="黑体" w:hAnsi="仿宋" w:cs="宋体"/>
          <w:szCs w:val="21"/>
        </w:rPr>
      </w:pPr>
    </w:p>
    <w:p>
      <w:pPr>
        <w:outlineLvl w:val="9"/>
        <w:rPr>
          <w:rFonts w:ascii="黑体" w:hAnsi="仿宋" w:cs="宋体"/>
          <w:b w:val="0"/>
          <w:color w:val="000000" w:themeColor="text1"/>
          <w:sz w:val="21"/>
          <w:szCs w:val="21"/>
          <w14:textFill>
            <w14:solidFill>
              <w14:schemeClr w14:val="tx1"/>
            </w14:solidFill>
          </w14:textFill>
        </w:rPr>
      </w:pPr>
      <w:bookmarkStart w:id="81" w:name="_Toc21665"/>
      <w:r>
        <w:rPr>
          <w:rFonts w:hint="eastAsia" w:ascii="黑体" w:hAnsi="仿宋" w:cs="宋体"/>
          <w:b w:val="0"/>
          <w:color w:val="000000" w:themeColor="text1"/>
          <w:sz w:val="21"/>
          <w:szCs w:val="21"/>
          <w14:textFill>
            <w14:solidFill>
              <w14:schemeClr w14:val="tx1"/>
            </w14:solidFill>
          </w14:textFill>
        </w:rPr>
        <w:t>附件</w:t>
      </w:r>
      <w:r>
        <w:rPr>
          <w:rFonts w:hint="eastAsia" w:ascii="黑体" w:hAnsi="仿宋" w:cs="宋体"/>
          <w:b w:val="0"/>
          <w:color w:val="000000" w:themeColor="text1"/>
          <w:sz w:val="21"/>
          <w:szCs w:val="21"/>
          <w:lang w:val="en-US" w:eastAsia="zh-CN"/>
          <w14:textFill>
            <w14:solidFill>
              <w14:schemeClr w14:val="tx1"/>
            </w14:solidFill>
          </w14:textFill>
        </w:rPr>
        <w:t>3</w:t>
      </w:r>
      <w:r>
        <w:rPr>
          <w:rFonts w:hint="eastAsia" w:ascii="黑体" w:hAnsi="仿宋" w:cs="宋体"/>
          <w:b w:val="0"/>
          <w:color w:val="000000" w:themeColor="text1"/>
          <w:sz w:val="21"/>
          <w:szCs w:val="21"/>
          <w14:textFill>
            <w14:solidFill>
              <w14:schemeClr w14:val="tx1"/>
            </w14:solidFill>
          </w14:textFill>
        </w:rPr>
        <w:t>-2-2 供应商在提交响应文件截止时间前</w:t>
      </w:r>
      <w:r>
        <w:rPr>
          <w:rFonts w:hint="eastAsia" w:ascii="黑体" w:hAnsi="仿宋" w:cs="宋体"/>
          <w:b w:val="0"/>
          <w:color w:val="000000" w:themeColor="text1"/>
          <w:sz w:val="21"/>
          <w:szCs w:val="21"/>
          <w:lang w:eastAsia="zh-CN"/>
          <w14:textFill>
            <w14:solidFill>
              <w14:schemeClr w14:val="tx1"/>
            </w14:solidFill>
          </w14:textFill>
        </w:rPr>
        <w:t>近六个月</w:t>
      </w:r>
      <w:r>
        <w:rPr>
          <w:rFonts w:hint="eastAsia" w:ascii="黑体" w:hAnsi="仿宋" w:cs="宋体"/>
          <w:b w:val="0"/>
          <w:color w:val="000000" w:themeColor="text1"/>
          <w:sz w:val="21"/>
          <w:szCs w:val="21"/>
          <w14:textFill>
            <w14:solidFill>
              <w14:schemeClr w14:val="tx1"/>
            </w14:solidFill>
          </w14:textFill>
        </w:rPr>
        <w:t>依法连续缴纳税收和社会保险的证明</w:t>
      </w:r>
      <w:bookmarkEnd w:id="81"/>
    </w:p>
    <w:p>
      <w:pPr>
        <w:ind w:firstLine="420" w:firstLineChars="200"/>
        <w:rPr>
          <w:rFonts w:hint="eastAsia" w:ascii="黑体" w:hAnsi="仿宋" w:cs="宋体"/>
          <w:color w:val="000000" w:themeColor="text1"/>
          <w:szCs w:val="21"/>
          <w14:textFill>
            <w14:solidFill>
              <w14:schemeClr w14:val="tx1"/>
            </w14:solidFill>
          </w14:textFill>
        </w:rPr>
      </w:pPr>
      <w:r>
        <w:rPr>
          <w:rFonts w:hint="eastAsia" w:ascii="黑体" w:hAnsi="仿宋" w:cs="宋体"/>
          <w:color w:val="000000" w:themeColor="text1"/>
          <w:szCs w:val="21"/>
          <w14:textFill>
            <w14:solidFill>
              <w14:schemeClr w14:val="tx1"/>
            </w14:solidFill>
          </w14:textFill>
        </w:rPr>
        <w:t>说明：提供在提交响应文件</w:t>
      </w:r>
      <w:r>
        <w:rPr>
          <w:rFonts w:hint="eastAsia" w:ascii="黑体" w:hAnsi="仿宋" w:cs="宋体"/>
          <w:color w:val="auto"/>
          <w:szCs w:val="21"/>
        </w:rPr>
        <w:t>截止时间前</w:t>
      </w:r>
      <w:r>
        <w:rPr>
          <w:rFonts w:hint="eastAsia" w:ascii="黑体" w:hAnsi="仿宋" w:cs="宋体"/>
          <w:b w:val="0"/>
          <w:color w:val="000000" w:themeColor="text1"/>
          <w:sz w:val="21"/>
          <w:szCs w:val="21"/>
          <w:lang w:eastAsia="zh-CN"/>
          <w14:textFill>
            <w14:solidFill>
              <w14:schemeClr w14:val="tx1"/>
            </w14:solidFill>
          </w14:textFill>
        </w:rPr>
        <w:t>近六个月</w:t>
      </w:r>
      <w:r>
        <w:rPr>
          <w:rFonts w:hint="eastAsia" w:ascii="黑体" w:hAnsi="仿宋" w:cs="宋体"/>
          <w:color w:val="auto"/>
          <w:szCs w:val="21"/>
        </w:rPr>
        <w:t>依法连续缴纳税收（税务部门出具的）和社会保险费（社保机构出具的）的证明(或者纳税及缴费凭证复印件），或者委托他人缴纳的委托代办协议和投标截止时间前</w:t>
      </w:r>
      <w:r>
        <w:rPr>
          <w:rFonts w:hint="eastAsia" w:ascii="黑体" w:hAnsi="仿宋" w:cs="宋体"/>
          <w:b w:val="0"/>
          <w:color w:val="000000" w:themeColor="text1"/>
          <w:sz w:val="21"/>
          <w:szCs w:val="21"/>
          <w:lang w:eastAsia="zh-CN"/>
          <w14:textFill>
            <w14:solidFill>
              <w14:schemeClr w14:val="tx1"/>
            </w14:solidFill>
          </w14:textFill>
        </w:rPr>
        <w:t>近六个月</w:t>
      </w:r>
      <w:r>
        <w:rPr>
          <w:rFonts w:hint="eastAsia" w:ascii="黑体" w:hAnsi="仿宋" w:cs="宋体"/>
          <w:color w:val="auto"/>
          <w:szCs w:val="21"/>
        </w:rPr>
        <w:t>的缴纳证明（收据&lt;缴费</w:t>
      </w:r>
      <w:r>
        <w:rPr>
          <w:rFonts w:hint="eastAsia" w:ascii="黑体" w:hAnsi="仿宋" w:cs="宋体"/>
          <w:color w:val="000000" w:themeColor="text1"/>
          <w:szCs w:val="21"/>
          <w14:textFill>
            <w14:solidFill>
              <w14:schemeClr w14:val="tx1"/>
            </w14:solidFill>
          </w14:textFill>
        </w:rPr>
        <w:t>凭证&gt;复印件），或者法定征收机关出具的依法免缴纳税费的证明。</w:t>
      </w:r>
    </w:p>
    <w:p>
      <w:pPr>
        <w:pStyle w:val="39"/>
        <w:rPr>
          <w:rFonts w:hint="eastAsia" w:ascii="黑体" w:hAnsi="仿宋" w:cs="宋体"/>
          <w:szCs w:val="21"/>
        </w:rPr>
      </w:pPr>
    </w:p>
    <w:p>
      <w:pPr>
        <w:pStyle w:val="39"/>
        <w:rPr>
          <w:rFonts w:hint="eastAsia" w:ascii="黑体" w:hAnsi="仿宋" w:cs="宋体"/>
          <w:szCs w:val="21"/>
        </w:rPr>
      </w:pPr>
    </w:p>
    <w:p>
      <w:pPr>
        <w:pStyle w:val="39"/>
        <w:rPr>
          <w:rFonts w:hint="eastAsia" w:ascii="黑体" w:hAnsi="仿宋" w:cs="宋体"/>
          <w:szCs w:val="21"/>
        </w:rPr>
      </w:pPr>
    </w:p>
    <w:p>
      <w:pPr>
        <w:pStyle w:val="39"/>
        <w:rPr>
          <w:rFonts w:hint="eastAsia" w:ascii="黑体" w:hAnsi="仿宋" w:cs="宋体"/>
          <w:szCs w:val="21"/>
        </w:rPr>
      </w:pPr>
    </w:p>
    <w:p>
      <w:pPr>
        <w:pStyle w:val="39"/>
        <w:rPr>
          <w:rFonts w:hint="eastAsia" w:ascii="黑体" w:hAnsi="仿宋" w:cs="宋体"/>
          <w:szCs w:val="21"/>
        </w:rPr>
      </w:pPr>
    </w:p>
    <w:p>
      <w:pPr>
        <w:outlineLvl w:val="9"/>
        <w:rPr>
          <w:rFonts w:ascii="黑体" w:hAnsi="仿宋" w:cs="宋体"/>
          <w:b w:val="0"/>
          <w:sz w:val="21"/>
          <w:szCs w:val="21"/>
        </w:rPr>
      </w:pPr>
      <w:bookmarkStart w:id="82" w:name="_Toc29189"/>
      <w:r>
        <w:rPr>
          <w:rFonts w:hint="eastAsia" w:ascii="黑体" w:hAnsi="仿宋" w:cs="宋体"/>
          <w:b w:val="0"/>
          <w:sz w:val="21"/>
          <w:szCs w:val="21"/>
        </w:rPr>
        <w:t>附件</w:t>
      </w:r>
      <w:r>
        <w:rPr>
          <w:rFonts w:hint="eastAsia" w:ascii="黑体" w:hAnsi="仿宋" w:cs="宋体"/>
          <w:b w:val="0"/>
          <w:sz w:val="21"/>
          <w:szCs w:val="21"/>
          <w:lang w:val="en-US" w:eastAsia="zh-CN"/>
        </w:rPr>
        <w:t>3</w:t>
      </w:r>
      <w:r>
        <w:rPr>
          <w:rFonts w:hint="eastAsia" w:ascii="黑体" w:hAnsi="仿宋" w:cs="宋体"/>
          <w:b w:val="0"/>
          <w:sz w:val="21"/>
          <w:szCs w:val="21"/>
        </w:rPr>
        <w:t>-2-3 具有履行合同所必需的设备和专业技术能力的证明材料</w:t>
      </w:r>
      <w:bookmarkEnd w:id="82"/>
    </w:p>
    <w:p>
      <w:pPr>
        <w:ind w:firstLine="420" w:firstLineChars="200"/>
        <w:rPr>
          <w:rFonts w:ascii="黑体" w:hAnsi="仿宋" w:cs="宋体"/>
          <w:szCs w:val="21"/>
        </w:rPr>
      </w:pPr>
      <w:r>
        <w:rPr>
          <w:rFonts w:hint="eastAsia" w:ascii="黑体" w:hAnsi="仿宋" w:cs="宋体"/>
          <w:szCs w:val="21"/>
        </w:rPr>
        <w:t>说明：提供具有履行合同所必需的设备和专业技术能力的承诺，或者设备发票复印件和专业技术能力的相关证明材料复印件等。</w:t>
      </w:r>
    </w:p>
    <w:p>
      <w:pPr>
        <w:outlineLvl w:val="9"/>
        <w:rPr>
          <w:rFonts w:ascii="黑体" w:hAnsi="仿宋" w:cs="宋体"/>
          <w:b w:val="0"/>
          <w:sz w:val="21"/>
          <w:szCs w:val="21"/>
        </w:rPr>
      </w:pPr>
      <w:bookmarkStart w:id="83" w:name="_Toc26758"/>
      <w:r>
        <w:rPr>
          <w:rFonts w:hint="eastAsia" w:ascii="黑体" w:hAnsi="仿宋" w:cs="宋体"/>
          <w:b w:val="0"/>
          <w:sz w:val="21"/>
          <w:szCs w:val="21"/>
        </w:rPr>
        <w:br w:type="page"/>
      </w:r>
      <w:bookmarkEnd w:id="83"/>
      <w:bookmarkStart w:id="84" w:name="_Toc1564"/>
      <w:r>
        <w:rPr>
          <w:rFonts w:hint="eastAsia" w:ascii="黑体" w:hAnsi="仿宋" w:cs="宋体"/>
          <w:b w:val="0"/>
          <w:sz w:val="21"/>
          <w:szCs w:val="21"/>
        </w:rPr>
        <w:t>附件</w:t>
      </w:r>
      <w:r>
        <w:rPr>
          <w:rFonts w:hint="eastAsia" w:ascii="黑体" w:hAnsi="仿宋" w:cs="宋体"/>
          <w:b w:val="0"/>
          <w:sz w:val="21"/>
          <w:szCs w:val="21"/>
          <w:lang w:val="en-US" w:eastAsia="zh-CN"/>
        </w:rPr>
        <w:t>3</w:t>
      </w:r>
      <w:r>
        <w:rPr>
          <w:rFonts w:hint="eastAsia" w:ascii="黑体" w:hAnsi="仿宋" w:cs="宋体"/>
          <w:b w:val="0"/>
          <w:sz w:val="21"/>
          <w:szCs w:val="21"/>
        </w:rPr>
        <w:t>-2-4 法律、行政法规规定的其他条件</w:t>
      </w:r>
      <w:bookmarkEnd w:id="84"/>
    </w:p>
    <w:p/>
    <w:p>
      <w:pPr>
        <w:pStyle w:val="39"/>
        <w:rPr>
          <w:rFonts w:hint="eastAsia" w:ascii="宋体" w:hAnsi="宋体" w:cs="宋体"/>
          <w:bCs w:val="0"/>
          <w:spacing w:val="0"/>
          <w:sz w:val="21"/>
          <w:szCs w:val="21"/>
        </w:rPr>
      </w:pPr>
      <w:r>
        <w:rPr>
          <w:rFonts w:hint="eastAsia" w:ascii="宋体" w:hAnsi="宋体" w:cs="宋体"/>
          <w:bCs w:val="0"/>
          <w:spacing w:val="0"/>
          <w:sz w:val="21"/>
          <w:szCs w:val="21"/>
        </w:rPr>
        <w:t>说明：（1）中小企业声明函（工程、服务）</w:t>
      </w:r>
    </w:p>
    <w:p>
      <w:pPr>
        <w:pStyle w:val="39"/>
        <w:ind w:firstLine="630" w:firstLineChars="300"/>
        <w:rPr>
          <w:rFonts w:hint="eastAsia" w:ascii="宋体" w:hAnsi="宋体" w:cs="宋体"/>
          <w:bCs w:val="0"/>
          <w:spacing w:val="0"/>
          <w:sz w:val="21"/>
          <w:szCs w:val="21"/>
        </w:rPr>
      </w:pPr>
      <w:r>
        <w:rPr>
          <w:rFonts w:hint="eastAsia" w:ascii="宋体" w:hAnsi="宋体" w:cs="宋体"/>
          <w:bCs w:val="0"/>
          <w:spacing w:val="0"/>
          <w:sz w:val="21"/>
          <w:szCs w:val="21"/>
        </w:rPr>
        <w:t>（2）磋商文件规定的其他条件的证明材料。</w:t>
      </w:r>
    </w:p>
    <w:p>
      <w:pPr>
        <w:pStyle w:val="39"/>
        <w:rPr>
          <w:rFonts w:hint="eastAsia" w:ascii="宋体" w:hAnsi="宋体" w:cs="宋体"/>
          <w:bCs w:val="0"/>
          <w:spacing w:val="0"/>
          <w:sz w:val="21"/>
          <w:szCs w:val="21"/>
        </w:rPr>
      </w:pPr>
    </w:p>
    <w:p>
      <w:pPr>
        <w:pStyle w:val="39"/>
        <w:rPr>
          <w:rFonts w:hint="eastAsia" w:ascii="宋体" w:hAnsi="宋体" w:cs="宋体"/>
          <w:bCs w:val="0"/>
          <w:spacing w:val="0"/>
          <w:sz w:val="21"/>
          <w:szCs w:val="21"/>
        </w:rPr>
      </w:pPr>
    </w:p>
    <w:p>
      <w:pPr>
        <w:pStyle w:val="39"/>
        <w:rPr>
          <w:rFonts w:hint="eastAsia" w:ascii="宋体" w:hAnsi="宋体" w:cs="宋体"/>
          <w:bCs w:val="0"/>
          <w:spacing w:val="0"/>
          <w:sz w:val="21"/>
          <w:szCs w:val="21"/>
        </w:rPr>
      </w:pPr>
    </w:p>
    <w:p>
      <w:pPr>
        <w:widowControl/>
        <w:adjustRightInd w:val="0"/>
        <w:snapToGrid w:val="0"/>
        <w:spacing w:line="360" w:lineRule="auto"/>
        <w:ind w:firstLine="586" w:firstLineChars="200"/>
        <w:jc w:val="center"/>
        <w:rPr>
          <w:rFonts w:hint="eastAsia" w:ascii="宋体" w:hAnsi="宋体" w:cs="宋体"/>
          <w:b/>
          <w:bCs/>
          <w:spacing w:val="6"/>
          <w:kern w:val="0"/>
          <w:sz w:val="28"/>
          <w:szCs w:val="28"/>
        </w:rPr>
      </w:pPr>
      <w:bookmarkStart w:id="85" w:name="_Toc24241"/>
      <w:bookmarkStart w:id="86" w:name="_Toc15415"/>
      <w:r>
        <w:rPr>
          <w:rFonts w:hint="eastAsia" w:ascii="宋体" w:hAnsi="宋体" w:cs="宋体"/>
          <w:b/>
          <w:bCs/>
          <w:spacing w:val="6"/>
          <w:kern w:val="0"/>
          <w:sz w:val="28"/>
          <w:szCs w:val="28"/>
        </w:rPr>
        <w:br w:type="page"/>
      </w:r>
      <w:r>
        <w:rPr>
          <w:rFonts w:hint="eastAsia" w:ascii="宋体" w:hAnsi="宋体" w:cs="宋体"/>
          <w:b/>
          <w:bCs/>
          <w:spacing w:val="6"/>
          <w:kern w:val="0"/>
          <w:sz w:val="28"/>
          <w:szCs w:val="28"/>
        </w:rPr>
        <w:t>（1）中小企业声明函（工程、服务）</w:t>
      </w:r>
    </w:p>
    <w:p>
      <w:pPr>
        <w:widowControl/>
        <w:adjustRightInd w:val="0"/>
        <w:snapToGrid w:val="0"/>
        <w:spacing w:line="360" w:lineRule="auto"/>
        <w:ind w:firstLine="444" w:firstLineChars="200"/>
        <w:rPr>
          <w:rFonts w:hint="eastAsia" w:ascii="宋体" w:hAnsi="宋体" w:cs="宋体"/>
          <w:spacing w:val="6"/>
          <w:kern w:val="0"/>
          <w:szCs w:val="21"/>
        </w:rPr>
      </w:pPr>
      <w:r>
        <w:rPr>
          <w:rFonts w:hint="eastAsia" w:ascii="宋体" w:hAnsi="宋体" w:cs="宋体"/>
          <w:spacing w:val="6"/>
          <w:kern w:val="0"/>
          <w:szCs w:val="21"/>
        </w:rPr>
        <w:t>本公司（联合体）郑重声明，根据《政府采购促进中小企业发展管理办法》（财库﹝2020﹞46 号）的规定，本公司（联合体）参加</w:t>
      </w:r>
      <w:r>
        <w:rPr>
          <w:rFonts w:hint="eastAsia" w:ascii="宋体" w:hAnsi="宋体" w:cs="宋体"/>
          <w:spacing w:val="6"/>
          <w:kern w:val="0"/>
          <w:szCs w:val="21"/>
          <w:u w:val="single"/>
        </w:rPr>
        <w:t xml:space="preserve"> （单位名称）</w:t>
      </w:r>
      <w:r>
        <w:rPr>
          <w:rFonts w:hint="eastAsia" w:ascii="宋体" w:hAnsi="宋体" w:cs="宋体"/>
          <w:spacing w:val="6"/>
          <w:kern w:val="0"/>
          <w:szCs w:val="21"/>
        </w:rPr>
        <w:t xml:space="preserve"> 的</w:t>
      </w:r>
      <w:r>
        <w:rPr>
          <w:rFonts w:hint="eastAsia" w:ascii="宋体" w:hAnsi="宋体" w:cs="宋体"/>
          <w:spacing w:val="6"/>
          <w:kern w:val="0"/>
          <w:szCs w:val="21"/>
          <w:u w:val="single"/>
        </w:rPr>
        <w:t xml:space="preserve"> （项目名称） </w:t>
      </w:r>
      <w:r>
        <w:rPr>
          <w:rFonts w:hint="eastAsia" w:ascii="宋体" w:hAnsi="宋体" w:cs="宋体"/>
          <w:spacing w:val="6"/>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adjustRightInd w:val="0"/>
        <w:snapToGrid w:val="0"/>
        <w:spacing w:line="360" w:lineRule="auto"/>
        <w:ind w:firstLine="444" w:firstLineChars="200"/>
        <w:rPr>
          <w:rFonts w:hint="eastAsia" w:ascii="宋体" w:hAnsi="宋体" w:cs="宋体"/>
          <w:spacing w:val="6"/>
          <w:kern w:val="0"/>
          <w:szCs w:val="21"/>
        </w:rPr>
      </w:pPr>
      <w:r>
        <w:rPr>
          <w:rFonts w:hint="eastAsia" w:ascii="宋体" w:hAnsi="宋体" w:cs="宋体"/>
          <w:spacing w:val="6"/>
          <w:kern w:val="0"/>
          <w:szCs w:val="21"/>
        </w:rPr>
        <w:t xml:space="preserve">1. </w:t>
      </w:r>
      <w:r>
        <w:rPr>
          <w:rFonts w:hint="eastAsia" w:ascii="宋体" w:hAnsi="宋体" w:cs="宋体"/>
          <w:spacing w:val="6"/>
          <w:kern w:val="0"/>
          <w:szCs w:val="21"/>
          <w:u w:val="single"/>
        </w:rPr>
        <w:t xml:space="preserve">（标的名称） </w:t>
      </w:r>
      <w:r>
        <w:rPr>
          <w:rFonts w:hint="eastAsia" w:ascii="宋体" w:hAnsi="宋体" w:cs="宋体"/>
          <w:spacing w:val="6"/>
          <w:kern w:val="0"/>
          <w:szCs w:val="21"/>
        </w:rPr>
        <w:t>，属于</w:t>
      </w:r>
      <w:r>
        <w:rPr>
          <w:rFonts w:hint="eastAsia" w:ascii="宋体" w:hAnsi="宋体" w:cs="宋体"/>
          <w:spacing w:val="6"/>
          <w:kern w:val="0"/>
          <w:szCs w:val="21"/>
          <w:u w:val="single"/>
        </w:rPr>
        <w:t xml:space="preserve"> （采购文件中明确的所属行业） </w:t>
      </w:r>
      <w:r>
        <w:rPr>
          <w:rFonts w:hint="eastAsia" w:ascii="宋体" w:hAnsi="宋体" w:cs="宋体"/>
          <w:spacing w:val="6"/>
          <w:kern w:val="0"/>
          <w:szCs w:val="21"/>
        </w:rPr>
        <w:t>；承建（承接）企业为</w:t>
      </w:r>
      <w:r>
        <w:rPr>
          <w:rFonts w:hint="eastAsia" w:ascii="宋体" w:hAnsi="宋体" w:cs="宋体"/>
          <w:spacing w:val="6"/>
          <w:kern w:val="0"/>
          <w:szCs w:val="21"/>
          <w:u w:val="single"/>
        </w:rPr>
        <w:t xml:space="preserve"> （企业名称）</w:t>
      </w:r>
      <w:r>
        <w:rPr>
          <w:rFonts w:hint="eastAsia" w:ascii="宋体" w:hAnsi="宋体" w:cs="宋体"/>
          <w:spacing w:val="6"/>
          <w:kern w:val="0"/>
          <w:szCs w:val="21"/>
        </w:rPr>
        <w:t xml:space="preserve"> ，从业人员</w:t>
      </w:r>
      <w:r>
        <w:rPr>
          <w:rFonts w:hint="eastAsia" w:ascii="宋体" w:hAnsi="宋体" w:cs="宋体"/>
          <w:spacing w:val="6"/>
          <w:kern w:val="0"/>
          <w:szCs w:val="21"/>
          <w:u w:val="single"/>
        </w:rPr>
        <w:t xml:space="preserve">   </w:t>
      </w:r>
      <w:r>
        <w:rPr>
          <w:rFonts w:hint="eastAsia" w:ascii="宋体" w:hAnsi="宋体" w:cs="宋体"/>
          <w:spacing w:val="6"/>
          <w:kern w:val="0"/>
          <w:szCs w:val="21"/>
        </w:rPr>
        <w:t>人，营业收入为</w:t>
      </w:r>
      <w:r>
        <w:rPr>
          <w:rFonts w:hint="eastAsia" w:ascii="宋体" w:hAnsi="宋体" w:cs="宋体"/>
          <w:spacing w:val="6"/>
          <w:kern w:val="0"/>
          <w:szCs w:val="21"/>
          <w:u w:val="single"/>
        </w:rPr>
        <w:t xml:space="preserve">   </w:t>
      </w:r>
      <w:r>
        <w:rPr>
          <w:rFonts w:hint="eastAsia" w:ascii="宋体" w:hAnsi="宋体" w:cs="宋体"/>
          <w:spacing w:val="6"/>
          <w:kern w:val="0"/>
          <w:szCs w:val="21"/>
        </w:rPr>
        <w:t>万元，资产总额为</w:t>
      </w:r>
      <w:r>
        <w:rPr>
          <w:rFonts w:hint="eastAsia" w:ascii="宋体" w:hAnsi="宋体" w:cs="宋体"/>
          <w:spacing w:val="6"/>
          <w:kern w:val="0"/>
          <w:szCs w:val="21"/>
          <w:u w:val="single"/>
        </w:rPr>
        <w:t xml:space="preserve">    </w:t>
      </w:r>
      <w:r>
        <w:rPr>
          <w:rFonts w:hint="eastAsia" w:ascii="宋体" w:hAnsi="宋体" w:cs="宋体"/>
          <w:spacing w:val="6"/>
          <w:kern w:val="0"/>
          <w:szCs w:val="21"/>
        </w:rPr>
        <w:t>万元</w:t>
      </w:r>
      <w:r>
        <w:rPr>
          <w:rFonts w:hint="eastAsia" w:ascii="宋体" w:hAnsi="宋体" w:cs="宋体"/>
          <w:spacing w:val="6"/>
          <w:kern w:val="0"/>
          <w:szCs w:val="21"/>
          <w:vertAlign w:val="superscript"/>
        </w:rPr>
        <w:t>1</w:t>
      </w:r>
      <w:r>
        <w:rPr>
          <w:rFonts w:hint="eastAsia" w:ascii="宋体" w:hAnsi="宋体" w:cs="宋体"/>
          <w:spacing w:val="6"/>
          <w:kern w:val="0"/>
          <w:szCs w:val="21"/>
        </w:rPr>
        <w:t xml:space="preserve"> ，属于</w:t>
      </w:r>
      <w:r>
        <w:rPr>
          <w:rFonts w:hint="eastAsia" w:ascii="宋体" w:hAnsi="宋体" w:cs="宋体"/>
          <w:spacing w:val="6"/>
          <w:kern w:val="0"/>
          <w:szCs w:val="21"/>
          <w:u w:val="single"/>
        </w:rPr>
        <w:t xml:space="preserve"> （中型企业、小型企业、微型企业） </w:t>
      </w:r>
      <w:r>
        <w:rPr>
          <w:rFonts w:hint="eastAsia" w:ascii="宋体" w:hAnsi="宋体" w:cs="宋体"/>
          <w:spacing w:val="6"/>
          <w:kern w:val="0"/>
          <w:szCs w:val="21"/>
        </w:rPr>
        <w:t>；</w:t>
      </w:r>
    </w:p>
    <w:p>
      <w:pPr>
        <w:widowControl/>
        <w:adjustRightInd w:val="0"/>
        <w:snapToGrid w:val="0"/>
        <w:spacing w:line="360" w:lineRule="auto"/>
        <w:ind w:firstLine="444" w:firstLineChars="200"/>
        <w:rPr>
          <w:rFonts w:hint="eastAsia" w:ascii="宋体" w:hAnsi="宋体" w:cs="宋体"/>
          <w:spacing w:val="6"/>
          <w:kern w:val="0"/>
          <w:szCs w:val="21"/>
        </w:rPr>
      </w:pPr>
      <w:r>
        <w:rPr>
          <w:rFonts w:hint="eastAsia" w:ascii="宋体" w:hAnsi="宋体" w:cs="宋体"/>
          <w:spacing w:val="6"/>
          <w:kern w:val="0"/>
          <w:szCs w:val="21"/>
        </w:rPr>
        <w:t>2.</w:t>
      </w:r>
      <w:r>
        <w:rPr>
          <w:rFonts w:hint="eastAsia" w:ascii="宋体" w:hAnsi="宋体" w:cs="宋体"/>
          <w:spacing w:val="6"/>
          <w:kern w:val="0"/>
          <w:szCs w:val="21"/>
          <w:u w:val="single"/>
        </w:rPr>
        <w:t xml:space="preserve"> （标的名称） </w:t>
      </w:r>
      <w:r>
        <w:rPr>
          <w:rFonts w:hint="eastAsia" w:ascii="宋体" w:hAnsi="宋体" w:cs="宋体"/>
          <w:spacing w:val="6"/>
          <w:kern w:val="0"/>
          <w:szCs w:val="21"/>
        </w:rPr>
        <w:t>，属于</w:t>
      </w:r>
      <w:r>
        <w:rPr>
          <w:rFonts w:hint="eastAsia" w:ascii="宋体" w:hAnsi="宋体" w:cs="宋体"/>
          <w:spacing w:val="6"/>
          <w:kern w:val="0"/>
          <w:szCs w:val="21"/>
          <w:u w:val="single"/>
        </w:rPr>
        <w:t xml:space="preserve"> （采购文件中明确的所属行业） </w:t>
      </w:r>
      <w:r>
        <w:rPr>
          <w:rFonts w:hint="eastAsia" w:ascii="宋体" w:hAnsi="宋体" w:cs="宋体"/>
          <w:spacing w:val="6"/>
          <w:kern w:val="0"/>
          <w:szCs w:val="21"/>
        </w:rPr>
        <w:t>；承建（承接）企业为</w:t>
      </w:r>
      <w:r>
        <w:rPr>
          <w:rFonts w:hint="eastAsia" w:ascii="宋体" w:hAnsi="宋体" w:cs="宋体"/>
          <w:spacing w:val="6"/>
          <w:kern w:val="0"/>
          <w:szCs w:val="21"/>
          <w:u w:val="single"/>
        </w:rPr>
        <w:t xml:space="preserve"> （企业名称） </w:t>
      </w:r>
      <w:r>
        <w:rPr>
          <w:rFonts w:hint="eastAsia" w:ascii="宋体" w:hAnsi="宋体" w:cs="宋体"/>
          <w:spacing w:val="6"/>
          <w:kern w:val="0"/>
          <w:szCs w:val="21"/>
        </w:rPr>
        <w:t>，从业人员</w:t>
      </w:r>
      <w:r>
        <w:rPr>
          <w:rFonts w:hint="eastAsia" w:ascii="宋体" w:hAnsi="宋体" w:cs="宋体"/>
          <w:spacing w:val="6"/>
          <w:kern w:val="0"/>
          <w:szCs w:val="21"/>
          <w:u w:val="single"/>
        </w:rPr>
        <w:t xml:space="preserve">     </w:t>
      </w:r>
      <w:r>
        <w:rPr>
          <w:rFonts w:hint="eastAsia" w:ascii="宋体" w:hAnsi="宋体" w:cs="宋体"/>
          <w:spacing w:val="6"/>
          <w:kern w:val="0"/>
          <w:szCs w:val="21"/>
        </w:rPr>
        <w:t>人，营业收入为</w:t>
      </w:r>
      <w:r>
        <w:rPr>
          <w:rFonts w:hint="eastAsia" w:ascii="宋体" w:hAnsi="宋体" w:cs="宋体"/>
          <w:spacing w:val="6"/>
          <w:kern w:val="0"/>
          <w:szCs w:val="21"/>
          <w:u w:val="single"/>
        </w:rPr>
        <w:t xml:space="preserve">   </w:t>
      </w:r>
      <w:r>
        <w:rPr>
          <w:rFonts w:hint="eastAsia" w:ascii="宋体" w:hAnsi="宋体" w:cs="宋体"/>
          <w:spacing w:val="6"/>
          <w:kern w:val="0"/>
          <w:szCs w:val="21"/>
        </w:rPr>
        <w:t>万元，资产总额为</w:t>
      </w:r>
      <w:r>
        <w:rPr>
          <w:rFonts w:hint="eastAsia" w:ascii="宋体" w:hAnsi="宋体" w:cs="宋体"/>
          <w:spacing w:val="6"/>
          <w:kern w:val="0"/>
          <w:szCs w:val="21"/>
          <w:u w:val="single"/>
        </w:rPr>
        <w:t xml:space="preserve">   </w:t>
      </w:r>
      <w:r>
        <w:rPr>
          <w:rFonts w:hint="eastAsia" w:ascii="宋体" w:hAnsi="宋体" w:cs="宋体"/>
          <w:spacing w:val="6"/>
          <w:kern w:val="0"/>
          <w:szCs w:val="21"/>
        </w:rPr>
        <w:t>万元，属于</w:t>
      </w:r>
      <w:r>
        <w:rPr>
          <w:rFonts w:hint="eastAsia" w:ascii="宋体" w:hAnsi="宋体" w:cs="宋体"/>
          <w:spacing w:val="6"/>
          <w:kern w:val="0"/>
          <w:szCs w:val="21"/>
          <w:u w:val="single"/>
        </w:rPr>
        <w:t xml:space="preserve"> （中型企业、小型企业、微型企业） </w:t>
      </w:r>
      <w:r>
        <w:rPr>
          <w:rFonts w:hint="eastAsia" w:ascii="宋体" w:hAnsi="宋体" w:cs="宋体"/>
          <w:spacing w:val="6"/>
          <w:kern w:val="0"/>
          <w:szCs w:val="21"/>
        </w:rPr>
        <w:t>；</w:t>
      </w:r>
    </w:p>
    <w:p>
      <w:pPr>
        <w:widowControl/>
        <w:adjustRightInd w:val="0"/>
        <w:snapToGrid w:val="0"/>
        <w:spacing w:line="360" w:lineRule="auto"/>
        <w:ind w:firstLine="444" w:firstLineChars="200"/>
        <w:rPr>
          <w:rFonts w:hint="eastAsia" w:ascii="宋体" w:hAnsi="宋体" w:cs="宋体"/>
          <w:spacing w:val="6"/>
          <w:kern w:val="0"/>
          <w:szCs w:val="21"/>
        </w:rPr>
      </w:pPr>
      <w:r>
        <w:rPr>
          <w:rFonts w:hint="eastAsia" w:ascii="宋体" w:hAnsi="宋体" w:cs="宋体"/>
          <w:spacing w:val="6"/>
          <w:kern w:val="0"/>
          <w:szCs w:val="21"/>
        </w:rPr>
        <w:t>……</w:t>
      </w:r>
    </w:p>
    <w:p>
      <w:pPr>
        <w:widowControl/>
        <w:adjustRightInd w:val="0"/>
        <w:snapToGrid w:val="0"/>
        <w:spacing w:line="360" w:lineRule="auto"/>
        <w:ind w:firstLine="444" w:firstLineChars="200"/>
        <w:rPr>
          <w:rFonts w:hint="eastAsia" w:ascii="宋体" w:hAnsi="宋体" w:cs="宋体"/>
          <w:spacing w:val="6"/>
          <w:kern w:val="0"/>
          <w:szCs w:val="21"/>
        </w:rPr>
      </w:pPr>
      <w:r>
        <w:rPr>
          <w:rFonts w:hint="eastAsia" w:ascii="宋体" w:hAnsi="宋体" w:cs="宋体"/>
          <w:spacing w:val="6"/>
          <w:kern w:val="0"/>
          <w:szCs w:val="21"/>
        </w:rPr>
        <w:t>以上企业，不属于大企业的分支机构，不存在控股股东为大企业的情形，也不存在与大企业的负责人为同一人的情形。</w:t>
      </w:r>
    </w:p>
    <w:p>
      <w:pPr>
        <w:widowControl/>
        <w:adjustRightInd w:val="0"/>
        <w:snapToGrid w:val="0"/>
        <w:spacing w:line="360" w:lineRule="auto"/>
        <w:ind w:firstLine="444" w:firstLineChars="200"/>
        <w:rPr>
          <w:rFonts w:hint="eastAsia" w:ascii="宋体" w:hAnsi="宋体" w:cs="宋体"/>
          <w:spacing w:val="6"/>
          <w:kern w:val="0"/>
          <w:szCs w:val="21"/>
        </w:rPr>
      </w:pPr>
      <w:r>
        <w:rPr>
          <w:rFonts w:hint="eastAsia" w:ascii="宋体" w:hAnsi="宋体" w:cs="宋体"/>
          <w:spacing w:val="6"/>
          <w:kern w:val="0"/>
          <w:szCs w:val="21"/>
        </w:rPr>
        <w:t>本企业对上述声明内容的真实性负责。如有虚假，将依法承担相应责任。</w:t>
      </w:r>
    </w:p>
    <w:p>
      <w:pPr>
        <w:widowControl/>
        <w:adjustRightInd w:val="0"/>
        <w:snapToGrid w:val="0"/>
        <w:spacing w:line="360" w:lineRule="auto"/>
        <w:ind w:firstLine="444" w:firstLineChars="200"/>
        <w:rPr>
          <w:rFonts w:hint="eastAsia" w:ascii="宋体" w:hAnsi="宋体" w:cs="宋体"/>
          <w:spacing w:val="6"/>
          <w:kern w:val="0"/>
          <w:szCs w:val="21"/>
        </w:rPr>
      </w:pPr>
    </w:p>
    <w:p>
      <w:pPr>
        <w:widowControl/>
        <w:adjustRightInd w:val="0"/>
        <w:snapToGrid w:val="0"/>
        <w:spacing w:line="360" w:lineRule="auto"/>
        <w:ind w:firstLine="444" w:firstLineChars="200"/>
        <w:rPr>
          <w:rFonts w:hint="eastAsia" w:ascii="宋体" w:hAnsi="宋体" w:cs="宋体"/>
          <w:spacing w:val="6"/>
          <w:kern w:val="0"/>
          <w:szCs w:val="21"/>
        </w:rPr>
      </w:pPr>
      <w:r>
        <w:rPr>
          <w:rFonts w:hint="eastAsia" w:ascii="宋体" w:hAnsi="宋体" w:cs="宋体"/>
          <w:spacing w:val="6"/>
          <w:kern w:val="0"/>
          <w:szCs w:val="21"/>
        </w:rPr>
        <w:t>企业名称（盖章）：</w:t>
      </w:r>
    </w:p>
    <w:p>
      <w:pPr>
        <w:widowControl/>
        <w:adjustRightInd w:val="0"/>
        <w:snapToGrid w:val="0"/>
        <w:spacing w:line="360" w:lineRule="auto"/>
        <w:ind w:firstLine="444" w:firstLineChars="200"/>
        <w:rPr>
          <w:rFonts w:hint="eastAsia" w:ascii="宋体" w:hAnsi="宋体" w:cs="宋体"/>
          <w:spacing w:val="6"/>
          <w:kern w:val="0"/>
          <w:szCs w:val="21"/>
        </w:rPr>
      </w:pPr>
      <w:r>
        <w:rPr>
          <w:rFonts w:hint="eastAsia" w:ascii="宋体" w:hAnsi="宋体" w:cs="宋体"/>
          <w:spacing w:val="6"/>
          <w:kern w:val="0"/>
          <w:szCs w:val="21"/>
        </w:rPr>
        <w:t>日 期：</w:t>
      </w:r>
    </w:p>
    <w:p>
      <w:pPr>
        <w:pStyle w:val="19"/>
        <w:ind w:firstLine="444"/>
        <w:rPr>
          <w:rFonts w:hint="eastAsia" w:ascii="宋体" w:hAnsi="宋体" w:cs="宋体"/>
          <w:spacing w:val="6"/>
          <w:sz w:val="21"/>
          <w:szCs w:val="21"/>
        </w:rPr>
      </w:pPr>
    </w:p>
    <w:p>
      <w:pPr>
        <w:pStyle w:val="8"/>
        <w:rPr>
          <w:rFonts w:hint="eastAsia" w:ascii="宋体" w:hAnsi="宋体" w:cs="宋体"/>
          <w:spacing w:val="6"/>
          <w:sz w:val="21"/>
          <w:szCs w:val="21"/>
        </w:rPr>
      </w:pPr>
    </w:p>
    <w:p>
      <w:pPr>
        <w:pStyle w:val="8"/>
        <w:rPr>
          <w:rFonts w:hint="eastAsia" w:ascii="宋体" w:hAnsi="宋体" w:cs="宋体"/>
          <w:spacing w:val="6"/>
          <w:sz w:val="21"/>
          <w:szCs w:val="21"/>
        </w:rPr>
      </w:pPr>
    </w:p>
    <w:p>
      <w:pPr>
        <w:pStyle w:val="8"/>
        <w:rPr>
          <w:rFonts w:hint="eastAsia" w:ascii="宋体" w:hAnsi="宋体" w:cs="宋体"/>
          <w:spacing w:val="6"/>
          <w:sz w:val="21"/>
          <w:szCs w:val="21"/>
        </w:rPr>
      </w:pPr>
    </w:p>
    <w:p>
      <w:pPr>
        <w:pStyle w:val="8"/>
        <w:rPr>
          <w:rFonts w:hint="eastAsia" w:ascii="宋体" w:hAnsi="宋体" w:cs="宋体"/>
          <w:spacing w:val="6"/>
          <w:sz w:val="21"/>
          <w:szCs w:val="21"/>
        </w:rPr>
      </w:pPr>
    </w:p>
    <w:p>
      <w:pPr>
        <w:pStyle w:val="8"/>
        <w:rPr>
          <w:rFonts w:hint="eastAsia" w:ascii="宋体" w:hAnsi="宋体" w:cs="宋体"/>
          <w:spacing w:val="6"/>
          <w:sz w:val="21"/>
          <w:szCs w:val="21"/>
        </w:rPr>
      </w:pPr>
    </w:p>
    <w:p>
      <w:pPr>
        <w:pStyle w:val="8"/>
        <w:rPr>
          <w:rFonts w:hint="eastAsia" w:ascii="宋体" w:hAnsi="宋体" w:cs="宋体"/>
          <w:spacing w:val="6"/>
          <w:sz w:val="21"/>
          <w:szCs w:val="21"/>
        </w:rPr>
      </w:pPr>
    </w:p>
    <w:p>
      <w:pPr>
        <w:pStyle w:val="8"/>
        <w:rPr>
          <w:rFonts w:hint="eastAsia"/>
        </w:rPr>
      </w:pPr>
    </w:p>
    <w:p>
      <w:pPr>
        <w:widowControl/>
        <w:adjustRightInd w:val="0"/>
        <w:snapToGrid w:val="0"/>
        <w:spacing w:line="360" w:lineRule="auto"/>
        <w:ind w:firstLine="446" w:firstLineChars="200"/>
        <w:rPr>
          <w:rFonts w:hint="eastAsia" w:ascii="宋体" w:hAnsi="宋体" w:cs="宋体"/>
          <w:szCs w:val="21"/>
        </w:rPr>
      </w:pPr>
      <w:r>
        <w:rPr>
          <w:rFonts w:hint="eastAsia" w:ascii="宋体" w:hAnsi="宋体" w:cs="宋体"/>
          <w:b/>
          <w:bCs/>
          <w:spacing w:val="6"/>
          <w:kern w:val="0"/>
          <w:szCs w:val="21"/>
        </w:rPr>
        <w:t>注：</w:t>
      </w:r>
      <w:r>
        <w:rPr>
          <w:rFonts w:hint="eastAsia" w:ascii="宋体" w:hAnsi="宋体" w:cs="宋体"/>
          <w:spacing w:val="6"/>
          <w:kern w:val="0"/>
          <w:szCs w:val="21"/>
          <w:vertAlign w:val="superscript"/>
        </w:rPr>
        <w:t>1</w:t>
      </w:r>
      <w:r>
        <w:rPr>
          <w:rFonts w:hint="eastAsia" w:ascii="宋体" w:hAnsi="宋体" w:cs="宋体"/>
          <w:spacing w:val="6"/>
          <w:kern w:val="0"/>
          <w:szCs w:val="21"/>
        </w:rPr>
        <w:t>从业人员、营业收入、资产总额填报上一年度数据，无上一年度数据的新成立企业可不填报。</w:t>
      </w:r>
    </w:p>
    <w:p>
      <w:pPr>
        <w:outlineLvl w:val="9"/>
        <w:rPr>
          <w:rFonts w:ascii="黑体" w:hAnsi="仿宋" w:cs="宋体"/>
          <w:b w:val="0"/>
          <w:sz w:val="21"/>
          <w:szCs w:val="21"/>
        </w:rPr>
      </w:pPr>
      <w:r>
        <w:rPr>
          <w:rFonts w:hint="eastAsia" w:ascii="黑体" w:hAnsi="仿宋" w:cs="宋体"/>
          <w:b w:val="0"/>
          <w:sz w:val="21"/>
          <w:szCs w:val="21"/>
        </w:rPr>
        <w:br w:type="page"/>
      </w:r>
      <w:r>
        <w:rPr>
          <w:rFonts w:hint="eastAsia" w:ascii="黑体" w:hAnsi="仿宋" w:cs="宋体"/>
          <w:b w:val="0"/>
          <w:sz w:val="21"/>
          <w:szCs w:val="21"/>
        </w:rPr>
        <w:t>附件</w:t>
      </w:r>
      <w:r>
        <w:rPr>
          <w:rFonts w:hint="eastAsia" w:ascii="黑体" w:hAnsi="仿宋" w:cs="宋体"/>
          <w:b w:val="0"/>
          <w:sz w:val="21"/>
          <w:szCs w:val="21"/>
          <w:lang w:val="en-US" w:eastAsia="zh-CN"/>
        </w:rPr>
        <w:t>3</w:t>
      </w:r>
      <w:r>
        <w:rPr>
          <w:rFonts w:hint="eastAsia" w:ascii="黑体" w:hAnsi="仿宋" w:cs="宋体"/>
          <w:b w:val="0"/>
          <w:sz w:val="21"/>
          <w:szCs w:val="21"/>
        </w:rPr>
        <w:t>-3 符合特定资格条件证明材料复印件或者情况说明</w:t>
      </w:r>
      <w:bookmarkEnd w:id="85"/>
      <w:bookmarkEnd w:id="86"/>
    </w:p>
    <w:p>
      <w:pPr>
        <w:widowControl/>
        <w:adjustRightInd w:val="0"/>
        <w:snapToGrid w:val="0"/>
        <w:spacing w:line="360" w:lineRule="auto"/>
        <w:jc w:val="center"/>
        <w:rPr>
          <w:rFonts w:ascii="黑体" w:hAnsi="仿宋" w:eastAsia="黑体" w:cs="宋体"/>
          <w:b/>
          <w:sz w:val="28"/>
          <w:szCs w:val="28"/>
        </w:rPr>
      </w:pPr>
      <w:r>
        <w:rPr>
          <w:rFonts w:hint="eastAsia" w:ascii="黑体" w:hAnsi="仿宋" w:eastAsia="黑体" w:cs="宋体"/>
          <w:b/>
          <w:sz w:val="28"/>
          <w:szCs w:val="28"/>
        </w:rPr>
        <w:t>符合特定资格条件证明材料复印件或者情况说明</w:t>
      </w:r>
    </w:p>
    <w:p>
      <w:pPr>
        <w:pStyle w:val="39"/>
        <w:rPr>
          <w:rFonts w:hint="eastAsia" w:ascii="宋体" w:hAnsi="宋体" w:cs="宋体"/>
          <w:bCs w:val="0"/>
          <w:spacing w:val="0"/>
          <w:sz w:val="21"/>
          <w:szCs w:val="21"/>
        </w:rPr>
        <w:sectPr>
          <w:pgSz w:w="11906" w:h="16838"/>
          <w:pgMar w:top="1440" w:right="1588" w:bottom="1440" w:left="1588" w:header="851" w:footer="992" w:gutter="0"/>
          <w:pgNumType w:fmt="decimal"/>
          <w:cols w:space="720" w:num="1"/>
          <w:docGrid w:type="lines" w:linePitch="312" w:charSpace="0"/>
        </w:sectPr>
      </w:pPr>
    </w:p>
    <w:p>
      <w:pPr>
        <w:adjustRightInd w:val="0"/>
        <w:snapToGrid w:val="0"/>
        <w:spacing w:line="360" w:lineRule="auto"/>
        <w:outlineLvl w:val="9"/>
        <w:rPr>
          <w:rFonts w:hint="eastAsia" w:ascii="黑体" w:hAnsi="仿宋" w:eastAsia="黑体" w:cs="宋体"/>
          <w:bCs/>
          <w:kern w:val="0"/>
          <w:szCs w:val="21"/>
        </w:rPr>
      </w:pPr>
      <w:r>
        <w:rPr>
          <w:rFonts w:hint="eastAsia" w:ascii="黑体" w:hAnsi="仿宋" w:eastAsia="黑体" w:cs="宋体"/>
          <w:bCs/>
          <w:kern w:val="0"/>
          <w:szCs w:val="21"/>
        </w:rPr>
        <w:t>附件</w:t>
      </w:r>
      <w:r>
        <w:rPr>
          <w:rFonts w:hint="eastAsia" w:ascii="黑体" w:hAnsi="仿宋" w:eastAsia="黑体" w:cs="宋体"/>
          <w:bCs/>
          <w:kern w:val="0"/>
          <w:szCs w:val="21"/>
          <w:lang w:val="en-US" w:eastAsia="zh-CN"/>
        </w:rPr>
        <w:t>3</w:t>
      </w:r>
      <w:r>
        <w:rPr>
          <w:rFonts w:hint="eastAsia" w:ascii="黑体" w:hAnsi="仿宋" w:eastAsia="黑体" w:cs="宋体"/>
          <w:bCs/>
          <w:kern w:val="0"/>
          <w:szCs w:val="21"/>
        </w:rPr>
        <w:t>-4：联合体协议（格式）</w:t>
      </w:r>
    </w:p>
    <w:p>
      <w:pPr>
        <w:adjustRightInd w:val="0"/>
        <w:snapToGrid w:val="0"/>
        <w:spacing w:line="360" w:lineRule="auto"/>
        <w:jc w:val="center"/>
        <w:rPr>
          <w:rFonts w:hint="eastAsia" w:ascii="宋体" w:hAnsi="宋体" w:cs="宋体"/>
          <w:b/>
          <w:bCs/>
          <w:sz w:val="28"/>
          <w:szCs w:val="28"/>
        </w:rPr>
      </w:pPr>
      <w:r>
        <w:rPr>
          <w:rFonts w:hint="eastAsia" w:ascii="宋体" w:hAnsi="宋体" w:cs="宋体"/>
          <w:b/>
          <w:sz w:val="28"/>
          <w:szCs w:val="28"/>
        </w:rPr>
        <w:t xml:space="preserve">      联合体协议(格式)</w:t>
      </w:r>
    </w:p>
    <w:p>
      <w:pPr>
        <w:adjustRightInd w:val="0"/>
        <w:snapToGrid w:val="0"/>
        <w:spacing w:line="360" w:lineRule="auto"/>
        <w:rPr>
          <w:rFonts w:hint="eastAsia" w:ascii="宋体" w:hAnsi="宋体" w:cs="宋体"/>
          <w:sz w:val="24"/>
          <w:szCs w:val="21"/>
        </w:rPr>
      </w:pPr>
    </w:p>
    <w:p>
      <w:pPr>
        <w:adjustRightInd w:val="0"/>
        <w:snapToGrid w:val="0"/>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(采购人或采购代理机构)：</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经研究，我们决定自愿组成联合体共同申请参加</w:t>
      </w:r>
      <w:r>
        <w:rPr>
          <w:rFonts w:hint="eastAsia" w:ascii="宋体" w:hAnsi="宋体" w:cs="宋体"/>
          <w:szCs w:val="21"/>
          <w:u w:val="single"/>
        </w:rPr>
        <w:t xml:space="preserve">        </w:t>
      </w:r>
      <w:r>
        <w:rPr>
          <w:rFonts w:hint="eastAsia" w:ascii="宋体" w:hAnsi="宋体" w:cs="宋体"/>
          <w:szCs w:val="21"/>
        </w:rPr>
        <w:t>（项目名称）项目</w:t>
      </w:r>
      <w:r>
        <w:rPr>
          <w:rFonts w:hint="eastAsia" w:ascii="宋体" w:hAnsi="宋体" w:cs="宋体"/>
          <w:szCs w:val="21"/>
          <w:u w:val="single"/>
        </w:rPr>
        <w:t xml:space="preserve">        </w:t>
      </w:r>
      <w:r>
        <w:rPr>
          <w:rFonts w:hint="eastAsia" w:ascii="宋体" w:hAnsi="宋体" w:cs="宋体"/>
          <w:szCs w:val="21"/>
        </w:rPr>
        <w:t>（政府采购编号、采购代理编号）的竞争性磋商。现就联合体事宜订立如下协议：</w:t>
      </w:r>
    </w:p>
    <w:p>
      <w:pPr>
        <w:adjustRightInd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一、联合体基本信息：</w:t>
      </w:r>
      <w:r>
        <w:rPr>
          <w:rFonts w:hint="eastAsia" w:ascii="宋体" w:hAnsi="宋体" w:cs="宋体"/>
          <w:szCs w:val="21"/>
          <w:u w:val="single"/>
        </w:rPr>
        <w:t xml:space="preserve">                                  </w:t>
      </w:r>
      <w:r>
        <w:rPr>
          <w:rFonts w:hint="eastAsia" w:ascii="宋体" w:hAnsi="宋体" w:cs="宋体"/>
          <w:szCs w:val="21"/>
        </w:rPr>
        <w:t>（各方公司名称、地址、营业执照、法定代表人姓名）。</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二、</w:t>
      </w:r>
      <w:r>
        <w:rPr>
          <w:rFonts w:hint="eastAsia" w:ascii="宋体" w:hAnsi="宋体" w:cs="宋体"/>
          <w:szCs w:val="21"/>
          <w:u w:val="single"/>
        </w:rPr>
        <w:t xml:space="preserve">         </w:t>
      </w:r>
      <w:r>
        <w:rPr>
          <w:rFonts w:hint="eastAsia" w:ascii="宋体" w:hAnsi="宋体" w:cs="宋体"/>
          <w:szCs w:val="21"/>
        </w:rPr>
        <w:t>（某成员单位名称）为</w:t>
      </w:r>
      <w:r>
        <w:rPr>
          <w:rFonts w:hint="eastAsia" w:ascii="宋体" w:hAnsi="宋体" w:cs="宋体"/>
          <w:szCs w:val="21"/>
          <w:u w:val="single"/>
        </w:rPr>
        <w:t xml:space="preserve">         </w:t>
      </w:r>
      <w:r>
        <w:rPr>
          <w:rFonts w:hint="eastAsia" w:ascii="宋体" w:hAnsi="宋体" w:cs="宋体"/>
          <w:szCs w:val="21"/>
        </w:rPr>
        <w:t>（联合体名称）牵头人。</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四．联合体将严格按照磋商文件的各项要求，递交响应文件，参加磋商，履行成交义务和成交后的合同，并向采购人承担连带责任。</w:t>
      </w:r>
    </w:p>
    <w:p>
      <w:pPr>
        <w:adjustRightInd w:val="0"/>
        <w:snapToGrid w:val="0"/>
        <w:spacing w:line="360" w:lineRule="auto"/>
        <w:ind w:firstLine="420" w:firstLineChars="200"/>
        <w:rPr>
          <w:rFonts w:hint="eastAsia" w:ascii="宋体" w:hAnsi="宋体" w:cs="宋体"/>
          <w:szCs w:val="21"/>
          <w:u w:val="single"/>
        </w:rPr>
      </w:pPr>
      <w:r>
        <w:rPr>
          <w:rFonts w:hint="eastAsia" w:ascii="宋体" w:hAnsi="宋体" w:cs="宋体"/>
          <w:szCs w:val="21"/>
        </w:rPr>
        <w:t>五、联合体各成员单位内部的职责分工如下：</w:t>
      </w:r>
      <w:r>
        <w:rPr>
          <w:rFonts w:hint="eastAsia" w:ascii="宋体" w:hAnsi="宋体" w:cs="宋体"/>
          <w:szCs w:val="21"/>
          <w:u w:val="single"/>
        </w:rPr>
        <w:t xml:space="preserve">               </w:t>
      </w:r>
      <w:r>
        <w:rPr>
          <w:rFonts w:hint="eastAsia" w:ascii="宋体" w:hAnsi="宋体" w:cs="宋体"/>
          <w:szCs w:val="21"/>
        </w:rPr>
        <w:t>。按照本条上述分工，联合体成员单位各自所承担的合同工作量比例如下：</w:t>
      </w:r>
      <w:r>
        <w:rPr>
          <w:rFonts w:hint="eastAsia" w:ascii="宋体" w:hAnsi="宋体" w:cs="宋体"/>
          <w:szCs w:val="21"/>
          <w:u w:val="single"/>
        </w:rPr>
        <w:t xml:space="preserve">               </w:t>
      </w:r>
      <w:r>
        <w:rPr>
          <w:rFonts w:hint="eastAsia" w:ascii="宋体" w:hAnsi="宋体" w:cs="宋体"/>
          <w:szCs w:val="21"/>
        </w:rPr>
        <w:t>。</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六、本协议书自签署之日起生效，合同履行完毕后自动失效。</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七、本协议书一式</w:t>
      </w:r>
      <w:r>
        <w:rPr>
          <w:rFonts w:hint="eastAsia" w:ascii="宋体" w:hAnsi="宋体" w:cs="宋体"/>
          <w:szCs w:val="21"/>
          <w:u w:val="single"/>
        </w:rPr>
        <w:t xml:space="preserve">       </w:t>
      </w:r>
      <w:r>
        <w:rPr>
          <w:rFonts w:hint="eastAsia" w:ascii="宋体" w:hAnsi="宋体" w:cs="宋体"/>
          <w:szCs w:val="21"/>
        </w:rPr>
        <w:t>份，联合体成员和采购人各执一份。</w:t>
      </w: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r>
        <w:rPr>
          <w:rFonts w:hint="eastAsia" w:ascii="宋体" w:hAnsi="宋体" w:cs="宋体"/>
          <w:szCs w:val="21"/>
        </w:rPr>
        <w:t>牵头人名称（盖单位章）：</w:t>
      </w:r>
    </w:p>
    <w:p>
      <w:pPr>
        <w:adjustRightInd w:val="0"/>
        <w:snapToGrid w:val="0"/>
        <w:spacing w:line="360" w:lineRule="auto"/>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r>
        <w:rPr>
          <w:rFonts w:hint="eastAsia" w:ascii="宋体" w:hAnsi="宋体" w:cs="宋体"/>
          <w:szCs w:val="21"/>
        </w:rPr>
        <w:t>成员二名称（盖单位章）：</w:t>
      </w:r>
    </w:p>
    <w:p>
      <w:pPr>
        <w:adjustRightInd w:val="0"/>
        <w:snapToGrid w:val="0"/>
        <w:spacing w:line="360" w:lineRule="auto"/>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adjustRightInd w:val="0"/>
        <w:snapToGrid w:val="0"/>
        <w:spacing w:line="360" w:lineRule="auto"/>
        <w:rPr>
          <w:rFonts w:hint="eastAsia" w:ascii="宋体" w:hAnsi="宋体" w:cs="宋体"/>
          <w:b/>
          <w:szCs w:val="21"/>
        </w:rPr>
      </w:pPr>
    </w:p>
    <w:p>
      <w:pPr>
        <w:adjustRightInd w:val="0"/>
        <w:snapToGrid w:val="0"/>
        <w:spacing w:line="360" w:lineRule="auto"/>
        <w:rPr>
          <w:rFonts w:hint="eastAsia" w:ascii="宋体" w:hAnsi="宋体" w:cs="宋体"/>
          <w:szCs w:val="21"/>
        </w:rPr>
      </w:pPr>
      <w:r>
        <w:rPr>
          <w:rFonts w:hint="eastAsia" w:ascii="宋体" w:hAnsi="宋体" w:cs="宋体"/>
          <w:szCs w:val="21"/>
        </w:rPr>
        <w:t>说明：1、本协议书由委托代理人签字的，应附法定代表人签字的授权委托书。</w:t>
      </w:r>
    </w:p>
    <w:p>
      <w:pPr>
        <w:adjustRightInd w:val="0"/>
        <w:snapToGrid w:val="0"/>
        <w:spacing w:line="360" w:lineRule="auto"/>
        <w:rPr>
          <w:rFonts w:hint="eastAsia" w:asciiTheme="majorEastAsia" w:hAnsiTheme="majorEastAsia" w:eastAsiaTheme="majorEastAsia" w:cstheme="majorEastAsia"/>
          <w:b/>
          <w:color w:val="auto"/>
          <w:sz w:val="32"/>
          <w:szCs w:val="32"/>
        </w:rPr>
      </w:pPr>
    </w:p>
    <w:p>
      <w:pPr>
        <w:adjustRightInd w:val="0"/>
        <w:snapToGrid w:val="0"/>
        <w:jc w:val="center"/>
        <w:rPr>
          <w:rFonts w:hint="eastAsia" w:asciiTheme="majorEastAsia" w:hAnsiTheme="majorEastAsia" w:eastAsiaTheme="majorEastAsia" w:cstheme="majorEastAsia"/>
          <w:b/>
          <w:color w:val="auto"/>
          <w:sz w:val="32"/>
          <w:szCs w:val="32"/>
        </w:rPr>
      </w:pP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spacing w:line="360" w:lineRule="auto"/>
        <w:jc w:val="center"/>
        <w:rPr>
          <w:rFonts w:hint="eastAsia" w:ascii="华文中宋" w:hAnsi="华文中宋" w:eastAsia="华文中宋"/>
          <w:bCs/>
          <w:sz w:val="72"/>
          <w:szCs w:val="72"/>
        </w:rPr>
      </w:pPr>
      <w:r>
        <w:rPr>
          <w:rFonts w:hint="eastAsia" w:ascii="华文中宋" w:hAnsi="华文中宋" w:eastAsia="华文中宋"/>
          <w:bCs/>
          <w:sz w:val="72"/>
          <w:szCs w:val="72"/>
        </w:rPr>
        <w:t>竞争性磋商</w:t>
      </w:r>
    </w:p>
    <w:p>
      <w:pPr>
        <w:adjustRightInd w:val="0"/>
        <w:snapToGrid w:val="0"/>
        <w:spacing w:line="360" w:lineRule="auto"/>
        <w:jc w:val="center"/>
        <w:rPr>
          <w:rFonts w:ascii="宋体" w:hAnsi="宋体"/>
          <w:b/>
          <w:bCs/>
          <w:sz w:val="84"/>
          <w:szCs w:val="84"/>
        </w:rPr>
      </w:pPr>
      <w:r>
        <w:rPr>
          <w:rFonts w:hint="eastAsia" w:ascii="宋体" w:hAnsi="宋体"/>
          <w:b/>
          <w:bCs/>
          <w:sz w:val="84"/>
          <w:szCs w:val="84"/>
        </w:rPr>
        <w:t>响 应 文 件</w:t>
      </w:r>
    </w:p>
    <w:p>
      <w:pPr>
        <w:keepNext/>
        <w:keepLines/>
        <w:adjustRightInd w:val="0"/>
        <w:snapToGrid w:val="0"/>
        <w:jc w:val="center"/>
        <w:rPr>
          <w:rFonts w:hint="eastAsia" w:ascii="黑体" w:hAnsi="黑体" w:eastAsia="黑体"/>
          <w:sz w:val="44"/>
          <w:szCs w:val="44"/>
        </w:rPr>
      </w:pPr>
      <w:bookmarkStart w:id="87" w:name="_Toc8247"/>
      <w:bookmarkStart w:id="88" w:name="_Toc28561"/>
    </w:p>
    <w:p>
      <w:pPr>
        <w:pStyle w:val="5"/>
        <w:adjustRightInd w:val="0"/>
        <w:snapToGrid w:val="0"/>
        <w:jc w:val="center"/>
        <w:rPr>
          <w:rFonts w:ascii="黑体" w:hAnsi="黑体" w:eastAsia="黑体"/>
          <w:sz w:val="44"/>
          <w:szCs w:val="44"/>
        </w:rPr>
      </w:pPr>
      <w:bookmarkStart w:id="89" w:name="_Toc29703"/>
      <w:bookmarkStart w:id="90" w:name="_Toc1791"/>
      <w:r>
        <w:rPr>
          <w:rFonts w:hint="eastAsia" w:ascii="黑体" w:hAnsi="黑体" w:eastAsia="黑体"/>
          <w:sz w:val="44"/>
          <w:szCs w:val="44"/>
        </w:rPr>
        <w:t>第二部分 商务技术文件</w:t>
      </w:r>
      <w:bookmarkEnd w:id="87"/>
      <w:bookmarkEnd w:id="88"/>
      <w:bookmarkEnd w:id="89"/>
      <w:bookmarkEnd w:id="90"/>
    </w:p>
    <w:p>
      <w:pPr>
        <w:pStyle w:val="11"/>
        <w:adjustRightInd w:val="0"/>
        <w:snapToGrid w:val="0"/>
        <w:spacing w:line="360" w:lineRule="auto"/>
        <w:ind w:firstLine="1988" w:firstLineChars="660"/>
        <w:rPr>
          <w:rFonts w:hAnsi="宋体"/>
          <w:b/>
          <w:bCs/>
          <w:sz w:val="30"/>
          <w:szCs w:val="30"/>
        </w:rPr>
      </w:pPr>
    </w:p>
    <w:p>
      <w:pPr>
        <w:pStyle w:val="11"/>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r>
        <w:rPr>
          <w:rFonts w:hint="eastAsia" w:hAnsi="宋体"/>
          <w:b/>
          <w:bCs/>
          <w:sz w:val="30"/>
          <w:szCs w:val="30"/>
          <w:u w:val="single"/>
        </w:rPr>
        <w:t xml:space="preserve">                       </w:t>
      </w:r>
    </w:p>
    <w:p>
      <w:pPr>
        <w:pStyle w:val="11"/>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r>
        <w:rPr>
          <w:rFonts w:hint="eastAsia" w:hAnsi="宋体"/>
          <w:b/>
          <w:bCs/>
          <w:sz w:val="30"/>
          <w:szCs w:val="30"/>
          <w:u w:val="single"/>
        </w:rPr>
        <w:t xml:space="preserve">                       </w:t>
      </w:r>
    </w:p>
    <w:p>
      <w:pPr>
        <w:pStyle w:val="11"/>
        <w:adjustRightInd w:val="0"/>
        <w:snapToGrid w:val="0"/>
        <w:spacing w:line="360" w:lineRule="auto"/>
        <w:ind w:firstLine="1988" w:firstLineChars="660"/>
        <w:rPr>
          <w:rFonts w:hAnsi="宋体"/>
          <w:b/>
          <w:bCs/>
          <w:sz w:val="30"/>
          <w:szCs w:val="30"/>
          <w:u w:val="single"/>
        </w:rPr>
      </w:pPr>
      <w:r>
        <w:rPr>
          <w:rFonts w:hint="eastAsia" w:hAnsi="宋体"/>
          <w:b/>
          <w:bCs/>
          <w:sz w:val="30"/>
          <w:szCs w:val="30"/>
        </w:rPr>
        <w:t>政府采购编号:</w:t>
      </w:r>
      <w:r>
        <w:rPr>
          <w:rFonts w:hint="eastAsia" w:hAnsi="宋体"/>
          <w:b/>
          <w:bCs/>
          <w:sz w:val="30"/>
          <w:szCs w:val="30"/>
          <w:u w:val="single"/>
        </w:rPr>
        <w:t xml:space="preserve">                       </w:t>
      </w:r>
    </w:p>
    <w:p>
      <w:pPr>
        <w:pStyle w:val="11"/>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采购代理编号:</w:t>
      </w:r>
      <w:r>
        <w:rPr>
          <w:rFonts w:hint="eastAsia" w:hAnsi="宋体"/>
          <w:b/>
          <w:bCs/>
          <w:sz w:val="30"/>
          <w:szCs w:val="30"/>
          <w:u w:val="single"/>
        </w:rPr>
        <w:t xml:space="preserve">                       </w:t>
      </w:r>
    </w:p>
    <w:p>
      <w:pPr>
        <w:pStyle w:val="11"/>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采购代理机构：</w:t>
      </w:r>
      <w:r>
        <w:rPr>
          <w:rFonts w:hint="eastAsia" w:hAnsi="宋体"/>
          <w:b/>
          <w:bCs/>
          <w:sz w:val="30"/>
          <w:szCs w:val="30"/>
          <w:u w:val="single"/>
        </w:rPr>
        <w:t xml:space="preserve">                     </w:t>
      </w:r>
    </w:p>
    <w:p>
      <w:pPr>
        <w:adjustRightInd w:val="0"/>
        <w:snapToGrid w:val="0"/>
        <w:spacing w:line="360" w:lineRule="auto"/>
        <w:rPr>
          <w:rFonts w:ascii="宋体" w:hAnsi="宋体"/>
          <w:sz w:val="30"/>
          <w:szCs w:val="30"/>
        </w:rPr>
      </w:pPr>
    </w:p>
    <w:p>
      <w:pPr>
        <w:adjustRightInd w:val="0"/>
        <w:snapToGrid w:val="0"/>
        <w:spacing w:line="360" w:lineRule="auto"/>
        <w:rPr>
          <w:rFonts w:ascii="宋体" w:hAnsi="宋体"/>
          <w:sz w:val="30"/>
          <w:szCs w:val="30"/>
        </w:rPr>
      </w:pPr>
    </w:p>
    <w:p>
      <w:pPr>
        <w:adjustRightInd w:val="0"/>
        <w:snapToGrid w:val="0"/>
        <w:spacing w:line="360" w:lineRule="auto"/>
        <w:ind w:left="1273" w:leftChars="606" w:firstLine="2"/>
        <w:rPr>
          <w:rFonts w:ascii="宋体" w:hAnsi="宋体"/>
          <w:b/>
          <w:bCs/>
          <w:sz w:val="32"/>
          <w:szCs w:val="32"/>
          <w:u w:val="single"/>
        </w:rPr>
      </w:pPr>
      <w:r>
        <w:rPr>
          <w:rFonts w:hint="eastAsia" w:ascii="宋体" w:hAnsi="宋体"/>
          <w:b/>
          <w:bCs/>
          <w:sz w:val="32"/>
          <w:szCs w:val="32"/>
        </w:rPr>
        <w:t>供应商</w:t>
      </w:r>
      <w:r>
        <w:rPr>
          <w:rFonts w:hint="eastAsia" w:ascii="宋体" w:hAnsi="宋体"/>
          <w:b/>
          <w:bCs/>
          <w:sz w:val="32"/>
          <w:szCs w:val="32"/>
          <w:u w:val="single"/>
        </w:rPr>
        <w:t xml:space="preserve">                         </w:t>
      </w:r>
    </w:p>
    <w:p>
      <w:pPr>
        <w:adjustRightInd w:val="0"/>
        <w:snapToGrid w:val="0"/>
        <w:spacing w:line="360" w:lineRule="auto"/>
        <w:jc w:val="center"/>
        <w:rPr>
          <w:rFonts w:ascii="宋体" w:hAnsi="宋体"/>
          <w:sz w:val="32"/>
          <w:szCs w:val="32"/>
        </w:rPr>
      </w:pPr>
      <w:r>
        <w:rPr>
          <w:rFonts w:hint="eastAsia" w:ascii="宋体" w:hAnsi="宋体"/>
          <w:sz w:val="32"/>
          <w:szCs w:val="32"/>
        </w:rPr>
        <w:t>年  月  日</w:t>
      </w: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pacing w:before="120" w:beforeLines="50" w:after="0" w:line="360" w:lineRule="auto"/>
        <w:jc w:val="left"/>
        <w:outlineLvl w:val="9"/>
        <w:rPr>
          <w:rFonts w:ascii="黑体" w:hAnsi="黑体"/>
          <w:b w:val="0"/>
          <w:sz w:val="21"/>
          <w:szCs w:val="21"/>
        </w:rPr>
      </w:pPr>
      <w:r>
        <w:rPr>
          <w:rFonts w:hint="eastAsia" w:ascii="黑体" w:hAnsi="黑体"/>
          <w:b w:val="0"/>
          <w:sz w:val="21"/>
          <w:szCs w:val="21"/>
        </w:rPr>
        <w:t>索引表2 符合性审查索引表</w:t>
      </w:r>
    </w:p>
    <w:p>
      <w:pPr>
        <w:adjustRightInd w:val="0"/>
        <w:spacing w:before="120" w:beforeLines="50" w:line="360" w:lineRule="auto"/>
        <w:jc w:val="center"/>
        <w:rPr>
          <w:rFonts w:ascii="黑体" w:hAnsi="黑体" w:eastAsia="黑体"/>
          <w:b/>
          <w:sz w:val="28"/>
          <w:szCs w:val="28"/>
        </w:rPr>
      </w:pPr>
      <w:r>
        <w:rPr>
          <w:rFonts w:hint="eastAsia" w:ascii="黑体" w:hAnsi="黑体" w:eastAsia="黑体"/>
          <w:b/>
          <w:sz w:val="28"/>
          <w:szCs w:val="28"/>
        </w:rPr>
        <w:t>符合性审查索引表</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21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pPr>
              <w:adjustRightInd w:val="0"/>
              <w:snapToGrid w:val="0"/>
              <w:spacing w:before="120" w:beforeLines="50" w:line="360" w:lineRule="auto"/>
              <w:jc w:val="center"/>
              <w:rPr>
                <w:rFonts w:ascii="宋体" w:hAnsi="宋体"/>
                <w:b/>
                <w:kern w:val="0"/>
                <w:szCs w:val="21"/>
              </w:rPr>
            </w:pPr>
            <w:r>
              <w:rPr>
                <w:rFonts w:hint="eastAsia" w:ascii="宋体" w:hAnsi="宋体"/>
                <w:b/>
                <w:kern w:val="0"/>
                <w:szCs w:val="21"/>
              </w:rPr>
              <w:t>序号</w:t>
            </w:r>
          </w:p>
        </w:tc>
        <w:tc>
          <w:tcPr>
            <w:tcW w:w="1871" w:type="dxa"/>
            <w:tcBorders>
              <w:right w:val="single" w:color="auto" w:sz="4" w:space="0"/>
            </w:tcBorders>
            <w:noWrap w:val="0"/>
            <w:vAlign w:val="center"/>
          </w:tcPr>
          <w:p>
            <w:pPr>
              <w:adjustRightInd w:val="0"/>
              <w:snapToGrid w:val="0"/>
              <w:spacing w:before="120" w:beforeLines="50" w:line="360" w:lineRule="auto"/>
              <w:jc w:val="center"/>
              <w:rPr>
                <w:rFonts w:hint="eastAsia" w:ascii="宋体" w:hAnsi="宋体"/>
                <w:b/>
                <w:kern w:val="0"/>
                <w:szCs w:val="21"/>
              </w:rPr>
            </w:pPr>
            <w:r>
              <w:rPr>
                <w:rFonts w:hint="eastAsia" w:ascii="宋体" w:hAnsi="宋体"/>
                <w:b/>
                <w:kern w:val="0"/>
                <w:szCs w:val="21"/>
              </w:rPr>
              <w:t>磋商文件条款号</w:t>
            </w:r>
          </w:p>
        </w:tc>
        <w:tc>
          <w:tcPr>
            <w:tcW w:w="2410" w:type="dxa"/>
            <w:tcBorders>
              <w:left w:val="single" w:color="auto" w:sz="4" w:space="0"/>
            </w:tcBorders>
            <w:noWrap w:val="0"/>
            <w:vAlign w:val="center"/>
          </w:tcPr>
          <w:p>
            <w:pPr>
              <w:adjustRightInd w:val="0"/>
              <w:snapToGrid w:val="0"/>
              <w:spacing w:before="120" w:beforeLines="50" w:line="360" w:lineRule="auto"/>
              <w:jc w:val="center"/>
              <w:rPr>
                <w:rFonts w:hint="eastAsia" w:ascii="宋体" w:hAnsi="宋体"/>
                <w:b/>
                <w:kern w:val="0"/>
                <w:szCs w:val="21"/>
              </w:rPr>
            </w:pPr>
            <w:r>
              <w:rPr>
                <w:rFonts w:hint="eastAsia" w:ascii="宋体" w:hAnsi="宋体"/>
                <w:b/>
                <w:kern w:val="0"/>
                <w:szCs w:val="21"/>
              </w:rPr>
              <w:t>审查内容及标准</w:t>
            </w:r>
          </w:p>
        </w:tc>
        <w:tc>
          <w:tcPr>
            <w:tcW w:w="2268" w:type="dxa"/>
            <w:noWrap w:val="0"/>
            <w:vAlign w:val="center"/>
          </w:tcPr>
          <w:p>
            <w:pPr>
              <w:adjustRightInd w:val="0"/>
              <w:snapToGrid w:val="0"/>
              <w:spacing w:before="120" w:beforeLines="50" w:line="360" w:lineRule="auto"/>
              <w:jc w:val="center"/>
              <w:rPr>
                <w:rFonts w:ascii="宋体" w:hAnsi="宋体"/>
                <w:b/>
                <w:kern w:val="0"/>
                <w:szCs w:val="21"/>
              </w:rPr>
            </w:pPr>
            <w:r>
              <w:rPr>
                <w:rFonts w:hint="eastAsia" w:ascii="宋体" w:hAnsi="宋体"/>
                <w:b/>
                <w:kern w:val="0"/>
                <w:szCs w:val="21"/>
              </w:rPr>
              <w:t>磋商响应及证明材料</w:t>
            </w:r>
          </w:p>
        </w:tc>
        <w:tc>
          <w:tcPr>
            <w:tcW w:w="2109" w:type="dxa"/>
            <w:noWrap w:val="0"/>
            <w:vAlign w:val="center"/>
          </w:tcPr>
          <w:p>
            <w:pPr>
              <w:adjustRightInd w:val="0"/>
              <w:snapToGrid w:val="0"/>
              <w:spacing w:before="120" w:beforeLines="50" w:line="360" w:lineRule="auto"/>
              <w:jc w:val="center"/>
              <w:rPr>
                <w:rFonts w:ascii="宋体" w:hAnsi="宋体"/>
                <w:b/>
                <w:kern w:val="0"/>
                <w:sz w:val="20"/>
                <w:szCs w:val="21"/>
              </w:rPr>
            </w:pPr>
            <w:r>
              <w:rPr>
                <w:rFonts w:hint="eastAsia" w:ascii="宋体" w:hAnsi="宋体"/>
                <w:b/>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kern w:val="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789" w:type="dxa"/>
            <w:noWrap w:val="0"/>
            <w:vAlign w:val="top"/>
          </w:tcPr>
          <w:p>
            <w:pPr>
              <w:adjustRightInd w:val="0"/>
              <w:snapToGrid w:val="0"/>
              <w:spacing w:before="120" w:beforeLines="50" w:line="360" w:lineRule="auto"/>
              <w:jc w:val="center"/>
              <w:rPr>
                <w:rFonts w:ascii="宋体" w:hAnsi="宋体"/>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789" w:type="dxa"/>
            <w:noWrap w:val="0"/>
            <w:vAlign w:val="top"/>
          </w:tcPr>
          <w:p>
            <w:pPr>
              <w:adjustRightInd w:val="0"/>
              <w:snapToGrid w:val="0"/>
              <w:spacing w:before="120" w:beforeLines="50" w:line="360" w:lineRule="auto"/>
              <w:jc w:val="center"/>
              <w:rPr>
                <w:rFonts w:ascii="宋体" w:hAnsi="宋体"/>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89" w:type="dxa"/>
            <w:noWrap w:val="0"/>
            <w:vAlign w:val="top"/>
          </w:tcPr>
          <w:p>
            <w:pPr>
              <w:adjustRightInd w:val="0"/>
              <w:snapToGrid w:val="0"/>
              <w:spacing w:before="120" w:beforeLines="50" w:line="360" w:lineRule="auto"/>
              <w:jc w:val="center"/>
              <w:rPr>
                <w:rFonts w:ascii="宋体" w:hAnsi="宋体"/>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kern w:val="0"/>
                <w:sz w:val="20"/>
                <w:szCs w:val="21"/>
              </w:rPr>
            </w:pPr>
          </w:p>
        </w:tc>
      </w:tr>
    </w:tbl>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jc w:val="center"/>
        <w:outlineLvl w:val="2"/>
        <w:rPr>
          <w:rFonts w:hint="eastAsia" w:ascii="宋体" w:hAnsi="宋体" w:cs="宋体"/>
          <w:b/>
          <w:sz w:val="32"/>
          <w:szCs w:val="32"/>
        </w:rPr>
      </w:pPr>
      <w:bookmarkStart w:id="91" w:name="_Toc572"/>
      <w:r>
        <w:rPr>
          <w:rFonts w:hint="eastAsia" w:ascii="宋体" w:hAnsi="宋体" w:cs="宋体"/>
          <w:b/>
          <w:sz w:val="32"/>
          <w:szCs w:val="32"/>
          <w:lang w:eastAsia="zh-CN"/>
        </w:rPr>
        <w:t>四</w:t>
      </w:r>
      <w:r>
        <w:rPr>
          <w:rFonts w:hint="eastAsia" w:ascii="宋体" w:hAnsi="宋体" w:cs="宋体"/>
          <w:b/>
          <w:sz w:val="32"/>
          <w:szCs w:val="32"/>
        </w:rPr>
        <w:t>、技术/商务响应与偏离表</w:t>
      </w:r>
      <w:bookmarkEnd w:id="91"/>
    </w:p>
    <w:p>
      <w:pPr>
        <w:adjustRightInd w:val="0"/>
        <w:snapToGrid w:val="0"/>
        <w:ind w:firstLine="420" w:firstLineChars="200"/>
        <w:rPr>
          <w:rFonts w:hint="eastAsia" w:ascii="宋体" w:hAnsi="宋体" w:cs="宋体"/>
          <w:szCs w:val="21"/>
          <w:u w:val="single"/>
        </w:rPr>
      </w:pP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160"/>
        <w:gridCol w:w="7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jc w:val="center"/>
              <w:rPr>
                <w:rFonts w:hint="eastAsia" w:ascii="宋体" w:hAnsi="宋体" w:cs="宋体"/>
                <w:bCs/>
                <w:szCs w:val="21"/>
              </w:rPr>
            </w:pPr>
            <w:r>
              <w:rPr>
                <w:rFonts w:hint="eastAsia" w:ascii="宋体" w:hAnsi="宋体" w:cs="宋体"/>
                <w:bCs/>
                <w:szCs w:val="21"/>
              </w:rPr>
              <w:t>序号</w:t>
            </w:r>
          </w:p>
        </w:tc>
        <w:tc>
          <w:tcPr>
            <w:tcW w:w="1685"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磋商文件条目号</w:t>
            </w:r>
          </w:p>
        </w:tc>
        <w:tc>
          <w:tcPr>
            <w:tcW w:w="1948"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技术/商务条款</w:t>
            </w:r>
          </w:p>
        </w:tc>
        <w:tc>
          <w:tcPr>
            <w:tcW w:w="2600"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响应文件技术/商务条款</w:t>
            </w:r>
          </w:p>
        </w:tc>
        <w:tc>
          <w:tcPr>
            <w:tcW w:w="1160"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响应与偏离</w:t>
            </w:r>
          </w:p>
        </w:tc>
        <w:tc>
          <w:tcPr>
            <w:tcW w:w="720" w:type="dxa"/>
            <w:noWrap w:val="0"/>
            <w:vAlign w:val="center"/>
          </w:tcPr>
          <w:p>
            <w:pPr>
              <w:adjustRightInd w:val="0"/>
              <w:snapToGrid w:val="0"/>
              <w:jc w:val="center"/>
              <w:rPr>
                <w:rFonts w:hint="eastAsia" w:ascii="宋体" w:hAnsi="宋体" w:cs="宋体"/>
                <w:szCs w:val="21"/>
              </w:rPr>
            </w:pPr>
            <w:r>
              <w:rPr>
                <w:rFonts w:hint="eastAsia" w:ascii="宋体" w:hAnsi="宋体" w:cs="宋体"/>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szCs w:val="21"/>
              </w:rPr>
            </w:pPr>
          </w:p>
        </w:tc>
        <w:tc>
          <w:tcPr>
            <w:tcW w:w="1685" w:type="dxa"/>
            <w:noWrap w:val="0"/>
            <w:vAlign w:val="center"/>
          </w:tcPr>
          <w:p>
            <w:pPr>
              <w:adjustRightInd w:val="0"/>
              <w:snapToGrid w:val="0"/>
              <w:ind w:firstLine="420" w:firstLineChars="200"/>
              <w:jc w:val="center"/>
              <w:rPr>
                <w:rFonts w:hint="eastAsia" w:ascii="宋体" w:hAnsi="宋体" w:cs="宋体"/>
                <w:szCs w:val="21"/>
              </w:rPr>
            </w:pPr>
          </w:p>
        </w:tc>
        <w:tc>
          <w:tcPr>
            <w:tcW w:w="1948" w:type="dxa"/>
            <w:noWrap w:val="0"/>
            <w:vAlign w:val="center"/>
          </w:tcPr>
          <w:p>
            <w:pPr>
              <w:adjustRightInd w:val="0"/>
              <w:snapToGrid w:val="0"/>
              <w:ind w:firstLine="420" w:firstLineChars="200"/>
              <w:jc w:val="center"/>
              <w:rPr>
                <w:rFonts w:hint="eastAsia" w:ascii="宋体" w:hAnsi="宋体" w:cs="宋体"/>
                <w:szCs w:val="21"/>
              </w:rPr>
            </w:pPr>
          </w:p>
        </w:tc>
        <w:tc>
          <w:tcPr>
            <w:tcW w:w="2600" w:type="dxa"/>
            <w:noWrap w:val="0"/>
            <w:vAlign w:val="center"/>
          </w:tcPr>
          <w:p>
            <w:pPr>
              <w:adjustRightInd w:val="0"/>
              <w:snapToGrid w:val="0"/>
              <w:ind w:firstLine="420" w:firstLineChars="200"/>
              <w:jc w:val="center"/>
              <w:rPr>
                <w:rFonts w:hint="eastAsia" w:ascii="宋体" w:hAnsi="宋体" w:cs="宋体"/>
                <w:szCs w:val="21"/>
              </w:rPr>
            </w:pPr>
          </w:p>
        </w:tc>
        <w:tc>
          <w:tcPr>
            <w:tcW w:w="1160" w:type="dxa"/>
            <w:noWrap w:val="0"/>
            <w:vAlign w:val="center"/>
          </w:tcPr>
          <w:p>
            <w:pPr>
              <w:adjustRightInd w:val="0"/>
              <w:snapToGrid w:val="0"/>
              <w:ind w:firstLine="420" w:firstLineChars="200"/>
              <w:jc w:val="center"/>
              <w:rPr>
                <w:rFonts w:hint="eastAsia" w:ascii="宋体" w:hAnsi="宋体" w:cs="宋体"/>
                <w:szCs w:val="21"/>
              </w:rPr>
            </w:pPr>
          </w:p>
        </w:tc>
        <w:tc>
          <w:tcPr>
            <w:tcW w:w="720" w:type="dxa"/>
            <w:noWrap w:val="0"/>
            <w:vAlign w:val="center"/>
          </w:tcPr>
          <w:p>
            <w:pPr>
              <w:adjustRightInd w:val="0"/>
              <w:snapToGrid w:val="0"/>
              <w:ind w:firstLine="420" w:firstLineChars="200"/>
              <w:jc w:val="cente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szCs w:val="21"/>
              </w:rPr>
            </w:pPr>
          </w:p>
        </w:tc>
        <w:tc>
          <w:tcPr>
            <w:tcW w:w="1685" w:type="dxa"/>
            <w:noWrap w:val="0"/>
            <w:vAlign w:val="center"/>
          </w:tcPr>
          <w:p>
            <w:pPr>
              <w:adjustRightInd w:val="0"/>
              <w:snapToGrid w:val="0"/>
              <w:ind w:firstLine="420" w:firstLineChars="200"/>
              <w:jc w:val="center"/>
              <w:rPr>
                <w:rFonts w:hint="eastAsia" w:ascii="宋体" w:hAnsi="宋体" w:cs="宋体"/>
                <w:szCs w:val="21"/>
              </w:rPr>
            </w:pPr>
          </w:p>
        </w:tc>
        <w:tc>
          <w:tcPr>
            <w:tcW w:w="1948" w:type="dxa"/>
            <w:noWrap w:val="0"/>
            <w:vAlign w:val="center"/>
          </w:tcPr>
          <w:p>
            <w:pPr>
              <w:adjustRightInd w:val="0"/>
              <w:snapToGrid w:val="0"/>
              <w:ind w:firstLine="420" w:firstLineChars="200"/>
              <w:jc w:val="center"/>
              <w:rPr>
                <w:rFonts w:hint="eastAsia" w:ascii="宋体" w:hAnsi="宋体" w:cs="宋体"/>
                <w:szCs w:val="21"/>
              </w:rPr>
            </w:pPr>
          </w:p>
        </w:tc>
        <w:tc>
          <w:tcPr>
            <w:tcW w:w="2600" w:type="dxa"/>
            <w:noWrap w:val="0"/>
            <w:vAlign w:val="center"/>
          </w:tcPr>
          <w:p>
            <w:pPr>
              <w:adjustRightInd w:val="0"/>
              <w:snapToGrid w:val="0"/>
              <w:ind w:firstLine="420" w:firstLineChars="200"/>
              <w:jc w:val="center"/>
              <w:rPr>
                <w:rFonts w:hint="eastAsia" w:ascii="宋体" w:hAnsi="宋体" w:cs="宋体"/>
                <w:szCs w:val="21"/>
              </w:rPr>
            </w:pPr>
          </w:p>
        </w:tc>
        <w:tc>
          <w:tcPr>
            <w:tcW w:w="1160" w:type="dxa"/>
            <w:noWrap w:val="0"/>
            <w:vAlign w:val="center"/>
          </w:tcPr>
          <w:p>
            <w:pPr>
              <w:adjustRightInd w:val="0"/>
              <w:snapToGrid w:val="0"/>
              <w:ind w:firstLine="420" w:firstLineChars="200"/>
              <w:jc w:val="center"/>
              <w:rPr>
                <w:rFonts w:hint="eastAsia" w:ascii="宋体" w:hAnsi="宋体" w:cs="宋体"/>
                <w:szCs w:val="21"/>
              </w:rPr>
            </w:pPr>
          </w:p>
        </w:tc>
        <w:tc>
          <w:tcPr>
            <w:tcW w:w="720" w:type="dxa"/>
            <w:noWrap w:val="0"/>
            <w:vAlign w:val="center"/>
          </w:tcPr>
          <w:p>
            <w:pPr>
              <w:adjustRightInd w:val="0"/>
              <w:snapToGrid w:val="0"/>
              <w:ind w:firstLine="420" w:firstLineChars="200"/>
              <w:jc w:val="cente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szCs w:val="21"/>
              </w:rPr>
            </w:pPr>
          </w:p>
        </w:tc>
        <w:tc>
          <w:tcPr>
            <w:tcW w:w="1685" w:type="dxa"/>
            <w:noWrap w:val="0"/>
            <w:vAlign w:val="center"/>
          </w:tcPr>
          <w:p>
            <w:pPr>
              <w:adjustRightInd w:val="0"/>
              <w:snapToGrid w:val="0"/>
              <w:ind w:firstLine="420" w:firstLineChars="200"/>
              <w:jc w:val="center"/>
              <w:rPr>
                <w:rFonts w:hint="eastAsia" w:ascii="宋体" w:hAnsi="宋体" w:cs="宋体"/>
                <w:szCs w:val="21"/>
              </w:rPr>
            </w:pPr>
          </w:p>
        </w:tc>
        <w:tc>
          <w:tcPr>
            <w:tcW w:w="1948" w:type="dxa"/>
            <w:noWrap w:val="0"/>
            <w:vAlign w:val="center"/>
          </w:tcPr>
          <w:p>
            <w:pPr>
              <w:adjustRightInd w:val="0"/>
              <w:snapToGrid w:val="0"/>
              <w:ind w:firstLine="420" w:firstLineChars="200"/>
              <w:jc w:val="center"/>
              <w:rPr>
                <w:rFonts w:hint="eastAsia" w:ascii="宋体" w:hAnsi="宋体" w:cs="宋体"/>
                <w:szCs w:val="21"/>
              </w:rPr>
            </w:pPr>
          </w:p>
        </w:tc>
        <w:tc>
          <w:tcPr>
            <w:tcW w:w="2600" w:type="dxa"/>
            <w:noWrap w:val="0"/>
            <w:vAlign w:val="center"/>
          </w:tcPr>
          <w:p>
            <w:pPr>
              <w:adjustRightInd w:val="0"/>
              <w:snapToGrid w:val="0"/>
              <w:ind w:firstLine="420" w:firstLineChars="200"/>
              <w:jc w:val="center"/>
              <w:rPr>
                <w:rFonts w:hint="eastAsia" w:ascii="宋体" w:hAnsi="宋体" w:cs="宋体"/>
                <w:szCs w:val="21"/>
              </w:rPr>
            </w:pPr>
          </w:p>
        </w:tc>
        <w:tc>
          <w:tcPr>
            <w:tcW w:w="1160" w:type="dxa"/>
            <w:noWrap w:val="0"/>
            <w:vAlign w:val="center"/>
          </w:tcPr>
          <w:p>
            <w:pPr>
              <w:adjustRightInd w:val="0"/>
              <w:snapToGrid w:val="0"/>
              <w:ind w:firstLine="420" w:firstLineChars="200"/>
              <w:jc w:val="center"/>
              <w:rPr>
                <w:rFonts w:hint="eastAsia" w:ascii="宋体" w:hAnsi="宋体" w:cs="宋体"/>
                <w:szCs w:val="21"/>
              </w:rPr>
            </w:pPr>
          </w:p>
        </w:tc>
        <w:tc>
          <w:tcPr>
            <w:tcW w:w="720" w:type="dxa"/>
            <w:noWrap w:val="0"/>
            <w:vAlign w:val="center"/>
          </w:tcPr>
          <w:p>
            <w:pPr>
              <w:adjustRightInd w:val="0"/>
              <w:snapToGrid w:val="0"/>
              <w:ind w:firstLine="420" w:firstLineChars="200"/>
              <w:jc w:val="cente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szCs w:val="21"/>
              </w:rPr>
            </w:pPr>
          </w:p>
        </w:tc>
        <w:tc>
          <w:tcPr>
            <w:tcW w:w="1685" w:type="dxa"/>
            <w:noWrap w:val="0"/>
            <w:vAlign w:val="center"/>
          </w:tcPr>
          <w:p>
            <w:pPr>
              <w:adjustRightInd w:val="0"/>
              <w:snapToGrid w:val="0"/>
              <w:ind w:firstLine="420" w:firstLineChars="200"/>
              <w:jc w:val="center"/>
              <w:rPr>
                <w:rFonts w:hint="eastAsia" w:ascii="宋体" w:hAnsi="宋体" w:cs="宋体"/>
                <w:szCs w:val="21"/>
              </w:rPr>
            </w:pPr>
          </w:p>
        </w:tc>
        <w:tc>
          <w:tcPr>
            <w:tcW w:w="1948" w:type="dxa"/>
            <w:noWrap w:val="0"/>
            <w:vAlign w:val="center"/>
          </w:tcPr>
          <w:p>
            <w:pPr>
              <w:adjustRightInd w:val="0"/>
              <w:snapToGrid w:val="0"/>
              <w:ind w:firstLine="420" w:firstLineChars="200"/>
              <w:jc w:val="center"/>
              <w:rPr>
                <w:rFonts w:hint="eastAsia" w:ascii="宋体" w:hAnsi="宋体" w:cs="宋体"/>
                <w:szCs w:val="21"/>
              </w:rPr>
            </w:pPr>
          </w:p>
        </w:tc>
        <w:tc>
          <w:tcPr>
            <w:tcW w:w="2600" w:type="dxa"/>
            <w:noWrap w:val="0"/>
            <w:vAlign w:val="center"/>
          </w:tcPr>
          <w:p>
            <w:pPr>
              <w:adjustRightInd w:val="0"/>
              <w:snapToGrid w:val="0"/>
              <w:ind w:firstLine="420" w:firstLineChars="200"/>
              <w:jc w:val="center"/>
              <w:rPr>
                <w:rFonts w:hint="eastAsia" w:ascii="宋体" w:hAnsi="宋体" w:cs="宋体"/>
                <w:szCs w:val="21"/>
              </w:rPr>
            </w:pPr>
          </w:p>
        </w:tc>
        <w:tc>
          <w:tcPr>
            <w:tcW w:w="1160" w:type="dxa"/>
            <w:noWrap w:val="0"/>
            <w:vAlign w:val="center"/>
          </w:tcPr>
          <w:p>
            <w:pPr>
              <w:adjustRightInd w:val="0"/>
              <w:snapToGrid w:val="0"/>
              <w:ind w:firstLine="420" w:firstLineChars="200"/>
              <w:jc w:val="center"/>
              <w:rPr>
                <w:rFonts w:hint="eastAsia" w:ascii="宋体" w:hAnsi="宋体" w:cs="宋体"/>
                <w:szCs w:val="21"/>
              </w:rPr>
            </w:pPr>
          </w:p>
        </w:tc>
        <w:tc>
          <w:tcPr>
            <w:tcW w:w="720" w:type="dxa"/>
            <w:noWrap w:val="0"/>
            <w:vAlign w:val="center"/>
          </w:tcPr>
          <w:p>
            <w:pPr>
              <w:adjustRightInd w:val="0"/>
              <w:snapToGrid w:val="0"/>
              <w:ind w:firstLine="420" w:firstLineChars="200"/>
              <w:jc w:val="cente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szCs w:val="21"/>
              </w:rPr>
            </w:pPr>
          </w:p>
        </w:tc>
        <w:tc>
          <w:tcPr>
            <w:tcW w:w="1685" w:type="dxa"/>
            <w:noWrap w:val="0"/>
            <w:vAlign w:val="center"/>
          </w:tcPr>
          <w:p>
            <w:pPr>
              <w:adjustRightInd w:val="0"/>
              <w:snapToGrid w:val="0"/>
              <w:ind w:firstLine="420" w:firstLineChars="200"/>
              <w:jc w:val="center"/>
              <w:rPr>
                <w:rFonts w:hint="eastAsia" w:ascii="宋体" w:hAnsi="宋体" w:cs="宋体"/>
                <w:szCs w:val="21"/>
              </w:rPr>
            </w:pPr>
          </w:p>
        </w:tc>
        <w:tc>
          <w:tcPr>
            <w:tcW w:w="1948" w:type="dxa"/>
            <w:noWrap w:val="0"/>
            <w:vAlign w:val="center"/>
          </w:tcPr>
          <w:p>
            <w:pPr>
              <w:adjustRightInd w:val="0"/>
              <w:snapToGrid w:val="0"/>
              <w:ind w:firstLine="420" w:firstLineChars="200"/>
              <w:jc w:val="center"/>
              <w:rPr>
                <w:rFonts w:hint="eastAsia" w:ascii="宋体" w:hAnsi="宋体" w:cs="宋体"/>
                <w:szCs w:val="21"/>
              </w:rPr>
            </w:pPr>
          </w:p>
        </w:tc>
        <w:tc>
          <w:tcPr>
            <w:tcW w:w="2600" w:type="dxa"/>
            <w:noWrap w:val="0"/>
            <w:vAlign w:val="center"/>
          </w:tcPr>
          <w:p>
            <w:pPr>
              <w:adjustRightInd w:val="0"/>
              <w:snapToGrid w:val="0"/>
              <w:ind w:firstLine="420" w:firstLineChars="200"/>
              <w:jc w:val="center"/>
              <w:rPr>
                <w:rFonts w:hint="eastAsia" w:ascii="宋体" w:hAnsi="宋体" w:cs="宋体"/>
                <w:szCs w:val="21"/>
              </w:rPr>
            </w:pPr>
          </w:p>
        </w:tc>
        <w:tc>
          <w:tcPr>
            <w:tcW w:w="1160" w:type="dxa"/>
            <w:noWrap w:val="0"/>
            <w:vAlign w:val="center"/>
          </w:tcPr>
          <w:p>
            <w:pPr>
              <w:adjustRightInd w:val="0"/>
              <w:snapToGrid w:val="0"/>
              <w:ind w:firstLine="420" w:firstLineChars="200"/>
              <w:jc w:val="center"/>
              <w:rPr>
                <w:rFonts w:hint="eastAsia" w:ascii="宋体" w:hAnsi="宋体" w:cs="宋体"/>
                <w:szCs w:val="21"/>
              </w:rPr>
            </w:pPr>
          </w:p>
        </w:tc>
        <w:tc>
          <w:tcPr>
            <w:tcW w:w="720" w:type="dxa"/>
            <w:noWrap w:val="0"/>
            <w:vAlign w:val="center"/>
          </w:tcPr>
          <w:p>
            <w:pPr>
              <w:adjustRightInd w:val="0"/>
              <w:snapToGrid w:val="0"/>
              <w:ind w:firstLine="420" w:firstLineChars="200"/>
              <w:jc w:val="center"/>
              <w:rPr>
                <w:rFonts w:hint="eastAsia" w:ascii="宋体" w:hAnsi="宋体" w:cs="宋体"/>
                <w:szCs w:val="21"/>
              </w:rPr>
            </w:pPr>
          </w:p>
        </w:tc>
      </w:tr>
    </w:tbl>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r>
        <w:rPr>
          <w:rFonts w:hint="eastAsia" w:ascii="宋体" w:hAnsi="宋体" w:cs="宋体"/>
          <w:szCs w:val="21"/>
        </w:rPr>
        <w:t>说明：1、“响应与偏离”应注明“响应”或“偏离”。</w:t>
      </w:r>
    </w:p>
    <w:p>
      <w:pPr>
        <w:adjustRightInd w:val="0"/>
        <w:snapToGrid w:val="0"/>
        <w:spacing w:line="360" w:lineRule="auto"/>
        <w:ind w:firstLine="422" w:firstLineChars="200"/>
        <w:rPr>
          <w:rFonts w:hint="eastAsia" w:ascii="宋体" w:hAnsi="宋体" w:cs="宋体"/>
          <w:szCs w:val="21"/>
        </w:rPr>
      </w:pPr>
      <w:r>
        <w:rPr>
          <w:rFonts w:hint="eastAsia" w:ascii="宋体" w:hAnsi="宋体" w:cs="宋体"/>
          <w:b/>
          <w:szCs w:val="21"/>
        </w:rPr>
        <w:t xml:space="preserve">  </w:t>
      </w:r>
      <w:r>
        <w:rPr>
          <w:rFonts w:hint="eastAsia" w:ascii="宋体" w:hAnsi="宋体" w:cs="宋体"/>
          <w:szCs w:val="21"/>
        </w:rPr>
        <w:t>2、属磋商文件规定可能变动的内容在“说明”栏中注明。</w:t>
      </w:r>
    </w:p>
    <w:p>
      <w:pPr>
        <w:pStyle w:val="12"/>
        <w:adjustRightInd w:val="0"/>
        <w:snapToGrid w:val="0"/>
        <w:spacing w:line="360" w:lineRule="auto"/>
        <w:ind w:firstLine="420" w:firstLineChars="200"/>
        <w:rPr>
          <w:rFonts w:hint="eastAsia" w:ascii="宋体" w:hAnsi="宋体" w:cs="宋体"/>
          <w:sz w:val="21"/>
          <w:szCs w:val="21"/>
        </w:rPr>
      </w:pPr>
    </w:p>
    <w:p>
      <w:pPr>
        <w:rPr>
          <w:rFonts w:hint="eastAsia" w:ascii="宋体" w:hAnsi="宋体" w:cs="宋体"/>
          <w:szCs w:val="21"/>
        </w:rPr>
      </w:pPr>
    </w:p>
    <w:p>
      <w:pPr>
        <w:pStyle w:val="19"/>
        <w:ind w:firstLine="400"/>
        <w:rPr>
          <w:rFonts w:hint="eastAsia" w:ascii="宋体" w:hAnsi="宋体" w:cs="宋体"/>
        </w:rPr>
      </w:pPr>
    </w:p>
    <w:p>
      <w:pPr>
        <w:pStyle w:val="12"/>
        <w:adjustRightInd w:val="0"/>
        <w:snapToGrid w:val="0"/>
        <w:spacing w:line="360" w:lineRule="auto"/>
        <w:ind w:firstLine="420" w:firstLineChars="200"/>
        <w:rPr>
          <w:rFonts w:hint="eastAsia" w:ascii="宋体" w:hAnsi="宋体" w:cs="宋体"/>
          <w:bCs/>
          <w:sz w:val="21"/>
          <w:szCs w:val="21"/>
        </w:rPr>
      </w:pPr>
      <w:r>
        <w:rPr>
          <w:rFonts w:hint="eastAsia" w:ascii="宋体" w:hAnsi="宋体" w:cs="宋体"/>
          <w:sz w:val="21"/>
          <w:szCs w:val="21"/>
        </w:rPr>
        <w:t>供应商名称：</w:t>
      </w:r>
      <w:r>
        <w:rPr>
          <w:rFonts w:hint="eastAsia" w:ascii="宋体" w:hAnsi="宋体" w:cs="宋体"/>
          <w:sz w:val="21"/>
          <w:szCs w:val="21"/>
          <w:u w:val="single"/>
        </w:rPr>
        <w:t xml:space="preserve">                   </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 xml:space="preserve"> 月 </w:t>
      </w:r>
      <w:r>
        <w:rPr>
          <w:rFonts w:hint="eastAsia" w:ascii="宋体" w:hAnsi="宋体" w:cs="宋体"/>
          <w:szCs w:val="21"/>
          <w:u w:val="single"/>
        </w:rPr>
        <w:t xml:space="preserve">   </w:t>
      </w:r>
      <w:r>
        <w:rPr>
          <w:rFonts w:hint="eastAsia" w:ascii="宋体" w:hAnsi="宋体" w:cs="宋体"/>
          <w:szCs w:val="21"/>
        </w:rPr>
        <w:t xml:space="preserve"> 日</w:t>
      </w:r>
    </w:p>
    <w:p>
      <w:pPr>
        <w:adjustRightInd w:val="0"/>
        <w:snapToGrid w:val="0"/>
        <w:spacing w:line="360" w:lineRule="auto"/>
        <w:ind w:firstLine="803" w:firstLineChars="250"/>
        <w:jc w:val="center"/>
        <w:outlineLvl w:val="2"/>
        <w:rPr>
          <w:rFonts w:hint="eastAsia" w:ascii="宋体" w:hAnsi="宋体" w:cs="宋体"/>
          <w:szCs w:val="21"/>
        </w:rPr>
      </w:pPr>
      <w:r>
        <w:rPr>
          <w:rFonts w:hint="eastAsia" w:ascii="宋体" w:hAnsi="宋体" w:cs="宋体"/>
          <w:b/>
          <w:sz w:val="32"/>
          <w:szCs w:val="32"/>
        </w:rPr>
        <w:br w:type="page"/>
      </w:r>
      <w:bookmarkStart w:id="92" w:name="_Toc10974"/>
      <w:r>
        <w:rPr>
          <w:rFonts w:hint="eastAsia" w:ascii="宋体" w:hAnsi="宋体" w:cs="宋体"/>
          <w:b/>
          <w:bCs/>
          <w:sz w:val="32"/>
          <w:szCs w:val="32"/>
          <w:lang w:eastAsia="zh-CN"/>
        </w:rPr>
        <w:t>五</w:t>
      </w:r>
      <w:r>
        <w:rPr>
          <w:rFonts w:hint="eastAsia" w:ascii="宋体" w:hAnsi="宋体" w:cs="宋体"/>
          <w:b/>
          <w:bCs/>
          <w:sz w:val="32"/>
          <w:szCs w:val="32"/>
        </w:rPr>
        <w:t>、</w:t>
      </w:r>
      <w:r>
        <w:rPr>
          <w:rFonts w:hint="eastAsia" w:ascii="宋体" w:hAnsi="宋体" w:cs="宋体"/>
          <w:b/>
          <w:sz w:val="32"/>
          <w:szCs w:val="32"/>
        </w:rPr>
        <w:t>报价一览表及报价文件</w:t>
      </w:r>
      <w:bookmarkEnd w:id="92"/>
    </w:p>
    <w:p>
      <w:pPr>
        <w:adjustRightInd w:val="0"/>
        <w:snapToGrid w:val="0"/>
        <w:rPr>
          <w:rFonts w:hint="eastAsia" w:ascii="宋体" w:hAnsi="宋体" w:cs="宋体"/>
          <w:b/>
          <w:sz w:val="24"/>
        </w:rPr>
      </w:pPr>
    </w:p>
    <w:p>
      <w:pPr>
        <w:jc w:val="center"/>
        <w:outlineLvl w:val="9"/>
        <w:rPr>
          <w:rFonts w:hint="eastAsia" w:ascii="宋体" w:hAnsi="宋体" w:cs="宋体"/>
          <w:b/>
          <w:sz w:val="28"/>
          <w:szCs w:val="28"/>
        </w:rPr>
      </w:pPr>
      <w:bookmarkStart w:id="93" w:name="_Toc27497"/>
      <w:r>
        <w:rPr>
          <w:rFonts w:hint="eastAsia" w:ascii="宋体" w:hAnsi="宋体" w:cs="宋体"/>
          <w:b/>
          <w:sz w:val="28"/>
          <w:szCs w:val="28"/>
        </w:rPr>
        <w:t>（一）报价一览表</w:t>
      </w:r>
      <w:bookmarkEnd w:id="93"/>
    </w:p>
    <w:tbl>
      <w:tblPr>
        <w:tblStyle w:val="20"/>
        <w:tblpPr w:leftFromText="180" w:rightFromText="180" w:vertAnchor="text" w:horzAnchor="page" w:tblpXSpec="center" w:tblpY="427"/>
        <w:tblOverlap w:val="never"/>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10"/>
        <w:gridCol w:w="3106"/>
        <w:gridCol w:w="1578"/>
        <w:gridCol w:w="17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vMerge w:val="restart"/>
            <w:tcBorders>
              <w:top w:val="double" w:color="auto" w:sz="4" w:space="0"/>
              <w:bottom w:val="single" w:color="auto" w:sz="6" w:space="0"/>
              <w:right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项目名称</w:t>
            </w:r>
          </w:p>
        </w:tc>
        <w:tc>
          <w:tcPr>
            <w:tcW w:w="3106" w:type="dxa"/>
            <w:vMerge w:val="restart"/>
            <w:tcBorders>
              <w:top w:val="double" w:color="auto" w:sz="4" w:space="0"/>
              <w:left w:val="single" w:color="auto" w:sz="6" w:space="0"/>
              <w:bottom w:val="single" w:color="auto" w:sz="6" w:space="0"/>
              <w:right w:val="single" w:color="auto" w:sz="6" w:space="0"/>
            </w:tcBorders>
            <w:noWrap w:val="0"/>
            <w:vAlign w:val="center"/>
          </w:tcPr>
          <w:p>
            <w:pPr>
              <w:jc w:val="center"/>
              <w:rPr>
                <w:rFonts w:hint="eastAsia" w:ascii="宋体" w:hAnsi="宋体" w:cs="宋体"/>
                <w:szCs w:val="21"/>
              </w:rPr>
            </w:pPr>
          </w:p>
        </w:tc>
        <w:tc>
          <w:tcPr>
            <w:tcW w:w="1578" w:type="dxa"/>
            <w:tcBorders>
              <w:top w:val="double" w:color="auto" w:sz="4" w:space="0"/>
              <w:left w:val="single" w:color="auto" w:sz="6" w:space="0"/>
              <w:bottom w:val="single" w:color="auto" w:sz="6" w:space="0"/>
              <w:right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政府采购编号</w:t>
            </w:r>
          </w:p>
        </w:tc>
        <w:tc>
          <w:tcPr>
            <w:tcW w:w="1790" w:type="dxa"/>
            <w:tcBorders>
              <w:top w:val="double" w:color="auto" w:sz="4" w:space="0"/>
              <w:left w:val="single" w:color="auto" w:sz="6" w:space="0"/>
              <w:bottom w:val="single" w:color="auto" w:sz="6" w:space="0"/>
            </w:tcBorders>
            <w:noWrap w:val="0"/>
            <w:vAlign w:val="center"/>
          </w:tcPr>
          <w:p>
            <w:pPr>
              <w:jc w:val="cente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vMerge w:val="continue"/>
            <w:tcBorders>
              <w:top w:val="single" w:color="auto" w:sz="6" w:space="0"/>
              <w:bottom w:val="single" w:color="auto" w:sz="6" w:space="0"/>
              <w:right w:val="single" w:color="auto" w:sz="6" w:space="0"/>
            </w:tcBorders>
            <w:noWrap w:val="0"/>
            <w:vAlign w:val="center"/>
          </w:tcPr>
          <w:p>
            <w:pPr>
              <w:jc w:val="center"/>
              <w:rPr>
                <w:rFonts w:hint="eastAsia" w:ascii="宋体" w:hAnsi="宋体" w:cs="宋体"/>
                <w:szCs w:val="21"/>
              </w:rPr>
            </w:pPr>
          </w:p>
        </w:tc>
        <w:tc>
          <w:tcPr>
            <w:tcW w:w="3106" w:type="dxa"/>
            <w:vMerge w:val="continue"/>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Cs w:val="21"/>
              </w:rPr>
            </w:pPr>
          </w:p>
        </w:tc>
        <w:tc>
          <w:tcPr>
            <w:tcW w:w="157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采购代理编号</w:t>
            </w:r>
          </w:p>
        </w:tc>
        <w:tc>
          <w:tcPr>
            <w:tcW w:w="1790" w:type="dxa"/>
            <w:tcBorders>
              <w:top w:val="single" w:color="auto" w:sz="6" w:space="0"/>
              <w:left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94" w:hRule="atLeast"/>
          <w:jc w:val="center"/>
        </w:trPr>
        <w:tc>
          <w:tcPr>
            <w:tcW w:w="2310" w:type="dxa"/>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工程总报价</w:t>
            </w:r>
          </w:p>
        </w:tc>
        <w:tc>
          <w:tcPr>
            <w:tcW w:w="6474" w:type="dxa"/>
            <w:gridSpan w:val="3"/>
            <w:tcBorders>
              <w:top w:val="single" w:color="auto" w:sz="6" w:space="0"/>
              <w:bottom w:val="single" w:color="auto" w:sz="6" w:space="0"/>
            </w:tcBorders>
            <w:noWrap w:val="0"/>
            <w:vAlign w:val="center"/>
          </w:tcPr>
          <w:p>
            <w:pPr>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元人民币整</w:t>
            </w:r>
          </w:p>
          <w:p>
            <w:pPr>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元人民币整</w:t>
            </w:r>
          </w:p>
          <w:p>
            <w:pPr>
              <w:rPr>
                <w:rFonts w:hint="eastAsia" w:ascii="宋体" w:hAnsi="宋体" w:cs="宋体"/>
                <w:szCs w:val="21"/>
              </w:rPr>
            </w:pPr>
            <w:r>
              <w:rPr>
                <w:rFonts w:hint="eastAsia" w:ascii="宋体" w:hAnsi="宋体" w:cs="宋体"/>
                <w:b/>
                <w:bCs/>
                <w:kern w:val="0"/>
                <w:szCs w:val="21"/>
              </w:rPr>
              <w:t>（大写金额与小写金额不一致时，以大写金额为准）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工期（日历天）</w:t>
            </w:r>
          </w:p>
        </w:tc>
        <w:tc>
          <w:tcPr>
            <w:tcW w:w="6474" w:type="dxa"/>
            <w:gridSpan w:val="3"/>
            <w:tcBorders>
              <w:top w:val="single" w:color="auto" w:sz="6" w:space="0"/>
              <w:bottom w:val="single" w:color="auto" w:sz="6" w:space="0"/>
            </w:tcBorders>
            <w:noWrap w:val="0"/>
            <w:vAlign w:val="center"/>
          </w:tcPr>
          <w:p>
            <w:pPr>
              <w:jc w:val="cente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质量等级</w:t>
            </w:r>
          </w:p>
        </w:tc>
        <w:tc>
          <w:tcPr>
            <w:tcW w:w="6474" w:type="dxa"/>
            <w:gridSpan w:val="3"/>
            <w:tcBorders>
              <w:top w:val="single" w:color="auto" w:sz="6" w:space="0"/>
              <w:bottom w:val="single" w:color="auto" w:sz="6" w:space="0"/>
            </w:tcBorders>
            <w:noWrap w:val="0"/>
            <w:vAlign w:val="center"/>
          </w:tcPr>
          <w:p>
            <w:pPr>
              <w:jc w:val="cente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保修承诺</w:t>
            </w:r>
          </w:p>
        </w:tc>
        <w:tc>
          <w:tcPr>
            <w:tcW w:w="6474" w:type="dxa"/>
            <w:gridSpan w:val="3"/>
            <w:tcBorders>
              <w:top w:val="single" w:color="auto" w:sz="6" w:space="0"/>
              <w:bottom w:val="single" w:color="auto" w:sz="6" w:space="0"/>
            </w:tcBorders>
            <w:noWrap w:val="0"/>
            <w:vAlign w:val="center"/>
          </w:tcPr>
          <w:p>
            <w:pPr>
              <w:jc w:val="cente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single" w:color="auto" w:sz="6" w:space="0"/>
            </w:tcBorders>
            <w:noWrap w:val="0"/>
            <w:vAlign w:val="center"/>
          </w:tcPr>
          <w:p>
            <w:pPr>
              <w:jc w:val="center"/>
              <w:rPr>
                <w:rFonts w:hint="eastAsia" w:ascii="宋体" w:hAnsi="宋体" w:cs="宋体"/>
                <w:szCs w:val="21"/>
              </w:rPr>
            </w:pPr>
            <w:r>
              <w:rPr>
                <w:rFonts w:hint="eastAsia" w:ascii="宋体" w:hAnsi="宋体" w:cs="宋体"/>
                <w:szCs w:val="21"/>
              </w:rPr>
              <w:t>项目负责人</w:t>
            </w:r>
          </w:p>
        </w:tc>
        <w:tc>
          <w:tcPr>
            <w:tcW w:w="6474" w:type="dxa"/>
            <w:gridSpan w:val="3"/>
            <w:tcBorders>
              <w:top w:val="single" w:color="auto" w:sz="6" w:space="0"/>
              <w:bottom w:val="single" w:color="auto" w:sz="6" w:space="0"/>
            </w:tcBorders>
            <w:noWrap w:val="0"/>
            <w:vAlign w:val="center"/>
          </w:tcPr>
          <w:p>
            <w:pPr>
              <w:jc w:val="cente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10" w:type="dxa"/>
            <w:tcBorders>
              <w:top w:val="single" w:color="auto" w:sz="6" w:space="0"/>
              <w:bottom w:val="double" w:color="auto" w:sz="4" w:space="0"/>
            </w:tcBorders>
            <w:noWrap w:val="0"/>
            <w:vAlign w:val="center"/>
          </w:tcPr>
          <w:p>
            <w:pPr>
              <w:jc w:val="center"/>
              <w:rPr>
                <w:rFonts w:hint="eastAsia" w:ascii="宋体" w:hAnsi="宋体" w:cs="宋体"/>
                <w:szCs w:val="21"/>
              </w:rPr>
            </w:pPr>
            <w:r>
              <w:rPr>
                <w:rFonts w:hint="eastAsia" w:ascii="宋体" w:hAnsi="宋体" w:cs="宋体"/>
                <w:szCs w:val="21"/>
              </w:rPr>
              <w:t>备  注</w:t>
            </w:r>
          </w:p>
        </w:tc>
        <w:tc>
          <w:tcPr>
            <w:tcW w:w="6474" w:type="dxa"/>
            <w:gridSpan w:val="3"/>
            <w:tcBorders>
              <w:top w:val="single" w:color="auto" w:sz="6" w:space="0"/>
              <w:bottom w:val="double" w:color="auto" w:sz="4" w:space="0"/>
            </w:tcBorders>
            <w:noWrap w:val="0"/>
            <w:vAlign w:val="center"/>
          </w:tcPr>
          <w:p>
            <w:pPr>
              <w:jc w:val="center"/>
              <w:rPr>
                <w:rFonts w:hint="eastAsia" w:ascii="宋体" w:hAnsi="宋体" w:cs="宋体"/>
                <w:szCs w:val="21"/>
              </w:rPr>
            </w:pPr>
          </w:p>
        </w:tc>
      </w:tr>
    </w:tbl>
    <w:p>
      <w:pPr>
        <w:adjustRightInd w:val="0"/>
        <w:snapToGrid w:val="0"/>
        <w:spacing w:after="120" w:afterLines="50"/>
        <w:rPr>
          <w:rFonts w:hint="eastAsia" w:ascii="宋体" w:hAnsi="宋体" w:cs="宋体"/>
          <w:sz w:val="24"/>
        </w:rPr>
      </w:pPr>
    </w:p>
    <w:p>
      <w:pPr>
        <w:adjustRightInd w:val="0"/>
        <w:snapToGrid w:val="0"/>
        <w:spacing w:after="120" w:afterLines="50"/>
        <w:rPr>
          <w:rFonts w:hint="eastAsia" w:ascii="宋体" w:hAnsi="宋体" w:cs="宋体"/>
          <w:sz w:val="20"/>
          <w:szCs w:val="20"/>
        </w:rPr>
      </w:pPr>
    </w:p>
    <w:p>
      <w:pPr>
        <w:adjustRightInd w:val="0"/>
        <w:snapToGrid w:val="0"/>
        <w:spacing w:after="120" w:afterLines="50"/>
        <w:rPr>
          <w:rFonts w:hint="eastAsia" w:ascii="宋体" w:hAnsi="宋体" w:cs="宋体"/>
          <w:sz w:val="20"/>
          <w:szCs w:val="20"/>
        </w:rPr>
      </w:pPr>
    </w:p>
    <w:p>
      <w:pPr>
        <w:adjustRightInd w:val="0"/>
        <w:snapToGrid w:val="0"/>
        <w:jc w:val="right"/>
        <w:rPr>
          <w:rFonts w:hint="eastAsia" w:ascii="宋体" w:hAnsi="宋体" w:cs="宋体"/>
          <w:sz w:val="20"/>
          <w:szCs w:val="20"/>
        </w:rPr>
      </w:pPr>
    </w:p>
    <w:p>
      <w:pPr>
        <w:adjustRightInd w:val="0"/>
        <w:snapToGrid w:val="0"/>
        <w:spacing w:line="360" w:lineRule="auto"/>
        <w:rPr>
          <w:rFonts w:hint="eastAsia" w:ascii="宋体" w:hAnsi="宋体" w:cs="宋体"/>
          <w:szCs w:val="21"/>
        </w:rPr>
      </w:pPr>
    </w:p>
    <w:p>
      <w:pPr>
        <w:adjustRightInd w:val="0"/>
        <w:snapToGrid w:val="0"/>
        <w:spacing w:line="360" w:lineRule="auto"/>
        <w:rPr>
          <w:rFonts w:hint="eastAsia" w:ascii="宋体" w:hAnsi="宋体" w:cs="宋体"/>
          <w:szCs w:val="21"/>
        </w:rPr>
      </w:pPr>
      <w:r>
        <w:rPr>
          <w:rFonts w:hint="eastAsia" w:ascii="宋体" w:hAnsi="宋体" w:cs="宋体"/>
          <w:szCs w:val="21"/>
        </w:rPr>
        <w:t>供应商（</w:t>
      </w:r>
      <w:r>
        <w:rPr>
          <w:rFonts w:hint="eastAsia" w:ascii="宋体" w:hAnsi="宋体"/>
          <w:szCs w:val="21"/>
        </w:rPr>
        <w:t>盖单位公章</w:t>
      </w:r>
      <w:r>
        <w:rPr>
          <w:rFonts w:hint="eastAsia" w:ascii="宋体" w:hAnsi="宋体" w:cs="宋体"/>
          <w:szCs w:val="21"/>
        </w:rPr>
        <w:t>）：</w:t>
      </w:r>
    </w:p>
    <w:p>
      <w:pPr>
        <w:adjustRightInd w:val="0"/>
        <w:snapToGrid w:val="0"/>
        <w:spacing w:line="360" w:lineRule="auto"/>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widowControl/>
        <w:jc w:val="left"/>
        <w:rPr>
          <w:rFonts w:hint="eastAsia" w:ascii="宋体" w:hAnsi="宋体" w:cs="宋体"/>
          <w:szCs w:val="21"/>
        </w:rPr>
      </w:pPr>
    </w:p>
    <w:p>
      <w:pPr>
        <w:jc w:val="left"/>
        <w:rPr>
          <w:rFonts w:hint="eastAsia" w:ascii="宋体" w:hAnsi="宋体" w:cs="宋体"/>
        </w:rPr>
      </w:pPr>
    </w:p>
    <w:p>
      <w:pPr>
        <w:keepNext/>
        <w:keepLines/>
        <w:spacing w:line="416" w:lineRule="auto"/>
        <w:rPr>
          <w:rFonts w:hint="eastAsia" w:ascii="宋体" w:hAnsi="宋体"/>
          <w:szCs w:val="21"/>
        </w:rPr>
      </w:pPr>
      <w:bookmarkStart w:id="94" w:name="_Toc34637796"/>
    </w:p>
    <w:bookmarkEnd w:id="94"/>
    <w:p>
      <w:pPr>
        <w:adjustRightInd w:val="0"/>
        <w:snapToGrid w:val="0"/>
        <w:spacing w:before="120" w:beforeLines="50" w:after="0" w:line="360" w:lineRule="auto"/>
        <w:jc w:val="center"/>
        <w:outlineLvl w:val="9"/>
        <w:rPr>
          <w:rFonts w:ascii="宋体" w:hAnsi="宋体"/>
          <w:spacing w:val="-2"/>
          <w:position w:val="-3"/>
          <w:sz w:val="28"/>
          <w:szCs w:val="28"/>
        </w:rPr>
      </w:pPr>
      <w:r>
        <w:rPr>
          <w:rFonts w:hint="eastAsia" w:ascii="宋体" w:hAnsi="宋体"/>
          <w:spacing w:val="-2"/>
          <w:position w:val="-3"/>
          <w:sz w:val="28"/>
          <w:szCs w:val="28"/>
        </w:rPr>
        <w:br w:type="page"/>
      </w:r>
      <w:bookmarkStart w:id="95" w:name="_Toc7650"/>
      <w:r>
        <w:rPr>
          <w:rFonts w:hint="eastAsia" w:ascii="宋体" w:hAnsi="宋体"/>
          <w:b/>
          <w:bCs/>
          <w:spacing w:val="-2"/>
          <w:position w:val="-3"/>
          <w:sz w:val="28"/>
          <w:szCs w:val="28"/>
        </w:rPr>
        <w:t>（二）已标价工程量清单</w:t>
      </w:r>
      <w:bookmarkEnd w:id="95"/>
    </w:p>
    <w:p>
      <w:pPr>
        <w:adjustRightInd w:val="0"/>
        <w:snapToGrid w:val="0"/>
        <w:jc w:val="center"/>
        <w:rPr>
          <w:rFonts w:hint="eastAsia" w:ascii="宋体" w:hAnsi="宋体" w:cs="宋体"/>
          <w:szCs w:val="21"/>
        </w:rPr>
      </w:pPr>
      <w:r>
        <w:rPr>
          <w:rFonts w:hint="eastAsia" w:ascii="宋体" w:hAnsi="宋体" w:cs="宋体"/>
          <w:b/>
          <w:sz w:val="28"/>
          <w:szCs w:val="28"/>
        </w:rPr>
        <w:t xml:space="preserve"> </w:t>
      </w: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jc w:val="center"/>
        <w:rPr>
          <w:rFonts w:ascii="宋体" w:hAnsi="宋体"/>
          <w:szCs w:val="21"/>
        </w:rPr>
      </w:pPr>
      <w:r>
        <w:rPr>
          <w:rFonts w:hint="eastAsia" w:ascii="宋体" w:hAnsi="宋体"/>
          <w:szCs w:val="21"/>
        </w:rPr>
        <w:t>(</w:t>
      </w:r>
      <w:r>
        <w:rPr>
          <w:rFonts w:hint="eastAsia" w:ascii="宋体" w:hAnsi="宋体" w:cs="宋体"/>
          <w:szCs w:val="21"/>
        </w:rPr>
        <w:t>按蹉商文件提供的工程量清单填写。</w:t>
      </w:r>
      <w:r>
        <w:rPr>
          <w:rFonts w:hint="eastAsia" w:ascii="宋体" w:hAnsi="宋体"/>
          <w:szCs w:val="21"/>
        </w:rPr>
        <w:t>)</w:t>
      </w:r>
    </w:p>
    <w:p>
      <w:pPr>
        <w:pStyle w:val="19"/>
        <w:ind w:firstLine="400"/>
        <w:rPr>
          <w:rFonts w:hint="eastAsia" w:ascii="宋体" w:hAnsi="宋体" w:cs="宋体"/>
        </w:rPr>
      </w:pP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jc w:val="center"/>
        <w:outlineLvl w:val="2"/>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
          <w:color w:val="auto"/>
          <w:sz w:val="32"/>
          <w:szCs w:val="32"/>
          <w:lang w:eastAsia="zh-CN"/>
        </w:rPr>
        <w:t>六</w:t>
      </w:r>
      <w:r>
        <w:rPr>
          <w:rFonts w:hint="eastAsia" w:asciiTheme="majorEastAsia" w:hAnsiTheme="majorEastAsia" w:eastAsiaTheme="majorEastAsia" w:cstheme="majorEastAsia"/>
          <w:b/>
          <w:color w:val="auto"/>
          <w:sz w:val="32"/>
          <w:szCs w:val="32"/>
        </w:rPr>
        <w:t>、施工说明</w:t>
      </w:r>
    </w:p>
    <w:p>
      <w:pPr>
        <w:adjustRightInd w:val="0"/>
        <w:snapToGrid w:val="0"/>
        <w:rPr>
          <w:rFonts w:hint="eastAsia" w:asciiTheme="majorEastAsia" w:hAnsiTheme="majorEastAsia" w:eastAsiaTheme="majorEastAsia" w:cstheme="majorEastAsia"/>
          <w:color w:val="auto"/>
          <w:sz w:val="24"/>
        </w:rPr>
      </w:pPr>
    </w:p>
    <w:p>
      <w:pPr>
        <w:adjustRightInd w:val="0"/>
        <w:snapToGrid w:val="0"/>
        <w:rPr>
          <w:rFonts w:hint="eastAsia" w:asciiTheme="majorEastAsia" w:hAnsiTheme="majorEastAsia" w:eastAsiaTheme="majorEastAsia" w:cstheme="majorEastAsia"/>
          <w:b/>
          <w:color w:val="auto"/>
          <w:sz w:val="28"/>
          <w:szCs w:val="28"/>
        </w:rPr>
      </w:pPr>
    </w:p>
    <w:p>
      <w:pPr>
        <w:adjustRightInd w:val="0"/>
        <w:snapToGrid w:val="0"/>
        <w:ind w:firstLine="643" w:firstLineChars="200"/>
        <w:jc w:val="center"/>
        <w:outlineLvl w:val="9"/>
        <w:rPr>
          <w:rFonts w:hint="eastAsia" w:ascii="宋体" w:hAnsi="宋体" w:cs="宋体"/>
          <w:b/>
          <w:bCs/>
          <w:sz w:val="32"/>
          <w:szCs w:val="32"/>
        </w:rPr>
      </w:pPr>
      <w:r>
        <w:rPr>
          <w:rFonts w:hint="eastAsia" w:asciiTheme="majorEastAsia" w:hAnsiTheme="majorEastAsia" w:eastAsiaTheme="majorEastAsia" w:cstheme="majorEastAsia"/>
          <w:b/>
          <w:bCs/>
          <w:color w:val="auto"/>
          <w:sz w:val="32"/>
          <w:szCs w:val="32"/>
          <w:lang w:eastAsia="zh-CN"/>
        </w:rPr>
        <w:t>（一）</w:t>
      </w:r>
      <w:r>
        <w:rPr>
          <w:rFonts w:hint="eastAsia" w:asciiTheme="majorEastAsia" w:hAnsiTheme="majorEastAsia" w:eastAsiaTheme="majorEastAsia" w:cstheme="majorEastAsia"/>
          <w:b/>
          <w:bCs/>
          <w:color w:val="auto"/>
          <w:sz w:val="32"/>
          <w:szCs w:val="32"/>
        </w:rPr>
        <w:t>施工组织设计</w:t>
      </w:r>
      <w:r>
        <w:rPr>
          <w:rFonts w:hint="eastAsia" w:ascii="宋体" w:hAnsi="宋体" w:cs="宋体"/>
          <w:b/>
          <w:bCs/>
          <w:sz w:val="32"/>
          <w:szCs w:val="32"/>
        </w:rPr>
        <w:t>（格式自拟）</w:t>
      </w:r>
    </w:p>
    <w:p>
      <w:pPr>
        <w:pStyle w:val="12"/>
        <w:adjustRightInd w:val="0"/>
        <w:snapToGrid w:val="0"/>
        <w:spacing w:line="360" w:lineRule="auto"/>
        <w:ind w:firstLine="420" w:firstLineChars="200"/>
        <w:rPr>
          <w:rFonts w:hint="eastAsia" w:ascii="宋体" w:hAnsi="宋体" w:cs="宋体"/>
          <w:sz w:val="21"/>
          <w:szCs w:val="21"/>
        </w:rPr>
      </w:pPr>
    </w:p>
    <w:p>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施工组织设计应包括但不限于以下内容：</w:t>
      </w:r>
    </w:p>
    <w:p>
      <w:pPr>
        <w:numPr>
          <w:ilvl w:val="0"/>
          <w:numId w:val="3"/>
        </w:numPr>
        <w:adjustRightInd w:val="0"/>
        <w:snapToGrid w:val="0"/>
        <w:spacing w:line="360" w:lineRule="auto"/>
        <w:ind w:firstLine="420" w:firstLineChars="200"/>
        <w:rPr>
          <w:rFonts w:hint="eastAsia" w:ascii="宋体" w:hAnsi="宋体" w:cs="宋体"/>
          <w:szCs w:val="21"/>
        </w:rPr>
      </w:pPr>
      <w:r>
        <w:rPr>
          <w:rFonts w:hint="eastAsia" w:ascii="宋体" w:hAnsi="宋体" w:cs="宋体"/>
          <w:bCs/>
          <w:szCs w:val="21"/>
          <w:lang w:val="ru-RU"/>
        </w:rPr>
        <w:t>施工方案与技术措施</w:t>
      </w:r>
      <w:r>
        <w:rPr>
          <w:rFonts w:hint="eastAsia" w:ascii="宋体" w:hAnsi="宋体" w:cs="宋体"/>
          <w:szCs w:val="21"/>
        </w:rPr>
        <w:t>；</w:t>
      </w:r>
    </w:p>
    <w:p>
      <w:pPr>
        <w:numPr>
          <w:ilvl w:val="0"/>
          <w:numId w:val="3"/>
        </w:numPr>
        <w:adjustRightInd w:val="0"/>
        <w:snapToGrid w:val="0"/>
        <w:spacing w:line="360" w:lineRule="auto"/>
        <w:ind w:left="0" w:leftChars="0" w:firstLine="420" w:firstLineChars="200"/>
        <w:rPr>
          <w:rFonts w:hint="eastAsia" w:ascii="宋体" w:hAnsi="宋体" w:cs="宋体"/>
          <w:szCs w:val="21"/>
        </w:rPr>
      </w:pPr>
      <w:r>
        <w:rPr>
          <w:rFonts w:hint="eastAsia" w:ascii="宋体" w:hAnsi="宋体" w:cs="宋体"/>
          <w:bCs/>
          <w:szCs w:val="21"/>
          <w:lang w:val="ru-RU"/>
        </w:rPr>
        <w:t>施工进度计划及保证措施</w:t>
      </w:r>
      <w:r>
        <w:rPr>
          <w:rFonts w:hint="eastAsia" w:ascii="宋体" w:hAnsi="宋体" w:cs="宋体"/>
          <w:szCs w:val="21"/>
        </w:rPr>
        <w:t>；</w:t>
      </w:r>
    </w:p>
    <w:p>
      <w:pPr>
        <w:numPr>
          <w:ilvl w:val="0"/>
          <w:numId w:val="0"/>
        </w:numPr>
        <w:adjustRightInd w:val="0"/>
        <w:snapToGrid w:val="0"/>
        <w:spacing w:line="360" w:lineRule="auto"/>
        <w:ind w:leftChars="200"/>
        <w:rPr>
          <w:rFonts w:hint="eastAsia"/>
          <w:b/>
        </w:rPr>
      </w:pPr>
      <w:r>
        <w:rPr>
          <w:rFonts w:hint="eastAsia" w:ascii="宋体" w:hAnsi="宋体" w:cs="宋体"/>
          <w:szCs w:val="21"/>
        </w:rPr>
        <w:t>(3)保证质量措施；</w:t>
      </w:r>
    </w:p>
    <w:p>
      <w:pPr>
        <w:numPr>
          <w:ilvl w:val="0"/>
          <w:numId w:val="0"/>
        </w:numPr>
        <w:adjustRightInd w:val="0"/>
        <w:snapToGrid w:val="0"/>
        <w:spacing w:line="360" w:lineRule="auto"/>
        <w:ind w:leftChars="200"/>
        <w:rPr>
          <w:rFonts w:hint="eastAsia"/>
          <w:b/>
        </w:rPr>
      </w:pPr>
      <w:r>
        <w:rPr>
          <w:rFonts w:hint="eastAsia" w:ascii="宋体" w:hAnsi="宋体" w:cs="宋体"/>
          <w:szCs w:val="21"/>
        </w:rPr>
        <w:t>(4)保证安全措施；</w:t>
      </w:r>
    </w:p>
    <w:p>
      <w:pPr>
        <w:numPr>
          <w:ilvl w:val="0"/>
          <w:numId w:val="0"/>
        </w:numPr>
        <w:adjustRightInd w:val="0"/>
        <w:snapToGrid w:val="0"/>
        <w:spacing w:line="360" w:lineRule="auto"/>
        <w:ind w:leftChars="200"/>
        <w:rPr>
          <w:rFonts w:hint="eastAsia"/>
          <w:b/>
        </w:rPr>
      </w:pPr>
      <w:r>
        <w:rPr>
          <w:rFonts w:hint="eastAsia" w:ascii="宋体" w:hAnsi="宋体" w:cs="宋体"/>
          <w:szCs w:val="21"/>
        </w:rPr>
        <w:t>(5)文明施工现场措施；</w:t>
      </w:r>
    </w:p>
    <w:p>
      <w:pPr>
        <w:numPr>
          <w:ilvl w:val="0"/>
          <w:numId w:val="0"/>
        </w:numPr>
        <w:adjustRightInd w:val="0"/>
        <w:snapToGrid w:val="0"/>
        <w:spacing w:line="360" w:lineRule="auto"/>
        <w:ind w:leftChars="200"/>
        <w:rPr>
          <w:rFonts w:hint="eastAsia"/>
          <w:b/>
        </w:rPr>
      </w:pPr>
      <w:r>
        <w:rPr>
          <w:rFonts w:hint="eastAsia" w:ascii="宋体" w:hAnsi="宋体" w:cs="宋体"/>
          <w:szCs w:val="21"/>
        </w:rPr>
        <w:t>(6)</w:t>
      </w:r>
      <w:r>
        <w:rPr>
          <w:rFonts w:hint="eastAsia" w:ascii="宋体" w:hAnsi="宋体" w:cs="宋体"/>
          <w:bCs/>
          <w:szCs w:val="21"/>
          <w:lang w:val="ru-RU"/>
        </w:rPr>
        <w:t>环境保护管理措施</w:t>
      </w:r>
      <w:r>
        <w:rPr>
          <w:rFonts w:hint="eastAsia" w:ascii="宋体" w:hAnsi="宋体" w:cs="宋体"/>
          <w:szCs w:val="21"/>
        </w:rPr>
        <w:t>等。</w:t>
      </w:r>
    </w:p>
    <w:p>
      <w:pPr>
        <w:adjustRightInd w:val="0"/>
        <w:snapToGrid w:val="0"/>
        <w:ind w:firstLine="643" w:firstLineChars="200"/>
        <w:jc w:val="center"/>
        <w:rPr>
          <w:rFonts w:hint="eastAsia" w:asciiTheme="majorEastAsia" w:hAnsiTheme="majorEastAsia" w:eastAsiaTheme="majorEastAsia" w:cstheme="majorEastAsia"/>
          <w:b/>
          <w:bCs/>
          <w:color w:val="auto"/>
          <w:sz w:val="32"/>
          <w:szCs w:val="32"/>
        </w:rPr>
      </w:pPr>
    </w:p>
    <w:p>
      <w:pPr>
        <w:pStyle w:val="12"/>
        <w:adjustRightInd w:val="0"/>
        <w:snapToGrid w:val="0"/>
        <w:spacing w:line="360" w:lineRule="auto"/>
        <w:ind w:firstLine="420" w:firstLineChars="200"/>
        <w:outlineLvl w:val="9"/>
        <w:rPr>
          <w:rFonts w:hint="eastAsia" w:asciiTheme="majorEastAsia" w:hAnsiTheme="majorEastAsia" w:eastAsiaTheme="majorEastAsia" w:cstheme="majorEastAsia"/>
          <w:color w:val="auto"/>
          <w:sz w:val="21"/>
          <w:szCs w:val="21"/>
        </w:rPr>
      </w:pPr>
    </w:p>
    <w:p>
      <w:pPr>
        <w:pStyle w:val="12"/>
        <w:adjustRightInd w:val="0"/>
        <w:snapToGrid w:val="0"/>
        <w:spacing w:line="360" w:lineRule="auto"/>
        <w:ind w:firstLine="420" w:firstLineChars="200"/>
        <w:outlineLvl w:val="9"/>
        <w:rPr>
          <w:rFonts w:hint="eastAsia" w:asciiTheme="majorEastAsia" w:hAnsiTheme="majorEastAsia" w:eastAsiaTheme="majorEastAsia" w:cstheme="majorEastAsia"/>
          <w:color w:val="auto"/>
          <w:sz w:val="21"/>
          <w:szCs w:val="21"/>
        </w:rPr>
      </w:pPr>
    </w:p>
    <w:p>
      <w:pPr>
        <w:pStyle w:val="12"/>
        <w:adjustRightInd w:val="0"/>
        <w:snapToGrid w:val="0"/>
        <w:spacing w:line="360" w:lineRule="auto"/>
        <w:ind w:firstLine="420" w:firstLineChars="200"/>
        <w:outlineLvl w:val="9"/>
        <w:rPr>
          <w:rFonts w:hint="eastAsia" w:asciiTheme="majorEastAsia" w:hAnsiTheme="majorEastAsia" w:eastAsiaTheme="majorEastAsia" w:cstheme="majorEastAsia"/>
          <w:color w:val="auto"/>
          <w:sz w:val="21"/>
          <w:szCs w:val="21"/>
        </w:rPr>
      </w:pPr>
    </w:p>
    <w:p>
      <w:pPr>
        <w:outlineLvl w:val="9"/>
        <w:rPr>
          <w:rFonts w:hint="eastAsia" w:asciiTheme="majorEastAsia" w:hAnsiTheme="majorEastAsia" w:eastAsiaTheme="majorEastAsia" w:cstheme="majorEastAsia"/>
          <w:color w:val="auto"/>
        </w:rPr>
      </w:pPr>
    </w:p>
    <w:p>
      <w:pPr>
        <w:outlineLvl w:val="9"/>
        <w:rPr>
          <w:rFonts w:hint="eastAsia" w:asciiTheme="majorEastAsia" w:hAnsiTheme="majorEastAsia" w:eastAsiaTheme="majorEastAsia" w:cstheme="majorEastAsia"/>
          <w:color w:val="auto"/>
        </w:rPr>
      </w:pPr>
    </w:p>
    <w:p>
      <w:pPr>
        <w:pStyle w:val="12"/>
        <w:adjustRightInd w:val="0"/>
        <w:snapToGrid w:val="0"/>
        <w:spacing w:line="360" w:lineRule="auto"/>
        <w:ind w:firstLine="420" w:firstLineChars="200"/>
        <w:outlineLvl w:val="9"/>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color w:val="auto"/>
          <w:sz w:val="21"/>
          <w:szCs w:val="21"/>
        </w:rPr>
        <w:t>供应商名称：</w:t>
      </w:r>
      <w:r>
        <w:rPr>
          <w:rFonts w:hint="eastAsia" w:asciiTheme="majorEastAsia" w:hAnsiTheme="majorEastAsia" w:eastAsiaTheme="majorEastAsia" w:cstheme="majorEastAsia"/>
          <w:color w:val="auto"/>
          <w:sz w:val="21"/>
          <w:szCs w:val="21"/>
          <w:u w:val="single"/>
        </w:rPr>
        <w:t xml:space="preserve">                </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法定代表人或其委托代理人(签字)：</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日期：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年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月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日</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p>
    <w:p>
      <w:pPr>
        <w:adjustRightInd w:val="0"/>
        <w:snapToGrid w:val="0"/>
        <w:spacing w:line="360" w:lineRule="auto"/>
        <w:outlineLvl w:val="9"/>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p>
    <w:p>
      <w:pPr>
        <w:pStyle w:val="19"/>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19"/>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19"/>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19"/>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19"/>
        <w:rPr>
          <w:rFonts w:hint="eastAsia" w:asciiTheme="majorEastAsia" w:hAnsiTheme="majorEastAsia" w:eastAsiaTheme="majorEastAsia" w:cstheme="majorEastAsia"/>
          <w:color w:val="auto"/>
          <w:szCs w:val="21"/>
        </w:rPr>
      </w:pPr>
    </w:p>
    <w:p>
      <w:pPr>
        <w:rPr>
          <w:rFonts w:hint="eastAsia" w:asciiTheme="majorEastAsia" w:hAnsiTheme="majorEastAsia" w:eastAsiaTheme="majorEastAsia" w:cstheme="majorEastAsia"/>
          <w:color w:val="auto"/>
          <w:szCs w:val="21"/>
        </w:rPr>
      </w:pPr>
    </w:p>
    <w:p>
      <w:pPr>
        <w:pStyle w:val="19"/>
        <w:rPr>
          <w:rFonts w:hint="eastAsia" w:asciiTheme="majorEastAsia" w:hAnsiTheme="majorEastAsia" w:eastAsiaTheme="majorEastAsia" w:cstheme="majorEastAsia"/>
          <w:color w:val="auto"/>
        </w:rPr>
      </w:pPr>
    </w:p>
    <w:p>
      <w:pPr>
        <w:adjustRightInd w:val="0"/>
        <w:snapToGrid w:val="0"/>
        <w:rPr>
          <w:rFonts w:hint="eastAsia" w:asciiTheme="majorEastAsia" w:hAnsiTheme="majorEastAsia" w:eastAsiaTheme="majorEastAsia" w:cstheme="majorEastAsia"/>
          <w:color w:val="auto"/>
          <w:sz w:val="24"/>
        </w:rPr>
      </w:pPr>
    </w:p>
    <w:p>
      <w:pPr>
        <w:spacing w:line="360" w:lineRule="atLeast"/>
        <w:jc w:val="center"/>
        <w:outlineLvl w:val="9"/>
        <w:rPr>
          <w:rFonts w:hint="eastAsia" w:asciiTheme="majorEastAsia" w:hAnsiTheme="majorEastAsia" w:eastAsiaTheme="majorEastAsia" w:cstheme="majorEastAsia"/>
          <w:b/>
          <w:bCs w:val="0"/>
          <w:color w:val="auto"/>
          <w:sz w:val="28"/>
          <w:szCs w:val="28"/>
        </w:rPr>
      </w:pPr>
      <w:r>
        <w:rPr>
          <w:rFonts w:hint="eastAsia" w:asciiTheme="majorEastAsia" w:hAnsiTheme="majorEastAsia" w:eastAsiaTheme="majorEastAsia" w:cstheme="majorEastAsia"/>
          <w:b/>
          <w:bCs w:val="0"/>
          <w:color w:val="auto"/>
          <w:sz w:val="28"/>
          <w:szCs w:val="28"/>
          <w:lang w:eastAsia="zh-CN"/>
        </w:rPr>
        <w:t>（二）</w:t>
      </w:r>
      <w:r>
        <w:rPr>
          <w:rFonts w:hint="eastAsia" w:asciiTheme="majorEastAsia" w:hAnsiTheme="majorEastAsia" w:eastAsiaTheme="majorEastAsia" w:cstheme="majorEastAsia"/>
          <w:b/>
          <w:bCs w:val="0"/>
          <w:color w:val="auto"/>
          <w:sz w:val="28"/>
          <w:szCs w:val="28"/>
        </w:rPr>
        <w:t>主要人员简历表</w:t>
      </w:r>
    </w:p>
    <w:p>
      <w:pPr>
        <w:pStyle w:val="19"/>
        <w:ind w:firstLine="560"/>
        <w:outlineLvl w:val="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Cs/>
          <w:color w:val="auto"/>
          <w:sz w:val="28"/>
          <w:szCs w:val="28"/>
        </w:rPr>
        <w:t xml:space="preserve">               </w:t>
      </w:r>
    </w:p>
    <w:tbl>
      <w:tblPr>
        <w:tblStyle w:val="2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772"/>
        <w:gridCol w:w="2468"/>
        <w:gridCol w:w="396"/>
        <w:gridCol w:w="1404"/>
        <w:gridCol w:w="5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trPr>
        <w:tc>
          <w:tcPr>
            <w:tcW w:w="2032" w:type="dxa"/>
            <w:gridSpan w:val="2"/>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姓   名</w:t>
            </w:r>
          </w:p>
        </w:tc>
        <w:tc>
          <w:tcPr>
            <w:tcW w:w="2468"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340" w:type="dxa"/>
            <w:gridSpan w:val="3"/>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性  别</w:t>
            </w:r>
          </w:p>
        </w:tc>
        <w:tc>
          <w:tcPr>
            <w:tcW w:w="1663" w:type="dxa"/>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trPr>
        <w:tc>
          <w:tcPr>
            <w:tcW w:w="2032" w:type="dxa"/>
            <w:gridSpan w:val="2"/>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职   务</w:t>
            </w:r>
          </w:p>
        </w:tc>
        <w:tc>
          <w:tcPr>
            <w:tcW w:w="2468"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340" w:type="dxa"/>
            <w:gridSpan w:val="3"/>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职  称</w:t>
            </w:r>
          </w:p>
        </w:tc>
        <w:tc>
          <w:tcPr>
            <w:tcW w:w="1663" w:type="dxa"/>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trPr>
        <w:tc>
          <w:tcPr>
            <w:tcW w:w="2032" w:type="dxa"/>
            <w:gridSpan w:val="2"/>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毕业学校、专业</w:t>
            </w:r>
          </w:p>
        </w:tc>
        <w:tc>
          <w:tcPr>
            <w:tcW w:w="6471" w:type="dxa"/>
            <w:gridSpan w:val="5"/>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trPr>
        <w:tc>
          <w:tcPr>
            <w:tcW w:w="2032" w:type="dxa"/>
            <w:gridSpan w:val="2"/>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身份证号</w:t>
            </w:r>
          </w:p>
        </w:tc>
        <w:tc>
          <w:tcPr>
            <w:tcW w:w="2468"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340" w:type="dxa"/>
            <w:gridSpan w:val="3"/>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拟在本合同任职</w:t>
            </w:r>
          </w:p>
        </w:tc>
        <w:tc>
          <w:tcPr>
            <w:tcW w:w="1663" w:type="dxa"/>
            <w:noWrap w:val="0"/>
            <w:vAlign w:val="center"/>
          </w:tcPr>
          <w:p>
            <w:pPr>
              <w:spacing w:line="360" w:lineRule="atLeast"/>
              <w:ind w:right="-105" w:rightChars="-50"/>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771" w:hRule="exact"/>
        </w:trPr>
        <w:tc>
          <w:tcPr>
            <w:tcW w:w="2032" w:type="dxa"/>
            <w:gridSpan w:val="2"/>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执业资格证</w:t>
            </w:r>
          </w:p>
        </w:tc>
        <w:tc>
          <w:tcPr>
            <w:tcW w:w="2468"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340" w:type="dxa"/>
            <w:gridSpan w:val="3"/>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执业资格证书号</w:t>
            </w:r>
          </w:p>
        </w:tc>
        <w:tc>
          <w:tcPr>
            <w:tcW w:w="1663" w:type="dxa"/>
            <w:noWrap w:val="0"/>
            <w:vAlign w:val="center"/>
          </w:tcPr>
          <w:p>
            <w:pP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trPr>
        <w:tc>
          <w:tcPr>
            <w:tcW w:w="8503" w:type="dxa"/>
            <w:gridSpan w:val="7"/>
            <w:noWrap w:val="0"/>
            <w:vAlign w:val="center"/>
          </w:tcPr>
          <w:p>
            <w:pPr>
              <w:spacing w:line="360" w:lineRule="atLeast"/>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近三年承担项目情况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时间</w:t>
            </w:r>
          </w:p>
        </w:tc>
        <w:tc>
          <w:tcPr>
            <w:tcW w:w="3636" w:type="dxa"/>
            <w:gridSpan w:val="3"/>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类似项目名称</w:t>
            </w:r>
          </w:p>
        </w:tc>
        <w:tc>
          <w:tcPr>
            <w:tcW w:w="1404" w:type="dxa"/>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担任职务</w:t>
            </w:r>
          </w:p>
        </w:tc>
        <w:tc>
          <w:tcPr>
            <w:tcW w:w="2203" w:type="dxa"/>
            <w:gridSpan w:val="2"/>
            <w:noWrap w:val="0"/>
            <w:vAlign w:val="center"/>
          </w:tcPr>
          <w:p>
            <w:pPr>
              <w:spacing w:line="360" w:lineRule="atLeast"/>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项目单位名称及电话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3636" w:type="dxa"/>
            <w:gridSpan w:val="3"/>
            <w:noWrap w:val="0"/>
            <w:vAlign w:val="center"/>
          </w:tcPr>
          <w:p>
            <w:pPr>
              <w:spacing w:line="360" w:lineRule="atLeast"/>
              <w:jc w:val="center"/>
              <w:rPr>
                <w:rFonts w:hint="eastAsia" w:asciiTheme="majorEastAsia" w:hAnsiTheme="majorEastAsia" w:eastAsiaTheme="majorEastAsia" w:cstheme="majorEastAsia"/>
                <w:color w:val="auto"/>
              </w:rPr>
            </w:pPr>
          </w:p>
        </w:tc>
        <w:tc>
          <w:tcPr>
            <w:tcW w:w="1404"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203" w:type="dxa"/>
            <w:gridSpan w:val="2"/>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3636" w:type="dxa"/>
            <w:gridSpan w:val="3"/>
            <w:noWrap w:val="0"/>
            <w:vAlign w:val="center"/>
          </w:tcPr>
          <w:p>
            <w:pPr>
              <w:spacing w:line="360" w:lineRule="atLeast"/>
              <w:jc w:val="center"/>
              <w:rPr>
                <w:rFonts w:hint="eastAsia" w:asciiTheme="majorEastAsia" w:hAnsiTheme="majorEastAsia" w:eastAsiaTheme="majorEastAsia" w:cstheme="majorEastAsia"/>
                <w:color w:val="auto"/>
              </w:rPr>
            </w:pPr>
          </w:p>
        </w:tc>
        <w:tc>
          <w:tcPr>
            <w:tcW w:w="1404"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203" w:type="dxa"/>
            <w:gridSpan w:val="2"/>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0" w:hRule="exact"/>
        </w:trPr>
        <w:tc>
          <w:tcPr>
            <w:tcW w:w="1260"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3636" w:type="dxa"/>
            <w:gridSpan w:val="3"/>
            <w:noWrap w:val="0"/>
            <w:vAlign w:val="center"/>
          </w:tcPr>
          <w:p>
            <w:pPr>
              <w:spacing w:line="360" w:lineRule="atLeast"/>
              <w:jc w:val="center"/>
              <w:rPr>
                <w:rFonts w:hint="eastAsia" w:asciiTheme="majorEastAsia" w:hAnsiTheme="majorEastAsia" w:eastAsiaTheme="majorEastAsia" w:cstheme="majorEastAsia"/>
                <w:color w:val="auto"/>
              </w:rPr>
            </w:pPr>
          </w:p>
        </w:tc>
        <w:tc>
          <w:tcPr>
            <w:tcW w:w="1404"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203" w:type="dxa"/>
            <w:gridSpan w:val="2"/>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3636" w:type="dxa"/>
            <w:gridSpan w:val="3"/>
            <w:noWrap w:val="0"/>
            <w:vAlign w:val="center"/>
          </w:tcPr>
          <w:p>
            <w:pPr>
              <w:spacing w:line="360" w:lineRule="atLeast"/>
              <w:jc w:val="center"/>
              <w:rPr>
                <w:rFonts w:hint="eastAsia" w:asciiTheme="majorEastAsia" w:hAnsiTheme="majorEastAsia" w:eastAsiaTheme="majorEastAsia" w:cstheme="majorEastAsia"/>
                <w:color w:val="auto"/>
              </w:rPr>
            </w:pPr>
          </w:p>
        </w:tc>
        <w:tc>
          <w:tcPr>
            <w:tcW w:w="1404"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203" w:type="dxa"/>
            <w:gridSpan w:val="2"/>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0" w:hRule="exact"/>
        </w:trPr>
        <w:tc>
          <w:tcPr>
            <w:tcW w:w="1260"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3636" w:type="dxa"/>
            <w:gridSpan w:val="3"/>
            <w:noWrap w:val="0"/>
            <w:vAlign w:val="center"/>
          </w:tcPr>
          <w:p>
            <w:pPr>
              <w:spacing w:line="360" w:lineRule="atLeast"/>
              <w:jc w:val="center"/>
              <w:rPr>
                <w:rFonts w:hint="eastAsia" w:asciiTheme="majorEastAsia" w:hAnsiTheme="majorEastAsia" w:eastAsiaTheme="majorEastAsia" w:cstheme="majorEastAsia"/>
                <w:color w:val="auto"/>
              </w:rPr>
            </w:pPr>
          </w:p>
        </w:tc>
        <w:tc>
          <w:tcPr>
            <w:tcW w:w="1404"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203" w:type="dxa"/>
            <w:gridSpan w:val="2"/>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0" w:hRule="exact"/>
        </w:trPr>
        <w:tc>
          <w:tcPr>
            <w:tcW w:w="1260"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3636" w:type="dxa"/>
            <w:gridSpan w:val="3"/>
            <w:noWrap w:val="0"/>
            <w:vAlign w:val="center"/>
          </w:tcPr>
          <w:p>
            <w:pPr>
              <w:spacing w:line="360" w:lineRule="atLeast"/>
              <w:jc w:val="center"/>
              <w:rPr>
                <w:rFonts w:hint="eastAsia" w:asciiTheme="majorEastAsia" w:hAnsiTheme="majorEastAsia" w:eastAsiaTheme="majorEastAsia" w:cstheme="majorEastAsia"/>
                <w:color w:val="auto"/>
              </w:rPr>
            </w:pPr>
          </w:p>
        </w:tc>
        <w:tc>
          <w:tcPr>
            <w:tcW w:w="1404"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203" w:type="dxa"/>
            <w:gridSpan w:val="2"/>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3636" w:type="dxa"/>
            <w:gridSpan w:val="3"/>
            <w:noWrap w:val="0"/>
            <w:vAlign w:val="center"/>
          </w:tcPr>
          <w:p>
            <w:pPr>
              <w:spacing w:line="360" w:lineRule="atLeast"/>
              <w:jc w:val="center"/>
              <w:rPr>
                <w:rFonts w:hint="eastAsia" w:asciiTheme="majorEastAsia" w:hAnsiTheme="majorEastAsia" w:eastAsiaTheme="majorEastAsia" w:cstheme="majorEastAsia"/>
                <w:color w:val="auto"/>
              </w:rPr>
            </w:pPr>
          </w:p>
        </w:tc>
        <w:tc>
          <w:tcPr>
            <w:tcW w:w="1404"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203" w:type="dxa"/>
            <w:gridSpan w:val="2"/>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0" w:hRule="exact"/>
        </w:trPr>
        <w:tc>
          <w:tcPr>
            <w:tcW w:w="1260"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3636" w:type="dxa"/>
            <w:gridSpan w:val="3"/>
            <w:noWrap w:val="0"/>
            <w:vAlign w:val="center"/>
          </w:tcPr>
          <w:p>
            <w:pPr>
              <w:spacing w:line="360" w:lineRule="atLeast"/>
              <w:jc w:val="center"/>
              <w:rPr>
                <w:rFonts w:hint="eastAsia" w:asciiTheme="majorEastAsia" w:hAnsiTheme="majorEastAsia" w:eastAsiaTheme="majorEastAsia" w:cstheme="majorEastAsia"/>
                <w:color w:val="auto"/>
              </w:rPr>
            </w:pPr>
          </w:p>
        </w:tc>
        <w:tc>
          <w:tcPr>
            <w:tcW w:w="1404"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203" w:type="dxa"/>
            <w:gridSpan w:val="2"/>
            <w:noWrap w:val="0"/>
            <w:vAlign w:val="center"/>
          </w:tcPr>
          <w:p>
            <w:pPr>
              <w:spacing w:line="360" w:lineRule="atLeast"/>
              <w:jc w:val="center"/>
              <w:rPr>
                <w:rFonts w:hint="eastAsia" w:asciiTheme="majorEastAsia" w:hAnsiTheme="majorEastAsia" w:eastAsiaTheme="majorEastAsia" w:cstheme="maj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trPr>
        <w:tc>
          <w:tcPr>
            <w:tcW w:w="1260"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3636" w:type="dxa"/>
            <w:gridSpan w:val="3"/>
            <w:noWrap w:val="0"/>
            <w:vAlign w:val="center"/>
          </w:tcPr>
          <w:p>
            <w:pPr>
              <w:spacing w:line="360" w:lineRule="atLeast"/>
              <w:jc w:val="center"/>
              <w:rPr>
                <w:rFonts w:hint="eastAsia" w:asciiTheme="majorEastAsia" w:hAnsiTheme="majorEastAsia" w:eastAsiaTheme="majorEastAsia" w:cstheme="majorEastAsia"/>
                <w:color w:val="auto"/>
              </w:rPr>
            </w:pPr>
          </w:p>
        </w:tc>
        <w:tc>
          <w:tcPr>
            <w:tcW w:w="1404" w:type="dxa"/>
            <w:noWrap w:val="0"/>
            <w:vAlign w:val="center"/>
          </w:tcPr>
          <w:p>
            <w:pPr>
              <w:spacing w:line="360" w:lineRule="atLeast"/>
              <w:jc w:val="center"/>
              <w:rPr>
                <w:rFonts w:hint="eastAsia" w:asciiTheme="majorEastAsia" w:hAnsiTheme="majorEastAsia" w:eastAsiaTheme="majorEastAsia" w:cstheme="majorEastAsia"/>
                <w:color w:val="auto"/>
              </w:rPr>
            </w:pPr>
          </w:p>
        </w:tc>
        <w:tc>
          <w:tcPr>
            <w:tcW w:w="2203" w:type="dxa"/>
            <w:gridSpan w:val="2"/>
            <w:noWrap w:val="0"/>
            <w:vAlign w:val="center"/>
          </w:tcPr>
          <w:p>
            <w:pPr>
              <w:spacing w:line="360" w:lineRule="atLeast"/>
              <w:jc w:val="center"/>
              <w:rPr>
                <w:rFonts w:hint="eastAsia" w:asciiTheme="majorEastAsia" w:hAnsiTheme="majorEastAsia" w:eastAsiaTheme="majorEastAsia" w:cstheme="majorEastAsia"/>
                <w:color w:val="auto"/>
              </w:rPr>
            </w:pPr>
          </w:p>
        </w:tc>
      </w:tr>
    </w:tbl>
    <w:p>
      <w:pPr>
        <w:spacing w:line="360" w:lineRule="atLeast"/>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1"/>
        </w:rPr>
        <w:t>说明</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color w:val="auto"/>
          <w:szCs w:val="21"/>
        </w:rPr>
        <w:t>主要人员证书、</w:t>
      </w:r>
      <w:r>
        <w:rPr>
          <w:rFonts w:hint="eastAsia" w:asciiTheme="majorEastAsia" w:hAnsiTheme="majorEastAsia" w:eastAsiaTheme="majorEastAsia" w:cstheme="majorEastAsia"/>
          <w:color w:val="auto"/>
        </w:rPr>
        <w:t>类似项目证明资料等按第二章第41.1款或第四章要求提供。</w:t>
      </w:r>
    </w:p>
    <w:p>
      <w:pPr>
        <w:adjustRightInd w:val="0"/>
        <w:snapToGrid w:val="0"/>
        <w:spacing w:line="360" w:lineRule="auto"/>
        <w:rPr>
          <w:rFonts w:hint="eastAsia" w:asciiTheme="majorEastAsia" w:hAnsiTheme="majorEastAsia" w:eastAsiaTheme="majorEastAsia" w:cstheme="majorEastAsia"/>
          <w:color w:val="auto"/>
          <w:szCs w:val="21"/>
        </w:rPr>
      </w:pPr>
    </w:p>
    <w:p>
      <w:pPr>
        <w:rPr>
          <w:rFonts w:hint="eastAsia" w:asciiTheme="majorEastAsia" w:hAnsiTheme="majorEastAsia" w:eastAsiaTheme="majorEastAsia" w:cstheme="majorEastAsia"/>
          <w:color w:val="auto"/>
          <w:szCs w:val="21"/>
        </w:rPr>
      </w:pPr>
    </w:p>
    <w:p>
      <w:pPr>
        <w:pStyle w:val="12"/>
        <w:adjustRightInd w:val="0"/>
        <w:snapToGrid w:val="0"/>
        <w:spacing w:line="360" w:lineRule="auto"/>
        <w:outlineLvl w:val="9"/>
        <w:rPr>
          <w:rFonts w:hint="eastAsia"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color w:val="auto"/>
          <w:sz w:val="21"/>
          <w:szCs w:val="21"/>
        </w:rPr>
        <w:t>供应商名称：</w:t>
      </w:r>
      <w:r>
        <w:rPr>
          <w:rFonts w:hint="eastAsia" w:asciiTheme="majorEastAsia" w:hAnsiTheme="majorEastAsia" w:eastAsiaTheme="majorEastAsia" w:cstheme="majorEastAsia"/>
          <w:color w:val="auto"/>
          <w:sz w:val="21"/>
          <w:szCs w:val="21"/>
          <w:u w:val="single"/>
        </w:rPr>
        <w:t xml:space="preserve">                </w:t>
      </w:r>
    </w:p>
    <w:p>
      <w:pPr>
        <w:adjustRightInd w:val="0"/>
        <w:snapToGrid w:val="0"/>
        <w:spacing w:line="360" w:lineRule="auto"/>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法定代表人或其委托代理人(签字)：</w:t>
      </w:r>
      <w:r>
        <w:rPr>
          <w:rFonts w:hint="eastAsia" w:asciiTheme="majorEastAsia" w:hAnsiTheme="majorEastAsia" w:eastAsiaTheme="majorEastAsia" w:cstheme="majorEastAsia"/>
          <w:color w:val="auto"/>
          <w:szCs w:val="21"/>
          <w:u w:val="single"/>
        </w:rPr>
        <w:t xml:space="preserve">              </w:t>
      </w:r>
    </w:p>
    <w:p>
      <w:pPr>
        <w:spacing w:line="360" w:lineRule="exact"/>
        <w:outlineLvl w:val="9"/>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Cs w:val="21"/>
        </w:rPr>
        <w:t xml:space="preserve">日期：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年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月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日</w:t>
      </w:r>
    </w:p>
    <w:p>
      <w:pPr>
        <w:spacing w:line="360" w:lineRule="exact"/>
        <w:ind w:firstLine="480"/>
        <w:outlineLvl w:val="9"/>
        <w:rPr>
          <w:rFonts w:hint="eastAsia" w:asciiTheme="majorEastAsia" w:hAnsiTheme="majorEastAsia" w:eastAsiaTheme="majorEastAsia" w:cstheme="majorEastAsia"/>
          <w:color w:val="auto"/>
        </w:rPr>
      </w:pPr>
    </w:p>
    <w:p>
      <w:pPr>
        <w:pStyle w:val="19"/>
        <w:ind w:left="0" w:leftChars="0" w:firstLine="0" w:firstLineChars="0"/>
        <w:outlineLvl w:val="9"/>
        <w:rPr>
          <w:rFonts w:hint="eastAsia" w:asciiTheme="majorEastAsia" w:hAnsiTheme="majorEastAsia" w:eastAsiaTheme="majorEastAsia" w:cstheme="majorEastAsia"/>
          <w:b/>
          <w:color w:val="auto"/>
          <w:szCs w:val="21"/>
        </w:rPr>
      </w:pPr>
    </w:p>
    <w:p>
      <w:pPr>
        <w:pStyle w:val="19"/>
        <w:ind w:left="0" w:leftChars="0" w:firstLine="0" w:firstLineChars="0"/>
        <w:outlineLvl w:val="9"/>
        <w:rPr>
          <w:rFonts w:hint="eastAsia" w:asciiTheme="majorEastAsia" w:hAnsiTheme="majorEastAsia" w:eastAsiaTheme="majorEastAsia" w:cstheme="majorEastAsia"/>
          <w:b/>
          <w:color w:val="auto"/>
          <w:szCs w:val="21"/>
        </w:rPr>
      </w:pPr>
    </w:p>
    <w:p>
      <w:pPr>
        <w:spacing w:line="360" w:lineRule="atLeast"/>
        <w:jc w:val="center"/>
        <w:rPr>
          <w:rFonts w:hint="eastAsia" w:asciiTheme="majorEastAsia" w:hAnsiTheme="majorEastAsia" w:eastAsiaTheme="majorEastAsia" w:cstheme="majorEastAsia"/>
          <w:bCs/>
          <w:color w:val="auto"/>
          <w:sz w:val="28"/>
          <w:szCs w:val="28"/>
        </w:rPr>
      </w:pPr>
    </w:p>
    <w:p>
      <w:pPr>
        <w:spacing w:line="360" w:lineRule="atLeast"/>
        <w:jc w:val="center"/>
        <w:rPr>
          <w:rFonts w:hint="eastAsia" w:asciiTheme="majorEastAsia" w:hAnsiTheme="majorEastAsia" w:eastAsiaTheme="majorEastAsia" w:cstheme="majorEastAsia"/>
          <w:bCs/>
          <w:color w:val="auto"/>
          <w:sz w:val="28"/>
          <w:szCs w:val="28"/>
        </w:rPr>
      </w:pPr>
    </w:p>
    <w:p>
      <w:pPr>
        <w:tabs>
          <w:tab w:val="left" w:pos="3600"/>
        </w:tabs>
        <w:adjustRightInd w:val="0"/>
        <w:snapToGrid w:val="0"/>
        <w:jc w:val="center"/>
        <w:outlineLvl w:val="2"/>
        <w:rPr>
          <w:rFonts w:hint="eastAsia" w:ascii="宋体" w:hAnsi="宋体" w:cs="宋体"/>
          <w:b/>
          <w:sz w:val="32"/>
          <w:szCs w:val="32"/>
        </w:rPr>
      </w:pPr>
      <w:bookmarkStart w:id="96" w:name="_Toc14856"/>
      <w:r>
        <w:rPr>
          <w:rFonts w:hint="eastAsia" w:ascii="宋体" w:hAnsi="宋体" w:cs="宋体"/>
          <w:b/>
          <w:sz w:val="32"/>
          <w:szCs w:val="32"/>
          <w:lang w:eastAsia="zh-CN"/>
        </w:rPr>
        <w:t>七</w:t>
      </w:r>
      <w:r>
        <w:rPr>
          <w:rFonts w:hint="eastAsia" w:ascii="宋体" w:hAnsi="宋体" w:cs="宋体"/>
          <w:b/>
          <w:sz w:val="32"/>
          <w:szCs w:val="32"/>
        </w:rPr>
        <w:t>、享受政府采购政策优惠的证明资料</w:t>
      </w:r>
      <w:bookmarkEnd w:id="96"/>
    </w:p>
    <w:p>
      <w:pPr>
        <w:outlineLvl w:val="9"/>
        <w:rPr>
          <w:rFonts w:hint="eastAsia" w:ascii="黑体" w:hAnsi="宋体" w:cs="宋体"/>
          <w:b w:val="0"/>
          <w:sz w:val="21"/>
          <w:szCs w:val="21"/>
        </w:rPr>
      </w:pPr>
    </w:p>
    <w:p>
      <w:pPr>
        <w:outlineLvl w:val="9"/>
        <w:rPr>
          <w:rFonts w:ascii="黑体" w:hAnsi="宋体"/>
          <w:b w:val="0"/>
          <w:spacing w:val="6"/>
          <w:sz w:val="21"/>
          <w:szCs w:val="21"/>
        </w:rPr>
      </w:pPr>
      <w:r>
        <w:rPr>
          <w:rFonts w:hint="eastAsia" w:ascii="黑体" w:hAnsi="宋体" w:cs="宋体"/>
          <w:b w:val="0"/>
          <w:sz w:val="21"/>
          <w:szCs w:val="21"/>
        </w:rPr>
        <w:t>附件8-1</w:t>
      </w:r>
      <w:r>
        <w:rPr>
          <w:rFonts w:hint="eastAsia" w:ascii="黑体" w:hAnsi="宋体"/>
          <w:b w:val="0"/>
          <w:spacing w:val="6"/>
          <w:sz w:val="21"/>
          <w:szCs w:val="21"/>
        </w:rPr>
        <w:t>残疾人福利性单位声明函</w:t>
      </w:r>
    </w:p>
    <w:p>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(不属于残疾人福利性单位的无需填写)</w:t>
      </w:r>
    </w:p>
    <w:p>
      <w:pPr>
        <w:adjustRightInd w:val="0"/>
        <w:snapToGrid w:val="0"/>
        <w:spacing w:line="360" w:lineRule="auto"/>
        <w:ind w:firstLine="444" w:firstLineChars="200"/>
        <w:rPr>
          <w:rFonts w:ascii="宋体" w:hAnsi="宋体"/>
          <w:spacing w:val="6"/>
          <w:szCs w:val="21"/>
        </w:rPr>
      </w:pPr>
    </w:p>
    <w:p>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spacing w:val="6"/>
          <w:szCs w:val="21"/>
        </w:rPr>
      </w:pPr>
    </w:p>
    <w:p>
      <w:pPr>
        <w:adjustRightInd w:val="0"/>
        <w:snapToGrid w:val="0"/>
        <w:spacing w:line="360" w:lineRule="auto"/>
        <w:ind w:firstLine="444" w:firstLineChars="200"/>
        <w:rPr>
          <w:rFonts w:ascii="宋体" w:hAnsi="宋体"/>
          <w:spacing w:val="6"/>
          <w:szCs w:val="21"/>
        </w:rPr>
      </w:pPr>
    </w:p>
    <w:p>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日  期：</w:t>
      </w:r>
    </w:p>
    <w:p>
      <w:pPr>
        <w:widowControl/>
        <w:adjustRightInd w:val="0"/>
        <w:snapToGrid w:val="0"/>
        <w:spacing w:line="360" w:lineRule="auto"/>
        <w:jc w:val="left"/>
        <w:rPr>
          <w:rFonts w:ascii="宋体" w:hAnsi="宋体" w:cs="宋体"/>
          <w:kern w:val="0"/>
          <w:szCs w:val="21"/>
        </w:rPr>
      </w:pPr>
    </w:p>
    <w:p>
      <w:pPr>
        <w:widowControl/>
        <w:jc w:val="left"/>
        <w:rPr>
          <w:rFonts w:ascii="黑体" w:hAnsi="华文中宋" w:eastAsia="黑体" w:cs="宋体"/>
          <w:spacing w:val="6"/>
          <w:kern w:val="0"/>
          <w:szCs w:val="21"/>
        </w:rPr>
      </w:pPr>
      <w:r>
        <w:rPr>
          <w:rFonts w:ascii="黑体" w:hAnsi="华文中宋" w:cs="宋体"/>
          <w:b/>
          <w:bCs/>
          <w:spacing w:val="6"/>
          <w:kern w:val="0"/>
          <w:szCs w:val="21"/>
        </w:rPr>
        <w:br w:type="page"/>
      </w:r>
    </w:p>
    <w:p>
      <w:pPr>
        <w:outlineLvl w:val="9"/>
        <w:rPr>
          <w:rFonts w:ascii="黑体" w:hAnsi="宋体"/>
          <w:b w:val="0"/>
          <w:sz w:val="21"/>
          <w:szCs w:val="21"/>
        </w:rPr>
      </w:pPr>
      <w:bookmarkStart w:id="97" w:name="_Toc5827"/>
      <w:bookmarkStart w:id="98" w:name="_Toc19152"/>
      <w:r>
        <w:rPr>
          <w:rFonts w:hint="eastAsia" w:ascii="黑体" w:hAnsi="宋体" w:cs="宋体"/>
          <w:b w:val="0"/>
          <w:sz w:val="21"/>
          <w:szCs w:val="21"/>
        </w:rPr>
        <w:t xml:space="preserve">附件8-2 </w:t>
      </w:r>
      <w:r>
        <w:rPr>
          <w:rFonts w:hint="eastAsia" w:ascii="黑体" w:hAnsi="宋体"/>
          <w:b w:val="0"/>
          <w:sz w:val="21"/>
          <w:szCs w:val="21"/>
        </w:rPr>
        <w:t>监狱企业证明资料</w:t>
      </w:r>
      <w:bookmarkEnd w:id="97"/>
      <w:bookmarkEnd w:id="98"/>
    </w:p>
    <w:p>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(不属于监狱企业的无需提供)</w:t>
      </w:r>
    </w:p>
    <w:p>
      <w:pPr>
        <w:adjustRightInd w:val="0"/>
        <w:snapToGrid w:val="0"/>
        <w:spacing w:line="360" w:lineRule="auto"/>
        <w:rPr>
          <w:rFonts w:ascii="宋体" w:hAnsi="宋体"/>
          <w:szCs w:val="21"/>
        </w:rPr>
      </w:pPr>
    </w:p>
    <w:p>
      <w:pPr>
        <w:adjustRightInd w:val="0"/>
        <w:snapToGrid w:val="0"/>
        <w:spacing w:line="360" w:lineRule="auto"/>
        <w:ind w:firstLine="444" w:firstLineChars="200"/>
        <w:rPr>
          <w:rFonts w:ascii="宋体" w:hAnsi="宋体"/>
          <w:szCs w:val="21"/>
        </w:rPr>
      </w:pPr>
      <w:r>
        <w:rPr>
          <w:rFonts w:hint="eastAsia" w:ascii="宋体" w:hAnsi="宋体" w:cs="宋体"/>
          <w:bCs/>
          <w:spacing w:val="6"/>
          <w:kern w:val="0"/>
          <w:szCs w:val="21"/>
        </w:rPr>
        <w:t>备注：</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司法部关于政府采购支持监狱企业发展有关问题的通知</w:t>
      </w:r>
      <w:r>
        <w:rPr>
          <w:rFonts w:hint="eastAsia" w:ascii="宋体" w:hAnsi="宋体"/>
          <w:spacing w:val="6"/>
          <w:szCs w:val="21"/>
        </w:rPr>
        <w:t>》</w:t>
      </w:r>
      <w:r>
        <w:rPr>
          <w:rFonts w:hint="eastAsia" w:ascii="宋体" w:hAnsi="宋体"/>
          <w:szCs w:val="21"/>
        </w:rPr>
        <w:t>(财库〔2014〕68号)文件规定提供证明文件（复印件）。</w:t>
      </w:r>
    </w:p>
    <w:p>
      <w:pPr>
        <w:adjustRightInd w:val="0"/>
        <w:snapToGrid w:val="0"/>
        <w:spacing w:line="360" w:lineRule="auto"/>
        <w:rPr>
          <w:rFonts w:ascii="黑体" w:hAnsi="华文中宋" w:eastAsia="黑体" w:cs="宋体"/>
          <w:bCs/>
          <w:spacing w:val="6"/>
          <w:kern w:val="0"/>
          <w:szCs w:val="21"/>
        </w:rPr>
      </w:pPr>
      <w:r>
        <w:rPr>
          <w:rFonts w:ascii="黑体" w:hAnsi="华文中宋" w:eastAsia="黑体" w:cs="宋体"/>
          <w:bCs/>
          <w:spacing w:val="6"/>
          <w:kern w:val="0"/>
          <w:szCs w:val="21"/>
        </w:rPr>
        <w:br w:type="page"/>
      </w:r>
    </w:p>
    <w:p>
      <w:pPr>
        <w:outlineLvl w:val="9"/>
        <w:rPr>
          <w:rFonts w:ascii="黑体" w:hAnsi="宋体"/>
          <w:b w:val="0"/>
          <w:sz w:val="21"/>
          <w:szCs w:val="21"/>
        </w:rPr>
      </w:pPr>
      <w:bookmarkStart w:id="99" w:name="_Toc22339"/>
      <w:bookmarkStart w:id="100" w:name="_Toc7039"/>
      <w:r>
        <w:rPr>
          <w:rFonts w:hint="eastAsia" w:ascii="黑体" w:hAnsi="华文中宋" w:cs="宋体"/>
          <w:b w:val="0"/>
          <w:bCs w:val="0"/>
          <w:spacing w:val="6"/>
          <w:sz w:val="21"/>
          <w:szCs w:val="21"/>
        </w:rPr>
        <w:t xml:space="preserve">附件8-3 </w:t>
      </w:r>
      <w:r>
        <w:rPr>
          <w:rFonts w:hint="eastAsia" w:ascii="黑体" w:hAnsi="宋体"/>
          <w:b w:val="0"/>
          <w:sz w:val="21"/>
          <w:szCs w:val="21"/>
        </w:rPr>
        <w:t>强制采购或者优先采购产品</w:t>
      </w:r>
      <w:r>
        <w:rPr>
          <w:rFonts w:hint="eastAsia" w:ascii="黑体" w:hAnsi="宋体"/>
          <w:b w:val="0"/>
          <w:bCs w:val="0"/>
          <w:sz w:val="21"/>
          <w:szCs w:val="21"/>
        </w:rPr>
        <w:t>的</w:t>
      </w:r>
      <w:r>
        <w:rPr>
          <w:rFonts w:hint="eastAsia" w:ascii="黑体" w:hAnsi="宋体"/>
          <w:b w:val="0"/>
          <w:sz w:val="21"/>
          <w:szCs w:val="21"/>
        </w:rPr>
        <w:t>证明材料</w:t>
      </w:r>
      <w:bookmarkEnd w:id="99"/>
      <w:bookmarkEnd w:id="100"/>
    </w:p>
    <w:p>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pPr>
        <w:adjustRightInd w:val="0"/>
        <w:snapToGrid w:val="0"/>
        <w:spacing w:line="360" w:lineRule="auto"/>
        <w:ind w:firstLine="420" w:firstLineChars="200"/>
        <w:jc w:val="left"/>
        <w:rPr>
          <w:rFonts w:ascii="宋体" w:hAnsi="宋体"/>
          <w:szCs w:val="21"/>
        </w:rPr>
      </w:pPr>
      <w:r>
        <w:rPr>
          <w:rFonts w:hint="eastAsia" w:ascii="宋体" w:hAnsi="宋体"/>
          <w:szCs w:val="21"/>
        </w:rPr>
        <w:t>说明：</w:t>
      </w:r>
      <w:r>
        <w:rPr>
          <w:rFonts w:hint="eastAsia" w:ascii="宋体" w:hAnsi="宋体" w:cs="宋体"/>
          <w:szCs w:val="21"/>
        </w:rPr>
        <w:t>供应商</w:t>
      </w:r>
      <w:r>
        <w:rPr>
          <w:rFonts w:hint="eastAsia" w:ascii="宋体" w:hAnsi="宋体"/>
          <w:szCs w:val="21"/>
        </w:rPr>
        <w:t>提供的产品</w:t>
      </w:r>
      <w:r>
        <w:rPr>
          <w:rFonts w:hint="eastAsia" w:ascii="宋体" w:hAnsi="宋体"/>
          <w:bCs/>
          <w:szCs w:val="21"/>
        </w:rPr>
        <w:t>属于强制采购或者优先采购的</w:t>
      </w:r>
      <w:r>
        <w:rPr>
          <w:rFonts w:hint="eastAsia" w:ascii="宋体" w:hAnsi="宋体"/>
          <w:szCs w:val="21"/>
        </w:rPr>
        <w:t>，</w:t>
      </w:r>
      <w:r>
        <w:rPr>
          <w:rFonts w:hint="eastAsia" w:ascii="宋体" w:hAnsi="宋体" w:cs="宋体"/>
          <w:szCs w:val="21"/>
        </w:rPr>
        <w:t>应按第二章磋商须知第39.5</w:t>
      </w:r>
      <w:r>
        <w:rPr>
          <w:rFonts w:hint="eastAsia" w:ascii="宋体" w:hAnsi="宋体" w:cs="宋体"/>
          <w:kern w:val="0"/>
          <w:szCs w:val="21"/>
          <w:lang w:val="zh-CN"/>
        </w:rPr>
        <w:t>款</w:t>
      </w:r>
      <w:r>
        <w:rPr>
          <w:rFonts w:hint="eastAsia" w:ascii="宋体" w:hAnsi="宋体" w:cs="宋体"/>
          <w:szCs w:val="21"/>
        </w:rPr>
        <w:t>规定提供相关证明材料</w:t>
      </w:r>
      <w:r>
        <w:rPr>
          <w:rFonts w:hint="eastAsia" w:ascii="宋体" w:hAnsi="宋体"/>
          <w:szCs w:val="21"/>
        </w:rPr>
        <w:t>和本章本节附页2“优先采购产品清单”，并加盖投标人单位章。</w:t>
      </w:r>
    </w:p>
    <w:p>
      <w:pPr>
        <w:adjustRightInd w:val="0"/>
        <w:snapToGrid w:val="0"/>
        <w:spacing w:line="360" w:lineRule="auto"/>
        <w:ind w:firstLine="420" w:firstLineChars="200"/>
        <w:jc w:val="left"/>
        <w:rPr>
          <w:rFonts w:ascii="宋体" w:hAnsi="宋体"/>
          <w:szCs w:val="21"/>
        </w:rPr>
      </w:pPr>
    </w:p>
    <w:p>
      <w:pPr>
        <w:tabs>
          <w:tab w:val="left" w:pos="3600"/>
        </w:tabs>
        <w:adjustRightInd w:val="0"/>
        <w:snapToGrid w:val="0"/>
        <w:rPr>
          <w:rFonts w:hint="eastAsia" w:ascii="宋体" w:hAnsi="宋体" w:cs="宋体"/>
          <w:b/>
          <w:sz w:val="32"/>
          <w:szCs w:val="32"/>
        </w:rPr>
      </w:pPr>
    </w:p>
    <w:p>
      <w:pPr>
        <w:pStyle w:val="19"/>
        <w:ind w:firstLine="444"/>
        <w:rPr>
          <w:rFonts w:hint="eastAsia" w:ascii="宋体" w:hAnsi="宋体" w:cs="宋体"/>
          <w:spacing w:val="6"/>
          <w:sz w:val="21"/>
          <w:szCs w:val="21"/>
        </w:rPr>
      </w:pPr>
    </w:p>
    <w:p>
      <w:pPr>
        <w:jc w:val="left"/>
        <w:outlineLvl w:val="9"/>
        <w:rPr>
          <w:rFonts w:ascii="黑体" w:hAnsi="宋体"/>
          <w:b w:val="0"/>
          <w:sz w:val="21"/>
          <w:szCs w:val="21"/>
        </w:rPr>
      </w:pPr>
      <w:bookmarkStart w:id="101" w:name="_Toc10965"/>
      <w:bookmarkStart w:id="102" w:name="_Toc29525"/>
      <w:r>
        <w:rPr>
          <w:rFonts w:hint="eastAsia" w:ascii="黑体" w:hAnsi="华文中宋" w:cs="宋体"/>
          <w:b w:val="0"/>
          <w:bCs w:val="0"/>
          <w:spacing w:val="6"/>
          <w:sz w:val="21"/>
          <w:szCs w:val="21"/>
        </w:rPr>
        <w:br w:type="page"/>
      </w:r>
      <w:r>
        <w:rPr>
          <w:rFonts w:hint="eastAsia" w:ascii="黑体" w:hAnsi="华文中宋" w:cs="宋体"/>
          <w:b w:val="0"/>
          <w:bCs w:val="0"/>
          <w:spacing w:val="6"/>
          <w:sz w:val="21"/>
          <w:szCs w:val="21"/>
        </w:rPr>
        <w:t xml:space="preserve">附页 2 </w:t>
      </w:r>
      <w:r>
        <w:rPr>
          <w:rFonts w:hint="eastAsia" w:ascii="黑体" w:hAnsi="宋体"/>
          <w:b w:val="0"/>
          <w:sz w:val="21"/>
          <w:szCs w:val="21"/>
        </w:rPr>
        <w:t>优先采购产品清单</w:t>
      </w:r>
      <w:bookmarkEnd w:id="101"/>
      <w:bookmarkEnd w:id="102"/>
    </w:p>
    <w:p>
      <w:pPr>
        <w:adjustRightInd w:val="0"/>
        <w:snapToGrid w:val="0"/>
        <w:spacing w:line="360" w:lineRule="auto"/>
        <w:jc w:val="center"/>
        <w:rPr>
          <w:rFonts w:ascii="宋体" w:hAnsi="宋体"/>
          <w:b/>
          <w:spacing w:val="6"/>
          <w:szCs w:val="21"/>
        </w:rPr>
      </w:pPr>
      <w:r>
        <w:rPr>
          <w:rFonts w:hint="eastAsia" w:ascii="黑体" w:hAnsi="宋体" w:eastAsia="黑体"/>
          <w:b/>
          <w:sz w:val="28"/>
          <w:szCs w:val="28"/>
        </w:rPr>
        <w:t>优先采购产品清单</w:t>
      </w:r>
    </w:p>
    <w:p>
      <w:pPr>
        <w:adjustRightInd w:val="0"/>
        <w:snapToGrid w:val="0"/>
        <w:spacing w:line="360" w:lineRule="auto"/>
        <w:rPr>
          <w:rFonts w:ascii="宋体" w:hAnsi="宋体"/>
          <w:szCs w:val="21"/>
        </w:rPr>
      </w:pPr>
      <w:r>
        <w:rPr>
          <w:rFonts w:hint="eastAsia" w:ascii="宋体" w:hAnsi="宋体"/>
          <w:szCs w:val="21"/>
        </w:rPr>
        <w:t>采购代理编号：</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包       号：</w:t>
      </w:r>
      <w:r>
        <w:rPr>
          <w:rFonts w:hint="eastAsia" w:ascii="宋体" w:hAnsi="宋体"/>
          <w:szCs w:val="21"/>
          <w:u w:val="single"/>
        </w:rPr>
        <w:t xml:space="preserve">               </w:t>
      </w:r>
      <w:r>
        <w:rPr>
          <w:rFonts w:hint="eastAsia" w:ascii="宋体" w:hAnsi="宋体"/>
          <w:szCs w:val="21"/>
        </w:rPr>
        <w:t xml:space="preserve">                     包名称：</w:t>
      </w:r>
      <w:r>
        <w:rPr>
          <w:rFonts w:hint="eastAsia" w:ascii="宋体" w:hAnsi="宋体"/>
          <w:szCs w:val="21"/>
          <w:u w:val="single"/>
        </w:rPr>
        <w:t xml:space="preserve">                     </w:t>
      </w:r>
      <w:r>
        <w:rPr>
          <w:rFonts w:hint="eastAsia" w:ascii="宋体" w:hAnsi="宋体"/>
          <w:szCs w:val="21"/>
        </w:rPr>
        <w:t xml:space="preserve">  </w:t>
      </w:r>
    </w:p>
    <w:tbl>
      <w:tblPr>
        <w:tblStyle w:val="2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noWrap w:val="0"/>
            <w:vAlign w:val="center"/>
          </w:tcPr>
          <w:p>
            <w:pPr>
              <w:widowControl/>
              <w:adjustRightInd w:val="0"/>
              <w:snapToGrid w:val="0"/>
              <w:spacing w:line="360" w:lineRule="auto"/>
              <w:ind w:firstLine="480" w:firstLineChars="200"/>
              <w:jc w:val="left"/>
              <w:rPr>
                <w:rFonts w:ascii="黑体" w:hAnsi="黑体" w:eastAsia="黑体"/>
                <w:kern w:val="0"/>
                <w:sz w:val="24"/>
              </w:rPr>
            </w:pPr>
            <w:r>
              <w:rPr>
                <w:rFonts w:hint="eastAsia" w:ascii="黑体" w:hAnsi="宋体" w:eastAsia="黑体"/>
                <w:kern w:val="0"/>
                <w:sz w:val="24"/>
              </w:rPr>
              <w:t>以下为投标人提供的政府采购优先采购产品，投标人对本表的真实性负责。如有虚假，将依法承担相应责任。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noWrap w:val="0"/>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39" w:type="dxa"/>
            <w:noWrap w:val="0"/>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418" w:type="dxa"/>
            <w:tcBorders>
              <w:left w:val="single" w:color="auto" w:sz="4" w:space="0"/>
            </w:tcBorders>
            <w:noWrap w:val="0"/>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984" w:type="dxa"/>
            <w:noWrap w:val="0"/>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noWrap w:val="0"/>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noWrap w:val="0"/>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39" w:type="dxa"/>
            <w:noWrap w:val="0"/>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noWrap w:val="0"/>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418" w:type="dxa"/>
            <w:tcBorders>
              <w:left w:val="single" w:color="auto" w:sz="4" w:space="0"/>
            </w:tcBorders>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984" w:type="dxa"/>
            <w:noWrap w:val="0"/>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noWrap w:val="0"/>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pPr>
              <w:adjustRightInd w:val="0"/>
              <w:snapToGrid w:val="0"/>
              <w:spacing w:line="360" w:lineRule="auto"/>
              <w:jc w:val="left"/>
              <w:rPr>
                <w:rFonts w:ascii="宋体" w:hAnsi="宋体"/>
                <w:b/>
                <w:szCs w:val="21"/>
              </w:rPr>
            </w:pPr>
            <w:r>
              <w:rPr>
                <w:rFonts w:hint="eastAsia" w:ascii="宋体" w:hAnsi="宋体"/>
                <w:b/>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b/>
                <w:szCs w:val="21"/>
              </w:rPr>
            </w:pPr>
          </w:p>
        </w:tc>
        <w:tc>
          <w:tcPr>
            <w:tcW w:w="1739" w:type="dxa"/>
            <w:noWrap w:val="0"/>
            <w:vAlign w:val="center"/>
          </w:tcPr>
          <w:p>
            <w:pPr>
              <w:adjustRightInd w:val="0"/>
              <w:snapToGrid w:val="0"/>
              <w:spacing w:line="360" w:lineRule="auto"/>
              <w:jc w:val="center"/>
              <w:rPr>
                <w:rFonts w:ascii="宋体" w:hAnsi="宋体"/>
                <w:b/>
                <w:szCs w:val="21"/>
              </w:rPr>
            </w:pPr>
          </w:p>
        </w:tc>
        <w:tc>
          <w:tcPr>
            <w:tcW w:w="1134" w:type="dxa"/>
            <w:tcBorders>
              <w:right w:val="single" w:color="auto" w:sz="4" w:space="0"/>
            </w:tcBorders>
            <w:noWrap w:val="0"/>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szCs w:val="21"/>
              </w:rPr>
            </w:pPr>
          </w:p>
        </w:tc>
        <w:tc>
          <w:tcPr>
            <w:tcW w:w="1984" w:type="dxa"/>
            <w:noWrap w:val="0"/>
            <w:vAlign w:val="center"/>
          </w:tcPr>
          <w:p>
            <w:pPr>
              <w:adjustRightInd w:val="0"/>
              <w:snapToGrid w:val="0"/>
              <w:spacing w:line="360" w:lineRule="auto"/>
              <w:jc w:val="center"/>
              <w:rPr>
                <w:rFonts w:ascii="宋体" w:hAnsi="宋体"/>
                <w:b/>
                <w:szCs w:val="21"/>
              </w:rPr>
            </w:pPr>
          </w:p>
        </w:tc>
        <w:tc>
          <w:tcPr>
            <w:tcW w:w="1843" w:type="dxa"/>
            <w:noWrap w:val="0"/>
            <w:vAlign w:val="top"/>
          </w:tcPr>
          <w:p>
            <w:pPr>
              <w:adjustRightInd w:val="0"/>
              <w:snapToGrid w:val="0"/>
              <w:spacing w:line="360" w:lineRule="auto"/>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noWrap w:val="0"/>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noWrap w:val="0"/>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szCs w:val="21"/>
              </w:rPr>
            </w:pPr>
          </w:p>
        </w:tc>
        <w:tc>
          <w:tcPr>
            <w:tcW w:w="1984" w:type="dxa"/>
            <w:noWrap w:val="0"/>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noWrap w:val="0"/>
            <w:vAlign w:val="top"/>
          </w:tcPr>
          <w:p>
            <w:pPr>
              <w:adjustRightInd w:val="0"/>
              <w:snapToGrid w:val="0"/>
              <w:spacing w:line="360" w:lineRule="auto"/>
              <w:jc w:val="center"/>
              <w:rPr>
                <w:rFonts w:ascii="宋体" w:hAnsi="宋体"/>
                <w:b/>
                <w:szCs w:val="21"/>
              </w:rPr>
            </w:pPr>
            <w:r>
              <w:rPr>
                <w:rFonts w:hint="eastAsia" w:ascii="宋体" w:hAnsi="宋体"/>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pPr>
              <w:adjustRightInd w:val="0"/>
              <w:snapToGrid w:val="0"/>
              <w:spacing w:line="360" w:lineRule="auto"/>
              <w:jc w:val="left"/>
              <w:rPr>
                <w:rFonts w:ascii="宋体" w:hAnsi="宋体"/>
                <w:b/>
                <w:szCs w:val="21"/>
              </w:rPr>
            </w:pPr>
            <w:r>
              <w:rPr>
                <w:rFonts w:hint="eastAsia" w:ascii="宋体" w:hAnsi="宋体"/>
                <w:b/>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b/>
                <w:szCs w:val="21"/>
              </w:rPr>
            </w:pPr>
          </w:p>
        </w:tc>
        <w:tc>
          <w:tcPr>
            <w:tcW w:w="1739" w:type="dxa"/>
            <w:noWrap w:val="0"/>
            <w:vAlign w:val="center"/>
          </w:tcPr>
          <w:p>
            <w:pPr>
              <w:adjustRightInd w:val="0"/>
              <w:snapToGrid w:val="0"/>
              <w:spacing w:line="360" w:lineRule="auto"/>
              <w:jc w:val="center"/>
              <w:rPr>
                <w:rFonts w:ascii="宋体" w:hAnsi="宋体"/>
                <w:b/>
                <w:szCs w:val="21"/>
              </w:rPr>
            </w:pPr>
          </w:p>
        </w:tc>
        <w:tc>
          <w:tcPr>
            <w:tcW w:w="1134" w:type="dxa"/>
            <w:tcBorders>
              <w:right w:val="single" w:color="auto" w:sz="4" w:space="0"/>
            </w:tcBorders>
            <w:noWrap w:val="0"/>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szCs w:val="21"/>
              </w:rPr>
            </w:pPr>
          </w:p>
        </w:tc>
        <w:tc>
          <w:tcPr>
            <w:tcW w:w="1984" w:type="dxa"/>
            <w:noWrap w:val="0"/>
            <w:vAlign w:val="center"/>
          </w:tcPr>
          <w:p>
            <w:pPr>
              <w:adjustRightInd w:val="0"/>
              <w:snapToGrid w:val="0"/>
              <w:spacing w:line="360" w:lineRule="auto"/>
              <w:jc w:val="center"/>
              <w:rPr>
                <w:rFonts w:ascii="宋体" w:hAnsi="宋体"/>
                <w:b/>
                <w:szCs w:val="21"/>
              </w:rPr>
            </w:pPr>
          </w:p>
        </w:tc>
        <w:tc>
          <w:tcPr>
            <w:tcW w:w="1843" w:type="dxa"/>
            <w:noWrap w:val="0"/>
            <w:vAlign w:val="top"/>
          </w:tcPr>
          <w:p>
            <w:pPr>
              <w:adjustRightInd w:val="0"/>
              <w:snapToGrid w:val="0"/>
              <w:spacing w:line="360" w:lineRule="auto"/>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noWrap w:val="0"/>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noWrap w:val="0"/>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szCs w:val="21"/>
              </w:rPr>
            </w:pPr>
          </w:p>
        </w:tc>
        <w:tc>
          <w:tcPr>
            <w:tcW w:w="1984" w:type="dxa"/>
            <w:noWrap w:val="0"/>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noWrap w:val="0"/>
            <w:vAlign w:val="top"/>
          </w:tcPr>
          <w:p>
            <w:pPr>
              <w:adjustRightInd w:val="0"/>
              <w:snapToGrid w:val="0"/>
              <w:spacing w:line="360" w:lineRule="auto"/>
              <w:jc w:val="center"/>
              <w:rPr>
                <w:rFonts w:ascii="宋体" w:hAnsi="宋体"/>
                <w:b/>
                <w:szCs w:val="21"/>
              </w:rPr>
            </w:pPr>
            <w:r>
              <w:rPr>
                <w:rFonts w:hint="eastAsia" w:ascii="宋体" w:hAnsi="宋体"/>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pPr>
              <w:adjustRightInd w:val="0"/>
              <w:snapToGrid w:val="0"/>
              <w:spacing w:line="360" w:lineRule="auto"/>
              <w:jc w:val="left"/>
              <w:rPr>
                <w:rFonts w:ascii="宋体" w:hAnsi="宋体"/>
                <w:b/>
                <w:szCs w:val="21"/>
              </w:rPr>
            </w:pPr>
            <w:r>
              <w:rPr>
                <w:rFonts w:hint="eastAsia" w:ascii="宋体" w:hAnsi="宋体"/>
                <w:b/>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szCs w:val="21"/>
              </w:rPr>
            </w:pPr>
          </w:p>
        </w:tc>
        <w:tc>
          <w:tcPr>
            <w:tcW w:w="1739" w:type="dxa"/>
            <w:noWrap w:val="0"/>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noWrap w:val="0"/>
            <w:vAlign w:val="center"/>
          </w:tcPr>
          <w:p>
            <w:pPr>
              <w:adjustRightInd w:val="0"/>
              <w:snapToGrid w:val="0"/>
              <w:spacing w:line="360" w:lineRule="auto"/>
              <w:jc w:val="center"/>
              <w:rPr>
                <w:rFonts w:ascii="宋体" w:hAnsi="宋体"/>
                <w:szCs w:val="21"/>
              </w:rPr>
            </w:pPr>
          </w:p>
        </w:tc>
        <w:tc>
          <w:tcPr>
            <w:tcW w:w="1418" w:type="dxa"/>
            <w:tcBorders>
              <w:left w:val="single" w:color="auto" w:sz="4" w:space="0"/>
            </w:tcBorders>
            <w:noWrap w:val="0"/>
            <w:vAlign w:val="center"/>
          </w:tcPr>
          <w:p>
            <w:pPr>
              <w:adjustRightInd w:val="0"/>
              <w:snapToGrid w:val="0"/>
              <w:spacing w:line="360" w:lineRule="auto"/>
              <w:jc w:val="center"/>
              <w:rPr>
                <w:rFonts w:ascii="宋体" w:hAnsi="宋体"/>
                <w:szCs w:val="21"/>
              </w:rPr>
            </w:pPr>
          </w:p>
        </w:tc>
        <w:tc>
          <w:tcPr>
            <w:tcW w:w="1984" w:type="dxa"/>
            <w:noWrap w:val="0"/>
            <w:vAlign w:val="center"/>
          </w:tcPr>
          <w:p>
            <w:pPr>
              <w:adjustRightInd w:val="0"/>
              <w:snapToGrid w:val="0"/>
              <w:spacing w:line="360" w:lineRule="auto"/>
              <w:jc w:val="center"/>
              <w:rPr>
                <w:rFonts w:ascii="宋体" w:hAnsi="宋体"/>
                <w:szCs w:val="21"/>
              </w:rPr>
            </w:pPr>
          </w:p>
        </w:tc>
        <w:tc>
          <w:tcPr>
            <w:tcW w:w="1843" w:type="dxa"/>
            <w:noWrap w:val="0"/>
            <w:vAlign w:val="top"/>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noWrap w:val="0"/>
            <w:vAlign w:val="center"/>
          </w:tcPr>
          <w:p>
            <w:pPr>
              <w:adjustRightInd w:val="0"/>
              <w:snapToGrid w:val="0"/>
              <w:spacing w:line="360" w:lineRule="auto"/>
              <w:jc w:val="center"/>
              <w:rPr>
                <w:rFonts w:ascii="宋体" w:hAnsi="宋体"/>
                <w:szCs w:val="21"/>
              </w:rPr>
            </w:pPr>
            <w:r>
              <w:rPr>
                <w:rFonts w:hint="eastAsia" w:ascii="宋体" w:hAnsi="宋体"/>
                <w:szCs w:val="21"/>
              </w:rPr>
              <w:t>/</w:t>
            </w:r>
          </w:p>
        </w:tc>
        <w:tc>
          <w:tcPr>
            <w:tcW w:w="1134" w:type="dxa"/>
            <w:tcBorders>
              <w:right w:val="single" w:color="auto" w:sz="4" w:space="0"/>
            </w:tcBorders>
            <w:noWrap w:val="0"/>
            <w:vAlign w:val="center"/>
          </w:tcPr>
          <w:p>
            <w:pPr>
              <w:adjustRightInd w:val="0"/>
              <w:snapToGrid w:val="0"/>
              <w:spacing w:line="360" w:lineRule="auto"/>
              <w:jc w:val="center"/>
              <w:rPr>
                <w:rFonts w:ascii="宋体" w:hAnsi="宋体"/>
                <w:szCs w:val="21"/>
              </w:rPr>
            </w:pPr>
          </w:p>
        </w:tc>
        <w:tc>
          <w:tcPr>
            <w:tcW w:w="1418" w:type="dxa"/>
            <w:tcBorders>
              <w:left w:val="single" w:color="auto" w:sz="4" w:space="0"/>
            </w:tcBorders>
            <w:noWrap w:val="0"/>
            <w:vAlign w:val="center"/>
          </w:tcPr>
          <w:p>
            <w:pPr>
              <w:adjustRightInd w:val="0"/>
              <w:snapToGrid w:val="0"/>
              <w:spacing w:line="360" w:lineRule="auto"/>
              <w:jc w:val="center"/>
              <w:rPr>
                <w:rFonts w:ascii="宋体" w:hAnsi="宋体"/>
                <w:szCs w:val="21"/>
              </w:rPr>
            </w:pPr>
          </w:p>
        </w:tc>
        <w:tc>
          <w:tcPr>
            <w:tcW w:w="1984" w:type="dxa"/>
            <w:noWrap w:val="0"/>
            <w:vAlign w:val="center"/>
          </w:tcPr>
          <w:p>
            <w:pPr>
              <w:adjustRightInd w:val="0"/>
              <w:snapToGrid w:val="0"/>
              <w:spacing w:line="360" w:lineRule="auto"/>
              <w:jc w:val="center"/>
              <w:rPr>
                <w:rFonts w:ascii="宋体" w:hAnsi="宋体"/>
                <w:szCs w:val="21"/>
              </w:rPr>
            </w:pPr>
            <w:r>
              <w:rPr>
                <w:rFonts w:hint="eastAsia" w:ascii="宋体" w:hAnsi="宋体"/>
                <w:szCs w:val="21"/>
              </w:rPr>
              <w:t>/</w:t>
            </w:r>
          </w:p>
        </w:tc>
        <w:tc>
          <w:tcPr>
            <w:tcW w:w="1843" w:type="dxa"/>
            <w:noWrap w:val="0"/>
            <w:vAlign w:val="top"/>
          </w:tcPr>
          <w:p>
            <w:pPr>
              <w:adjustRightInd w:val="0"/>
              <w:snapToGrid w:val="0"/>
              <w:spacing w:line="360" w:lineRule="auto"/>
              <w:jc w:val="center"/>
              <w:rPr>
                <w:rFonts w:ascii="宋体" w:hAnsi="宋体"/>
                <w:szCs w:val="21"/>
              </w:rPr>
            </w:pPr>
            <w:r>
              <w:rPr>
                <w:rFonts w:hint="eastAsia" w:ascii="宋体" w:hAnsi="宋体"/>
                <w:szCs w:val="21"/>
              </w:rPr>
              <w:t>/</w:t>
            </w:r>
          </w:p>
        </w:tc>
      </w:tr>
    </w:tbl>
    <w:p>
      <w:pPr>
        <w:adjustRightInd w:val="0"/>
        <w:snapToGrid w:val="0"/>
        <w:spacing w:line="360" w:lineRule="auto"/>
        <w:jc w:val="left"/>
        <w:rPr>
          <w:rFonts w:ascii="宋体" w:hAnsi="宋体"/>
          <w:szCs w:val="21"/>
        </w:rPr>
      </w:pPr>
      <w:r>
        <w:rPr>
          <w:rFonts w:hint="eastAsia" w:ascii="宋体" w:hAnsi="宋体"/>
          <w:szCs w:val="21"/>
        </w:rPr>
        <w:t>说明：</w:t>
      </w:r>
      <w:r>
        <w:rPr>
          <w:rFonts w:hint="eastAsia" w:ascii="宋体" w:hAnsi="宋体"/>
          <w:bCs/>
          <w:szCs w:val="21"/>
        </w:rPr>
        <w:t>1、</w:t>
      </w:r>
      <w:r>
        <w:rPr>
          <w:rFonts w:hint="eastAsia" w:ascii="宋体" w:hAnsi="宋体"/>
          <w:szCs w:val="21"/>
        </w:rPr>
        <w:t>本表用于计算政府采购优先采购产品（节能产品或环境标志产品或两型产品）的政府采购政策加分或者价格扣除。</w:t>
      </w:r>
    </w:p>
    <w:p>
      <w:pPr>
        <w:adjustRightInd w:val="0"/>
        <w:snapToGrid w:val="0"/>
        <w:spacing w:line="360" w:lineRule="auto"/>
        <w:ind w:firstLine="630" w:firstLineChars="300"/>
        <w:jc w:val="left"/>
        <w:rPr>
          <w:rFonts w:ascii="宋体" w:hAnsi="宋体"/>
          <w:szCs w:val="21"/>
        </w:rPr>
      </w:pPr>
      <w:r>
        <w:rPr>
          <w:rFonts w:hint="eastAsia" w:ascii="宋体" w:hAnsi="宋体"/>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宋体" w:hAnsi="宋体"/>
          <w:szCs w:val="21"/>
        </w:rPr>
      </w:pPr>
      <w:r>
        <w:rPr>
          <w:rFonts w:hint="eastAsia" w:ascii="宋体" w:hAnsi="宋体"/>
          <w:szCs w:val="21"/>
        </w:rPr>
        <w:t>3、栏目6“政策功能编码”是指货物的中国环境标志认证证书编号、中国节能标志认证证书号、湖南两型产品编号（货物同时属于节能产品、环境标志产品、两型产品的，只须填写一种）。</w:t>
      </w:r>
    </w:p>
    <w:p>
      <w:pPr>
        <w:adjustRightInd w:val="0"/>
        <w:snapToGrid w:val="0"/>
        <w:spacing w:line="360" w:lineRule="auto"/>
        <w:ind w:firstLine="630" w:firstLineChars="300"/>
        <w:rPr>
          <w:rFonts w:ascii="宋体" w:hAnsi="宋体"/>
          <w:bCs/>
          <w:szCs w:val="21"/>
        </w:rPr>
      </w:pPr>
      <w:r>
        <w:rPr>
          <w:rFonts w:hint="eastAsia" w:ascii="宋体" w:hAnsi="宋体"/>
          <w:bCs/>
          <w:szCs w:val="21"/>
        </w:rPr>
        <w:t>4、投标人在投标截止时间前修改“开标一览表”中的投标报价的，应按第二章第13.7款规定修改本表相应内容。否则，评审时涉及本表所有优惠不予以考虑。</w:t>
      </w:r>
    </w:p>
    <w:p>
      <w:pPr>
        <w:adjustRightInd w:val="0"/>
        <w:snapToGrid w:val="0"/>
        <w:spacing w:line="360" w:lineRule="auto"/>
        <w:rPr>
          <w:rFonts w:ascii="宋体" w:hAnsi="宋体"/>
          <w:szCs w:val="21"/>
        </w:rPr>
      </w:pPr>
    </w:p>
    <w:p>
      <w:pPr>
        <w:adjustRightInd w:val="0"/>
        <w:snapToGrid w:val="0"/>
        <w:spacing w:line="360" w:lineRule="auto"/>
        <w:rPr>
          <w:rFonts w:hint="eastAsia" w:ascii="宋体" w:hAnsi="宋体" w:cs="宋体"/>
          <w:szCs w:val="21"/>
        </w:rPr>
      </w:pPr>
      <w:r>
        <w:rPr>
          <w:rFonts w:hint="eastAsia" w:ascii="宋体" w:hAnsi="宋体"/>
          <w:szCs w:val="21"/>
        </w:rPr>
        <w:t>投</w:t>
      </w:r>
      <w:r>
        <w:rPr>
          <w:rFonts w:hint="eastAsia" w:ascii="宋体" w:hAnsi="宋体" w:cs="宋体"/>
          <w:szCs w:val="21"/>
        </w:rPr>
        <w:t>供应商（</w:t>
      </w:r>
      <w:r>
        <w:rPr>
          <w:rFonts w:hint="eastAsia" w:ascii="宋体" w:hAnsi="宋体"/>
          <w:szCs w:val="21"/>
        </w:rPr>
        <w:t>盖单位公章</w:t>
      </w:r>
      <w:r>
        <w:rPr>
          <w:rFonts w:hint="eastAsia" w:ascii="宋体" w:hAnsi="宋体" w:cs="宋体"/>
          <w:szCs w:val="21"/>
        </w:rPr>
        <w:t>）：</w:t>
      </w:r>
    </w:p>
    <w:p>
      <w:pPr>
        <w:adjustRightInd w:val="0"/>
        <w:snapToGrid w:val="0"/>
        <w:spacing w:line="360" w:lineRule="auto"/>
        <w:rPr>
          <w:rFonts w:hint="eastAsia"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19"/>
        <w:ind w:left="0" w:leftChars="0" w:firstLine="0" w:firstLineChars="0"/>
        <w:rPr>
          <w:rFonts w:hint="eastAsia" w:ascii="宋体" w:hAnsi="宋体" w:cs="宋体"/>
        </w:rPr>
      </w:pPr>
    </w:p>
    <w:p>
      <w:pPr>
        <w:rPr>
          <w:rFonts w:hint="eastAsia" w:ascii="宋体" w:hAnsi="宋体" w:cs="宋体"/>
          <w:b/>
          <w:sz w:val="32"/>
          <w:szCs w:val="32"/>
          <w:lang w:eastAsia="zh-CN"/>
        </w:rPr>
      </w:pPr>
      <w:bookmarkStart w:id="103" w:name="_Toc31228"/>
      <w:r>
        <w:rPr>
          <w:rFonts w:hint="eastAsia" w:ascii="宋体" w:hAnsi="宋体" w:cs="宋体"/>
          <w:b/>
          <w:sz w:val="32"/>
          <w:szCs w:val="32"/>
          <w:lang w:eastAsia="zh-CN"/>
        </w:rPr>
        <w:br w:type="page"/>
      </w:r>
    </w:p>
    <w:p>
      <w:pPr>
        <w:adjustRightInd w:val="0"/>
        <w:snapToGrid w:val="0"/>
        <w:spacing w:line="360" w:lineRule="auto"/>
        <w:jc w:val="center"/>
        <w:outlineLvl w:val="2"/>
        <w:rPr>
          <w:rFonts w:hint="eastAsia" w:ascii="宋体" w:hAnsi="宋体" w:cs="宋体"/>
          <w:sz w:val="28"/>
          <w:szCs w:val="28"/>
        </w:rPr>
      </w:pPr>
      <w:r>
        <w:rPr>
          <w:rFonts w:hint="eastAsia" w:ascii="宋体" w:hAnsi="宋体" w:cs="宋体"/>
          <w:b/>
          <w:sz w:val="32"/>
          <w:szCs w:val="32"/>
          <w:lang w:eastAsia="zh-CN"/>
        </w:rPr>
        <w:t>八</w:t>
      </w:r>
      <w:r>
        <w:rPr>
          <w:rFonts w:hint="eastAsia" w:ascii="宋体" w:hAnsi="宋体" w:cs="宋体"/>
          <w:b/>
          <w:bCs/>
          <w:sz w:val="32"/>
          <w:szCs w:val="32"/>
        </w:rPr>
        <w:t>、供应商认为需要提供的其它资料</w:t>
      </w:r>
      <w:bookmarkEnd w:id="103"/>
    </w:p>
    <w:p>
      <w:pPr>
        <w:adjustRightInd w:val="0"/>
        <w:snapToGrid w:val="0"/>
        <w:spacing w:before="120" w:beforeLines="50" w:line="360" w:lineRule="auto"/>
        <w:jc w:val="center"/>
        <w:rPr>
          <w:rFonts w:hint="eastAsia" w:ascii="宋体" w:hAnsi="宋体" w:cs="宋体"/>
          <w:sz w:val="28"/>
          <w:szCs w:val="28"/>
        </w:rPr>
      </w:pPr>
    </w:p>
    <w:p>
      <w:pPr>
        <w:pStyle w:val="6"/>
        <w:jc w:val="center"/>
        <w:outlineLvl w:val="2"/>
        <w:rPr>
          <w:rFonts w:hint="eastAsia" w:ascii="宋体" w:hAnsi="宋体" w:cs="宋体"/>
          <w:bCs w:val="0"/>
          <w:kern w:val="2"/>
        </w:rPr>
      </w:pPr>
      <w:r>
        <w:rPr>
          <w:rFonts w:hint="eastAsia" w:ascii="宋体" w:hAnsi="宋体" w:cs="宋体"/>
          <w:bCs w:val="0"/>
          <w:kern w:val="2"/>
        </w:rPr>
        <w:br w:type="page"/>
      </w:r>
      <w:bookmarkStart w:id="104" w:name="_Toc4826"/>
      <w:r>
        <w:rPr>
          <w:rFonts w:hint="eastAsia" w:ascii="宋体" w:hAnsi="宋体" w:cs="宋体"/>
          <w:bCs w:val="0"/>
          <w:kern w:val="2"/>
          <w:lang w:eastAsia="zh-CN"/>
        </w:rPr>
        <w:t>九</w:t>
      </w:r>
      <w:r>
        <w:rPr>
          <w:rFonts w:hint="eastAsia" w:ascii="宋体" w:hAnsi="宋体" w:cs="宋体"/>
          <w:bCs w:val="0"/>
          <w:kern w:val="2"/>
        </w:rPr>
        <w:t>、代理服务费承诺书</w:t>
      </w:r>
      <w:bookmarkEnd w:id="104"/>
    </w:p>
    <w:p>
      <w:pPr>
        <w:adjustRightInd w:val="0"/>
        <w:snapToGrid w:val="0"/>
        <w:spacing w:line="360" w:lineRule="auto"/>
        <w:rPr>
          <w:rFonts w:ascii="宋体" w:hAnsi="宋体" w:cs="仿宋_GB2312"/>
          <w:szCs w:val="21"/>
        </w:rPr>
      </w:pPr>
    </w:p>
    <w:p>
      <w:pPr>
        <w:adjustRightInd w:val="0"/>
        <w:snapToGrid w:val="0"/>
        <w:spacing w:line="360" w:lineRule="auto"/>
        <w:rPr>
          <w:rFonts w:ascii="宋体" w:hAnsi="宋体"/>
          <w:szCs w:val="21"/>
          <w:u w:val="single"/>
        </w:rPr>
      </w:pPr>
      <w:r>
        <w:rPr>
          <w:rFonts w:hint="eastAsia" w:ascii="宋体" w:hAnsi="宋体" w:cs="仿宋_GB2312"/>
          <w:szCs w:val="21"/>
        </w:rPr>
        <w:t>致（采购代理机构）</w:t>
      </w:r>
      <w:r>
        <w:rPr>
          <w:rFonts w:hint="eastAsia" w:ascii="宋体" w:hAnsi="宋体" w:cs="仿宋_GB2312"/>
          <w:szCs w:val="21"/>
          <w:u w:val="single"/>
        </w:rPr>
        <w:t xml:space="preserve">                 </w:t>
      </w:r>
      <w:r>
        <w:rPr>
          <w:rFonts w:hint="eastAsia" w:ascii="宋体" w:hAnsi="宋体" w:cs="仿宋_GB2312"/>
          <w:szCs w:val="21"/>
        </w:rPr>
        <w:t xml:space="preserve"> ：</w:t>
      </w:r>
    </w:p>
    <w:p>
      <w:pPr>
        <w:adjustRightInd w:val="0"/>
        <w:snapToGrid w:val="0"/>
        <w:spacing w:line="360" w:lineRule="auto"/>
        <w:ind w:firstLine="420" w:firstLineChars="200"/>
        <w:rPr>
          <w:rFonts w:ascii="宋体" w:hAnsi="宋体"/>
          <w:szCs w:val="21"/>
        </w:rPr>
      </w:pPr>
      <w:r>
        <w:rPr>
          <w:rFonts w:hint="eastAsia" w:ascii="宋体" w:hAnsi="宋体" w:cs="仿宋_GB2312"/>
          <w:szCs w:val="21"/>
        </w:rPr>
        <w:t>我们在贵公司组织的</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cs="仿宋_GB2312"/>
          <w:szCs w:val="21"/>
        </w:rPr>
        <w:t>采购代理编号：</w:t>
      </w:r>
      <w:r>
        <w:rPr>
          <w:rFonts w:hint="eastAsia" w:ascii="宋体" w:hAnsi="宋体"/>
          <w:szCs w:val="21"/>
          <w:u w:val="single"/>
        </w:rPr>
        <w:t xml:space="preserve">         </w:t>
      </w:r>
      <w:r>
        <w:rPr>
          <w:rFonts w:hint="eastAsia" w:ascii="宋体" w:hAnsi="宋体"/>
          <w:szCs w:val="21"/>
        </w:rPr>
        <w:t>）</w:t>
      </w:r>
      <w:r>
        <w:rPr>
          <w:rFonts w:hint="eastAsia" w:ascii="宋体" w:hAnsi="宋体" w:cs="仿宋_GB2312"/>
          <w:szCs w:val="21"/>
        </w:rPr>
        <w:t>政府采购活动中若获成交，我们保证在成交公告发布后5个工作日内，按磋商文件的规定，以支票、汇票或现金，向贵公司一次性支付代理服务费用。否则，</w:t>
      </w:r>
      <w:r>
        <w:rPr>
          <w:rFonts w:hint="eastAsia" w:ascii="宋体" w:hAnsi="宋体"/>
          <w:szCs w:val="21"/>
        </w:rPr>
        <w:t>由此产生的一切法律后果和责任由我公司承担。我公司声明放弃对此提出任何异议和追索的权利。</w:t>
      </w:r>
    </w:p>
    <w:p>
      <w:pPr>
        <w:adjustRightInd w:val="0"/>
        <w:snapToGrid w:val="0"/>
        <w:spacing w:line="360" w:lineRule="auto"/>
        <w:ind w:firstLine="420" w:firstLineChars="200"/>
        <w:rPr>
          <w:rFonts w:ascii="宋体" w:hAnsi="宋体"/>
          <w:szCs w:val="21"/>
        </w:rPr>
      </w:pPr>
      <w:r>
        <w:rPr>
          <w:rFonts w:hint="eastAsia" w:ascii="宋体" w:hAnsi="宋体"/>
          <w:szCs w:val="21"/>
        </w:rPr>
        <w:t>特此承诺。</w:t>
      </w:r>
    </w:p>
    <w:p>
      <w:pPr>
        <w:adjustRightInd w:val="0"/>
        <w:snapToGrid w:val="0"/>
        <w:spacing w:line="360" w:lineRule="auto"/>
        <w:rPr>
          <w:rFonts w:ascii="宋体" w:hAnsi="宋体"/>
          <w:szCs w:val="21"/>
        </w:rPr>
      </w:pPr>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7" w:type="dxa"/>
            <w:noWrap w:val="0"/>
            <w:vAlign w:val="top"/>
          </w:tcPr>
          <w:p>
            <w:pPr>
              <w:adjustRightInd w:val="0"/>
              <w:snapToGrid w:val="0"/>
              <w:spacing w:line="360" w:lineRule="auto"/>
              <w:jc w:val="center"/>
              <w:rPr>
                <w:rFonts w:ascii="黑体" w:hAnsi="黑体" w:eastAsia="黑体"/>
                <w:kern w:val="0"/>
                <w:sz w:val="28"/>
                <w:szCs w:val="28"/>
                <w:u w:val="single"/>
              </w:rPr>
            </w:pPr>
            <w:r>
              <w:rPr>
                <w:rFonts w:ascii="黑体" w:hAnsi="黑体" w:eastAsia="黑体"/>
                <w:kern w:val="0"/>
                <w:sz w:val="28"/>
                <w:szCs w:val="28"/>
                <w:u w:val="single"/>
              </w:rPr>
              <w:t>开具</w:t>
            </w:r>
            <w:r>
              <w:rPr>
                <w:rFonts w:hint="eastAsia" w:ascii="黑体" w:hAnsi="黑体" w:eastAsia="黑体"/>
                <w:kern w:val="0"/>
                <w:sz w:val="28"/>
                <w:szCs w:val="28"/>
                <w:u w:val="single"/>
              </w:rPr>
              <w:t>发票信息</w:t>
            </w:r>
          </w:p>
          <w:p>
            <w:pPr>
              <w:adjustRightInd w:val="0"/>
              <w:snapToGrid w:val="0"/>
              <w:spacing w:line="360" w:lineRule="auto"/>
              <w:ind w:firstLine="420" w:firstLineChars="200"/>
              <w:rPr>
                <w:rFonts w:ascii="宋体" w:hAnsi="宋体"/>
                <w:kern w:val="0"/>
                <w:sz w:val="20"/>
                <w:szCs w:val="21"/>
              </w:rPr>
            </w:pPr>
            <w:r>
              <w:rPr>
                <w:rFonts w:ascii="宋体" w:hAnsi="宋体"/>
                <w:kern w:val="0"/>
                <w:szCs w:val="21"/>
              </w:rPr>
              <w:t>□</w:t>
            </w:r>
            <w:r>
              <w:rPr>
                <w:rFonts w:hint="eastAsia" w:ascii="宋体" w:hAnsi="宋体"/>
                <w:kern w:val="0"/>
                <w:szCs w:val="21"/>
              </w:rPr>
              <w:t xml:space="preserve"> </w:t>
            </w:r>
            <w:r>
              <w:rPr>
                <w:rFonts w:ascii="宋体" w:hAnsi="宋体"/>
                <w:kern w:val="0"/>
                <w:szCs w:val="21"/>
              </w:rPr>
              <w:t>增值税普通发票</w:t>
            </w:r>
          </w:p>
          <w:p>
            <w:pPr>
              <w:adjustRightInd w:val="0"/>
              <w:snapToGrid w:val="0"/>
              <w:spacing w:line="360" w:lineRule="auto"/>
              <w:ind w:firstLine="420" w:firstLineChars="200"/>
              <w:rPr>
                <w:rFonts w:ascii="宋体" w:hAnsi="宋体"/>
                <w:kern w:val="0"/>
                <w:sz w:val="20"/>
                <w:szCs w:val="21"/>
              </w:rPr>
            </w:pPr>
            <w:r>
              <w:rPr>
                <w:rFonts w:ascii="宋体" w:hAnsi="宋体"/>
                <w:kern w:val="0"/>
                <w:szCs w:val="21"/>
              </w:rPr>
              <w:t>□</w:t>
            </w:r>
            <w:r>
              <w:rPr>
                <w:rFonts w:hint="eastAsia" w:ascii="宋体" w:hAnsi="宋体"/>
                <w:kern w:val="0"/>
                <w:szCs w:val="21"/>
              </w:rPr>
              <w:t xml:space="preserve"> </w:t>
            </w:r>
            <w:r>
              <w:rPr>
                <w:rFonts w:ascii="宋体" w:hAnsi="宋体"/>
                <w:kern w:val="0"/>
                <w:szCs w:val="21"/>
              </w:rPr>
              <w:t>或按照以下信息开具增值税专用发票：</w:t>
            </w:r>
          </w:p>
          <w:p>
            <w:pPr>
              <w:adjustRightInd w:val="0"/>
              <w:snapToGrid w:val="0"/>
              <w:spacing w:line="360" w:lineRule="auto"/>
              <w:ind w:firstLine="420" w:firstLineChars="200"/>
              <w:rPr>
                <w:rFonts w:ascii="宋体" w:hAnsi="宋体"/>
                <w:kern w:val="0"/>
                <w:sz w:val="20"/>
                <w:szCs w:val="21"/>
              </w:rPr>
            </w:pPr>
            <w:r>
              <w:rPr>
                <w:rFonts w:ascii="宋体" w:hAnsi="宋体"/>
                <w:kern w:val="0"/>
                <w:szCs w:val="21"/>
              </w:rPr>
              <w:t>单位名称：</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kern w:val="0"/>
                <w:sz w:val="20"/>
                <w:szCs w:val="21"/>
              </w:rPr>
            </w:pPr>
            <w:r>
              <w:rPr>
                <w:rFonts w:ascii="宋体" w:hAnsi="宋体"/>
                <w:kern w:val="0"/>
                <w:szCs w:val="21"/>
              </w:rPr>
              <w:t>纳税人识别号：</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kern w:val="0"/>
                <w:sz w:val="2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kern w:val="0"/>
                <w:sz w:val="20"/>
                <w:szCs w:val="21"/>
              </w:rPr>
            </w:pPr>
            <w:r>
              <w:rPr>
                <w:rFonts w:ascii="宋体" w:hAnsi="宋体"/>
                <w:kern w:val="0"/>
                <w:szCs w:val="21"/>
              </w:rPr>
              <w:t>电</w:t>
            </w:r>
            <w:r>
              <w:rPr>
                <w:rFonts w:hint="eastAsia" w:ascii="宋体" w:hAnsi="宋体"/>
                <w:kern w:val="0"/>
                <w:szCs w:val="21"/>
              </w:rPr>
              <w:t xml:space="preserve">  </w:t>
            </w:r>
            <w:r>
              <w:rPr>
                <w:rFonts w:ascii="宋体" w:hAnsi="宋体"/>
                <w:kern w:val="0"/>
                <w:szCs w:val="21"/>
              </w:rPr>
              <w:t>话：</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kern w:val="0"/>
                <w:sz w:val="20"/>
                <w:szCs w:val="21"/>
              </w:rPr>
            </w:pPr>
            <w:r>
              <w:rPr>
                <w:rFonts w:ascii="宋体" w:hAnsi="宋体"/>
                <w:kern w:val="0"/>
                <w:szCs w:val="21"/>
              </w:rPr>
              <w:t>开户行：</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kern w:val="0"/>
                <w:sz w:val="20"/>
                <w:szCs w:val="21"/>
              </w:rPr>
            </w:pPr>
            <w:r>
              <w:rPr>
                <w:rFonts w:ascii="宋体" w:hAnsi="宋体"/>
                <w:kern w:val="0"/>
                <w:szCs w:val="21"/>
              </w:rPr>
              <w:t>账</w:t>
            </w:r>
            <w:r>
              <w:rPr>
                <w:rFonts w:hint="eastAsia" w:ascii="宋体" w:hAnsi="宋体"/>
                <w:kern w:val="0"/>
                <w:szCs w:val="21"/>
              </w:rPr>
              <w:t xml:space="preserve">  </w:t>
            </w:r>
            <w:r>
              <w:rPr>
                <w:rFonts w:ascii="宋体" w:hAnsi="宋体"/>
                <w:kern w:val="0"/>
                <w:szCs w:val="21"/>
              </w:rPr>
              <w:t>号：</w:t>
            </w:r>
            <w:r>
              <w:rPr>
                <w:rFonts w:hint="eastAsia" w:ascii="宋体" w:hAnsi="宋体"/>
                <w:kern w:val="0"/>
                <w:sz w:val="20"/>
                <w:szCs w:val="21"/>
                <w:u w:val="single"/>
              </w:rPr>
              <w:t xml:space="preserve">                   </w:t>
            </w: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cs="仿宋_GB2312"/>
          <w:szCs w:val="21"/>
        </w:rPr>
      </w:pPr>
      <w:r>
        <w:rPr>
          <w:rFonts w:ascii="宋体" w:hAnsi="宋体" w:cs="仿宋_GB2312"/>
          <w:szCs w:val="21"/>
        </w:rPr>
        <w:t xml:space="preserve">           </w:t>
      </w: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hint="eastAsia"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9"/>
        <w:ind w:firstLine="400"/>
        <w:rPr>
          <w:rFonts w:hint="eastAsia" w:ascii="宋体" w:hAnsi="宋体"/>
          <w:szCs w:val="21"/>
        </w:rPr>
      </w:pPr>
    </w:p>
    <w:p>
      <w:pPr>
        <w:rPr>
          <w:rFonts w:hint="eastAsia" w:ascii="宋体" w:hAnsi="宋体"/>
          <w:szCs w:val="21"/>
        </w:rPr>
      </w:pPr>
    </w:p>
    <w:p>
      <w:pPr>
        <w:pageBreakBefore/>
        <w:adjustRightInd w:val="0"/>
        <w:snapToGrid w:val="0"/>
        <w:spacing w:line="360" w:lineRule="auto"/>
        <w:ind w:left="-88" w:leftChars="-42"/>
        <w:jc w:val="center"/>
        <w:outlineLvl w:val="2"/>
        <w:rPr>
          <w:rFonts w:hint="eastAsia" w:ascii="宋体" w:hAnsi="宋体" w:cs="宋体"/>
          <w:b/>
          <w:sz w:val="32"/>
          <w:szCs w:val="32"/>
        </w:rPr>
      </w:pPr>
      <w:bookmarkStart w:id="105" w:name="_Toc16449"/>
      <w:r>
        <w:rPr>
          <w:rFonts w:hint="eastAsia" w:ascii="宋体" w:hAnsi="宋体" w:cs="宋体"/>
          <w:b/>
          <w:sz w:val="32"/>
          <w:szCs w:val="32"/>
        </w:rPr>
        <w:t>十、最后报价</w:t>
      </w:r>
      <w:bookmarkEnd w:id="105"/>
    </w:p>
    <w:p>
      <w:pPr>
        <w:spacing w:line="360" w:lineRule="exact"/>
        <w:rPr>
          <w:rFonts w:hint="eastAsia" w:ascii="宋体" w:hAnsi="宋体" w:cs="宋体"/>
          <w:szCs w:val="21"/>
        </w:rPr>
      </w:pPr>
    </w:p>
    <w:p>
      <w:pPr>
        <w:pStyle w:val="19"/>
        <w:ind w:firstLine="400"/>
        <w:rPr>
          <w:rFonts w:hint="eastAsia" w:ascii="宋体" w:hAnsi="宋体" w:cs="宋体"/>
        </w:rPr>
      </w:pPr>
    </w:p>
    <w:p>
      <w:pPr>
        <w:adjustRightInd w:val="0"/>
        <w:snapToGrid w:val="0"/>
        <w:ind w:left="-88" w:leftChars="-42"/>
        <w:rPr>
          <w:rFonts w:hint="eastAsia" w:ascii="宋体" w:hAnsi="宋体" w:cs="宋体"/>
          <w:szCs w:val="21"/>
        </w:rPr>
      </w:pPr>
    </w:p>
    <w:p>
      <w:pPr>
        <w:rPr>
          <w:rFonts w:hint="eastAsia" w:ascii="宋体" w:hAnsi="宋体" w:cs="宋体"/>
          <w:szCs w:val="21"/>
        </w:rPr>
      </w:pP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说明：最后报价按第二章蹉商须知正文第</w:t>
      </w:r>
      <w:r>
        <w:rPr>
          <w:rFonts w:hint="eastAsia" w:ascii="宋体" w:hAnsi="宋体" w:cs="宋体"/>
          <w:b/>
          <w:bCs/>
          <w:sz w:val="21"/>
          <w:szCs w:val="21"/>
        </w:rPr>
        <w:t>28</w:t>
      </w:r>
      <w:r>
        <w:rPr>
          <w:rFonts w:hint="eastAsia" w:ascii="宋体" w:hAnsi="宋体" w:cs="宋体"/>
          <w:sz w:val="21"/>
          <w:szCs w:val="21"/>
        </w:rPr>
        <w:t>条规定提供，格式按本章响应文件组成“报价一览表及报价文件”格式。</w:t>
      </w:r>
    </w:p>
    <w:p>
      <w:pPr>
        <w:adjustRightInd w:val="0"/>
        <w:snapToGrid w:val="0"/>
        <w:spacing w:line="360" w:lineRule="auto"/>
        <w:rPr>
          <w:rFonts w:ascii="宋体" w:hAnsi="宋体" w:cs="宋体"/>
          <w:b/>
          <w:sz w:val="21"/>
          <w:szCs w:val="21"/>
        </w:rPr>
      </w:pPr>
    </w:p>
    <w:p>
      <w:pPr>
        <w:adjustRightInd w:val="0"/>
        <w:snapToGrid w:val="0"/>
        <w:spacing w:line="360" w:lineRule="auto"/>
        <w:rPr>
          <w:rFonts w:hint="eastAsia" w:ascii="宋体" w:hAnsi="宋体" w:cs="宋体"/>
          <w:b/>
          <w:sz w:val="21"/>
          <w:szCs w:val="21"/>
        </w:rPr>
      </w:pPr>
      <w:r>
        <w:rPr>
          <w:rFonts w:hint="eastAsia" w:ascii="宋体" w:hAnsi="宋体" w:cs="宋体"/>
          <w:b/>
          <w:sz w:val="21"/>
          <w:szCs w:val="21"/>
        </w:rPr>
        <w:t>（最后报价一份，需单独密封递交，不得装订在响应文件中。）</w:t>
      </w:r>
    </w:p>
    <w:p>
      <w:pPr>
        <w:pStyle w:val="35"/>
        <w:rPr>
          <w:rFonts w:hint="eastAsia" w:asciiTheme="majorEastAsia" w:hAnsiTheme="majorEastAsia" w:eastAsiaTheme="majorEastAsia" w:cstheme="majorEastAsia"/>
          <w:color w:val="auto"/>
          <w:kern w:val="0"/>
          <w:szCs w:val="21"/>
        </w:rPr>
      </w:pPr>
    </w:p>
    <w:p>
      <w:pPr>
        <w:pStyle w:val="35"/>
        <w:rPr>
          <w:rFonts w:hint="eastAsia" w:asciiTheme="majorEastAsia" w:hAnsiTheme="majorEastAsia" w:eastAsiaTheme="majorEastAsia" w:cstheme="majorEastAsia"/>
          <w:color w:val="auto"/>
          <w:kern w:val="0"/>
          <w:szCs w:val="21"/>
        </w:rPr>
      </w:pPr>
    </w:p>
    <w:p>
      <w:pPr>
        <w:pStyle w:val="35"/>
        <w:rPr>
          <w:rFonts w:hint="eastAsia" w:asciiTheme="majorEastAsia" w:hAnsiTheme="majorEastAsia" w:eastAsiaTheme="majorEastAsia" w:cstheme="majorEastAsia"/>
          <w:color w:val="auto"/>
          <w:kern w:val="0"/>
          <w:szCs w:val="21"/>
        </w:rPr>
      </w:pPr>
    </w:p>
    <w:p>
      <w:pPr>
        <w:pStyle w:val="35"/>
        <w:rPr>
          <w:rFonts w:hint="eastAsia" w:asciiTheme="majorEastAsia" w:hAnsiTheme="majorEastAsia" w:eastAsiaTheme="majorEastAsia" w:cstheme="majorEastAsia"/>
          <w:color w:val="auto"/>
          <w:kern w:val="0"/>
          <w:szCs w:val="21"/>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rPr>
      </w:pPr>
    </w:p>
    <w:p>
      <w:pPr>
        <w:pStyle w:val="19"/>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adjustRightInd w:val="0"/>
        <w:snapToGrid w:val="0"/>
        <w:spacing w:line="360" w:lineRule="auto"/>
        <w:ind w:left="420" w:leftChars="200"/>
        <w:jc w:val="center"/>
        <w:rPr>
          <w:rFonts w:ascii="宋体" w:hAnsi="宋体" w:cs="宋体"/>
          <w:snapToGrid w:val="0"/>
          <w:sz w:val="32"/>
          <w:szCs w:val="32"/>
        </w:rPr>
      </w:pPr>
      <w:r>
        <w:rPr>
          <w:rFonts w:hint="eastAsia" w:ascii="宋体" w:hAnsi="宋体" w:cs="宋体"/>
          <w:b/>
          <w:sz w:val="32"/>
          <w:szCs w:val="32"/>
        </w:rPr>
        <w:t>十</w:t>
      </w:r>
      <w:r>
        <w:rPr>
          <w:rFonts w:hint="eastAsia" w:ascii="宋体" w:hAnsi="宋体" w:cs="宋体"/>
          <w:b/>
          <w:sz w:val="32"/>
          <w:szCs w:val="32"/>
          <w:lang w:eastAsia="zh-CN"/>
        </w:rPr>
        <w:t>一、</w:t>
      </w:r>
      <w:r>
        <w:rPr>
          <w:rFonts w:hint="eastAsia" w:ascii="宋体" w:hAnsi="宋体" w:cs="宋体"/>
          <w:b/>
          <w:bCs/>
          <w:snapToGrid w:val="0"/>
          <w:sz w:val="32"/>
          <w:szCs w:val="32"/>
          <w:lang w:val="en-US" w:eastAsia="zh-CN"/>
        </w:rPr>
        <w:t>履约</w:t>
      </w:r>
      <w:r>
        <w:rPr>
          <w:rFonts w:hint="eastAsia" w:ascii="宋体" w:hAnsi="宋体" w:cs="宋体"/>
          <w:b/>
          <w:bCs/>
          <w:snapToGrid w:val="0"/>
          <w:sz w:val="32"/>
          <w:szCs w:val="32"/>
        </w:rPr>
        <w:t>保证金退款申请格式</w:t>
      </w:r>
    </w:p>
    <w:p>
      <w:pPr>
        <w:adjustRightInd w:val="0"/>
        <w:snapToGrid w:val="0"/>
        <w:spacing w:line="360" w:lineRule="auto"/>
        <w:ind w:left="420" w:leftChars="200"/>
        <w:rPr>
          <w:rFonts w:ascii="宋体" w:hAnsi="宋体" w:cs="宋体"/>
          <w:snapToGrid w:val="0"/>
          <w:szCs w:val="21"/>
        </w:rPr>
      </w:pP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167005</wp:posOffset>
                </wp:positionV>
                <wp:extent cx="5806440" cy="3827780"/>
                <wp:effectExtent l="7620" t="7620" r="15240" b="12700"/>
                <wp:wrapNone/>
                <wp:docPr id="6" name="文本框 6"/>
                <wp:cNvGraphicFramePr/>
                <a:graphic xmlns:a="http://schemas.openxmlformats.org/drawingml/2006/main">
                  <a:graphicData uri="http://schemas.microsoft.com/office/word/2010/wordprocessingShape">
                    <wps:wsp>
                      <wps:cNvSpPr txBox="1"/>
                      <wps:spPr>
                        <a:xfrm>
                          <a:off x="0" y="0"/>
                          <a:ext cx="5943600" cy="382778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spacing w:after="156" w:line="360" w:lineRule="exact"/>
                              <w:jc w:val="center"/>
                              <w:rPr>
                                <w:rFonts w:hint="eastAsia" w:ascii="宋体" w:hAnsi="宋体" w:eastAsia="宋体" w:cs="宋体"/>
                                <w:color w:val="auto"/>
                                <w:sz w:val="24"/>
                                <w:szCs w:val="24"/>
                              </w:rPr>
                            </w:pPr>
                            <w:r>
                              <w:rPr>
                                <w:rFonts w:hint="eastAsia" w:ascii="宋体" w:hAnsi="宋体" w:eastAsia="宋体" w:cs="宋体"/>
                                <w:b/>
                                <w:snapToGrid w:val="0"/>
                                <w:color w:val="auto"/>
                                <w:kern w:val="0"/>
                                <w:sz w:val="24"/>
                                <w:szCs w:val="24"/>
                              </w:rPr>
                              <w:t>退款申请</w:t>
                            </w:r>
                          </w:p>
                          <w:p>
                            <w:pPr>
                              <w:adjustRightInd w:val="0"/>
                              <w:snapToGrid w:val="0"/>
                              <w:spacing w:before="156" w:beforeLines="50" w:line="360" w:lineRule="auto"/>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湖南省茶陵县湖口镇梅林村村民委员会</w:t>
                            </w:r>
                            <w:r>
                              <w:rPr>
                                <w:rFonts w:hint="eastAsia" w:ascii="宋体" w:hAnsi="宋体" w:eastAsia="宋体" w:cs="宋体"/>
                                <w:snapToGrid w:val="0"/>
                                <w:color w:val="auto"/>
                                <w:kern w:val="0"/>
                                <w:sz w:val="21"/>
                                <w:szCs w:val="21"/>
                                <w:lang w:val="en-US" w:eastAsia="zh-CN"/>
                              </w:rPr>
                              <w:t>：</w:t>
                            </w:r>
                          </w:p>
                          <w:p>
                            <w:pPr>
                              <w:adjustRightInd w:val="0"/>
                              <w:snapToGrid w:val="0"/>
                              <w:spacing w:before="156" w:beforeLines="50" w:line="360" w:lineRule="auto"/>
                              <w:ind w:firstLine="42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我单位于</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日，参加</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项目，汇入</w:t>
                            </w:r>
                            <w:r>
                              <w:rPr>
                                <w:rFonts w:hint="eastAsia" w:ascii="宋体" w:hAnsi="宋体" w:eastAsia="宋体" w:cs="宋体"/>
                                <w:snapToGrid w:val="0"/>
                                <w:kern w:val="0"/>
                                <w:sz w:val="21"/>
                                <w:szCs w:val="21"/>
                                <w:lang w:val="en-US" w:eastAsia="zh-CN"/>
                              </w:rPr>
                              <w:t>履约</w:t>
                            </w:r>
                            <w:r>
                              <w:rPr>
                                <w:rFonts w:hint="eastAsia" w:ascii="宋体" w:hAnsi="宋体" w:eastAsia="宋体" w:cs="宋体"/>
                                <w:snapToGrid w:val="0"/>
                                <w:kern w:val="0"/>
                                <w:sz w:val="21"/>
                                <w:szCs w:val="21"/>
                              </w:rPr>
                              <w:t>保证金</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元。现</w:t>
                            </w:r>
                            <w:r>
                              <w:rPr>
                                <w:rFonts w:hint="eastAsia" w:ascii="宋体" w:hAnsi="宋体" w:eastAsia="宋体" w:cs="宋体"/>
                                <w:snapToGrid w:val="0"/>
                                <w:kern w:val="0"/>
                                <w:sz w:val="21"/>
                                <w:szCs w:val="21"/>
                                <w:lang w:val="en-US" w:eastAsia="zh-CN"/>
                              </w:rPr>
                              <w:t>工程验收已合格，</w:t>
                            </w:r>
                            <w:r>
                              <w:rPr>
                                <w:rFonts w:hint="eastAsia" w:ascii="宋体" w:hAnsi="宋体" w:eastAsia="宋体" w:cs="宋体"/>
                                <w:snapToGrid w:val="0"/>
                                <w:kern w:val="0"/>
                                <w:sz w:val="21"/>
                                <w:szCs w:val="21"/>
                              </w:rPr>
                              <w:t>并</w:t>
                            </w:r>
                            <w:r>
                              <w:rPr>
                                <w:rFonts w:hint="eastAsia" w:ascii="宋体" w:hAnsi="宋体" w:eastAsia="宋体" w:cs="宋体"/>
                                <w:snapToGrid w:val="0"/>
                                <w:kern w:val="0"/>
                                <w:sz w:val="21"/>
                                <w:szCs w:val="21"/>
                                <w:lang w:val="en-US" w:eastAsia="zh-CN"/>
                              </w:rPr>
                              <w:t>取得竣工验收报告</w:t>
                            </w:r>
                            <w:r>
                              <w:rPr>
                                <w:rFonts w:hint="eastAsia" w:ascii="宋体" w:hAnsi="宋体" w:eastAsia="宋体" w:cs="宋体"/>
                                <w:snapToGrid w:val="0"/>
                                <w:kern w:val="0"/>
                                <w:sz w:val="21"/>
                                <w:szCs w:val="21"/>
                              </w:rPr>
                              <w:t>，特申请退回此笔</w:t>
                            </w:r>
                            <w:r>
                              <w:rPr>
                                <w:rFonts w:hint="eastAsia" w:ascii="宋体" w:hAnsi="宋体" w:eastAsia="宋体" w:cs="宋体"/>
                                <w:snapToGrid w:val="0"/>
                                <w:kern w:val="0"/>
                                <w:sz w:val="21"/>
                                <w:szCs w:val="21"/>
                                <w:lang w:val="en-US" w:eastAsia="zh-CN"/>
                              </w:rPr>
                              <w:t>履约</w:t>
                            </w:r>
                            <w:r>
                              <w:rPr>
                                <w:rFonts w:hint="eastAsia" w:ascii="宋体" w:hAnsi="宋体" w:eastAsia="宋体" w:cs="宋体"/>
                                <w:snapToGrid w:val="0"/>
                                <w:kern w:val="0"/>
                                <w:sz w:val="21"/>
                                <w:szCs w:val="21"/>
                              </w:rPr>
                              <w:t>保证金。另附我单位</w:t>
                            </w:r>
                            <w:r>
                              <w:rPr>
                                <w:rFonts w:hint="eastAsia" w:ascii="宋体" w:hAnsi="宋体" w:eastAsia="宋体" w:cs="宋体"/>
                                <w:snapToGrid w:val="0"/>
                                <w:kern w:val="0"/>
                                <w:sz w:val="21"/>
                                <w:szCs w:val="21"/>
                                <w:lang w:val="en-US" w:eastAsia="zh-CN"/>
                              </w:rPr>
                              <w:t>履约</w:t>
                            </w:r>
                            <w:r>
                              <w:rPr>
                                <w:rFonts w:hint="eastAsia" w:ascii="宋体" w:hAnsi="宋体" w:eastAsia="宋体" w:cs="宋体"/>
                                <w:snapToGrid w:val="0"/>
                                <w:kern w:val="0"/>
                                <w:sz w:val="21"/>
                                <w:szCs w:val="21"/>
                              </w:rPr>
                              <w:t>保证金付款凭证。特此申请！</w:t>
                            </w:r>
                          </w:p>
                          <w:p>
                            <w:pPr>
                              <w:adjustRightInd w:val="0"/>
                              <w:snapToGrid w:val="0"/>
                              <w:spacing w:before="156" w:beforeLines="50" w:line="360" w:lineRule="auto"/>
                              <w:ind w:firstLine="420"/>
                              <w:rPr>
                                <w:rFonts w:hint="eastAsia" w:ascii="宋体" w:hAnsi="宋体" w:eastAsia="宋体" w:cs="宋体"/>
                                <w:snapToGrid w:val="0"/>
                                <w:kern w:val="0"/>
                                <w:sz w:val="21"/>
                                <w:szCs w:val="21"/>
                              </w:rPr>
                            </w:pPr>
                          </w:p>
                          <w:p>
                            <w:pPr>
                              <w:spacing w:after="156" w:line="360" w:lineRule="exact"/>
                              <w:ind w:firstLine="420" w:firstLineChars="200"/>
                              <w:jc w:val="left"/>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rPr>
                              <w:t>供应商：</w:t>
                            </w:r>
                            <w:r>
                              <w:rPr>
                                <w:rFonts w:hint="eastAsia" w:ascii="宋体" w:hAnsi="宋体" w:eastAsia="宋体" w:cs="宋体"/>
                                <w:snapToGrid w:val="0"/>
                                <w:kern w:val="0"/>
                                <w:sz w:val="21"/>
                                <w:szCs w:val="21"/>
                                <w:u w:val="single"/>
                                <w:lang w:val="en-US" w:eastAsia="zh-CN"/>
                              </w:rPr>
                              <w:t xml:space="preserve">          </w:t>
                            </w:r>
                            <w:r>
                              <w:rPr>
                                <w:rFonts w:hint="eastAsia" w:ascii="宋体" w:hAnsi="宋体" w:eastAsia="宋体" w:cs="宋体"/>
                                <w:snapToGrid w:val="0"/>
                                <w:kern w:val="0"/>
                                <w:sz w:val="21"/>
                                <w:szCs w:val="21"/>
                              </w:rPr>
                              <w:t>（公章）</w:t>
                            </w:r>
                            <w:r>
                              <w:rPr>
                                <w:rFonts w:hint="eastAsia" w:ascii="宋体" w:hAnsi="宋体" w:eastAsia="宋体" w:cs="宋体"/>
                                <w:snapToGrid w:val="0"/>
                                <w:kern w:val="0"/>
                                <w:sz w:val="21"/>
                                <w:szCs w:val="21"/>
                                <w:lang w:val="en-US" w:eastAsia="zh-CN"/>
                              </w:rPr>
                              <w:t xml:space="preserve">           </w:t>
                            </w:r>
                            <w:r>
                              <w:rPr>
                                <w:rFonts w:hint="eastAsia" w:ascii="宋体" w:hAnsi="宋体" w:eastAsia="宋体" w:cs="宋体"/>
                                <w:snapToGrid w:val="0"/>
                                <w:kern w:val="0"/>
                                <w:sz w:val="21"/>
                                <w:szCs w:val="21"/>
                              </w:rPr>
                              <w:t>采购人：</w:t>
                            </w:r>
                            <w:r>
                              <w:rPr>
                                <w:rFonts w:hint="eastAsia" w:ascii="宋体" w:hAnsi="宋体" w:eastAsia="宋体" w:cs="宋体"/>
                                <w:snapToGrid w:val="0"/>
                                <w:kern w:val="0"/>
                                <w:sz w:val="21"/>
                                <w:szCs w:val="21"/>
                                <w:u w:val="single"/>
                                <w:lang w:val="en-US" w:eastAsia="zh-CN"/>
                              </w:rPr>
                              <w:t xml:space="preserve">          </w:t>
                            </w:r>
                            <w:r>
                              <w:rPr>
                                <w:rFonts w:hint="eastAsia" w:ascii="宋体" w:hAnsi="宋体" w:eastAsia="宋体" w:cs="宋体"/>
                                <w:snapToGrid w:val="0"/>
                                <w:kern w:val="0"/>
                                <w:sz w:val="21"/>
                                <w:szCs w:val="21"/>
                              </w:rPr>
                              <w:t>（意见加盖公章）</w:t>
                            </w:r>
                          </w:p>
                          <w:p>
                            <w:pPr>
                              <w:spacing w:after="156" w:line="360" w:lineRule="exact"/>
                              <w:ind w:firstLine="630" w:firstLineChars="3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lang w:val="en-US" w:eastAsia="zh-CN"/>
                              </w:rPr>
                              <w:t xml:space="preserve">                        </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p>
                          <w:p>
                            <w:pPr>
                              <w:spacing w:after="156" w:line="360" w:lineRule="exact"/>
                              <w:ind w:firstLine="420" w:firstLineChars="200"/>
                              <w:jc w:val="left"/>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rPr>
                              <w:t xml:space="preserve">     </w:t>
                            </w:r>
                            <w:r>
                              <w:rPr>
                                <w:rFonts w:hint="eastAsia" w:ascii="宋体" w:hAnsi="宋体" w:cs="宋体"/>
                                <w:snapToGrid w:val="0"/>
                                <w:kern w:val="0"/>
                                <w:sz w:val="21"/>
                                <w:szCs w:val="21"/>
                                <w:lang w:val="en-US" w:eastAsia="zh-CN"/>
                              </w:rPr>
                              <w:t xml:space="preserve">          </w:t>
                            </w:r>
                            <w:r>
                              <w:rPr>
                                <w:rFonts w:hint="eastAsia" w:ascii="宋体" w:hAnsi="宋体" w:eastAsia="宋体" w:cs="宋体"/>
                                <w:snapToGrid w:val="0"/>
                                <w:kern w:val="0"/>
                                <w:sz w:val="21"/>
                                <w:szCs w:val="21"/>
                                <w:lang w:val="en-US" w:eastAsia="zh-CN"/>
                              </w:rPr>
                              <w:t>监理单位：</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u w:val="single"/>
                                <w:lang w:val="en-US" w:eastAsia="zh-CN"/>
                              </w:rPr>
                              <w:t xml:space="preserve">          </w:t>
                            </w:r>
                            <w:r>
                              <w:rPr>
                                <w:rFonts w:hint="eastAsia" w:ascii="宋体" w:hAnsi="宋体" w:eastAsia="宋体" w:cs="宋体"/>
                                <w:snapToGrid w:val="0"/>
                                <w:kern w:val="0"/>
                                <w:sz w:val="21"/>
                                <w:szCs w:val="21"/>
                                <w:lang w:val="en-US" w:eastAsia="zh-CN"/>
                              </w:rPr>
                              <w:t>（意见加盖公章）</w:t>
                            </w:r>
                          </w:p>
                          <w:p>
                            <w:pPr>
                              <w:spacing w:after="156" w:line="360" w:lineRule="exact"/>
                              <w:ind w:firstLine="2940" w:firstLineChars="14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lang w:val="en-US" w:eastAsia="zh-CN"/>
                              </w:rPr>
                              <w:t xml:space="preserve">                    </w:t>
                            </w:r>
                          </w:p>
                          <w:p/>
                        </w:txbxContent>
                      </wps:txbx>
                      <wps:bodyPr upright="1"/>
                    </wps:wsp>
                  </a:graphicData>
                </a:graphic>
              </wp:anchor>
            </w:drawing>
          </mc:Choice>
          <mc:Fallback>
            <w:pict>
              <v:shape id="_x0000_s1026" o:spid="_x0000_s1026" o:spt="202" type="#_x0000_t202" style="position:absolute;left:0pt;margin-left:4pt;margin-top:13.15pt;height:301.4pt;width:457.2pt;z-index:251660288;mso-width-relative:page;mso-height-relative:page;" fillcolor="#FFFFFF" filled="t" stroked="t" coordsize="21600,21600" o:gfxdata="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0EX5k1wAAAAgBAAAPAAAAAAAA&#10;AAEAIAAAACIAAABkcnMvZG93bnJldi54bWxQSwECFAAUAAAACACHTuJA9a588kwCAADNBAAADgAA&#10;AAAAAAABACAAAAAm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pPr>
                        <w:spacing w:after="156" w:line="360" w:lineRule="exact"/>
                        <w:jc w:val="center"/>
                        <w:rPr>
                          <w:rFonts w:hint="eastAsia" w:ascii="宋体" w:hAnsi="宋体" w:eastAsia="宋体" w:cs="宋体"/>
                          <w:color w:val="auto"/>
                          <w:sz w:val="24"/>
                          <w:szCs w:val="24"/>
                        </w:rPr>
                      </w:pPr>
                      <w:r>
                        <w:rPr>
                          <w:rFonts w:hint="eastAsia" w:ascii="宋体" w:hAnsi="宋体" w:eastAsia="宋体" w:cs="宋体"/>
                          <w:b/>
                          <w:snapToGrid w:val="0"/>
                          <w:color w:val="auto"/>
                          <w:kern w:val="0"/>
                          <w:sz w:val="24"/>
                          <w:szCs w:val="24"/>
                        </w:rPr>
                        <w:t>退款申请</w:t>
                      </w:r>
                    </w:p>
                    <w:p>
                      <w:pPr>
                        <w:adjustRightInd w:val="0"/>
                        <w:snapToGrid w:val="0"/>
                        <w:spacing w:before="156" w:beforeLines="50" w:line="360" w:lineRule="auto"/>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湖南省茶陵县湖口镇梅林村村民委员会</w:t>
                      </w:r>
                      <w:r>
                        <w:rPr>
                          <w:rFonts w:hint="eastAsia" w:ascii="宋体" w:hAnsi="宋体" w:eastAsia="宋体" w:cs="宋体"/>
                          <w:snapToGrid w:val="0"/>
                          <w:color w:val="auto"/>
                          <w:kern w:val="0"/>
                          <w:sz w:val="21"/>
                          <w:szCs w:val="21"/>
                          <w:lang w:val="en-US" w:eastAsia="zh-CN"/>
                        </w:rPr>
                        <w:t>：</w:t>
                      </w:r>
                    </w:p>
                    <w:p>
                      <w:pPr>
                        <w:adjustRightInd w:val="0"/>
                        <w:snapToGrid w:val="0"/>
                        <w:spacing w:before="156" w:beforeLines="50" w:line="360" w:lineRule="auto"/>
                        <w:ind w:firstLine="42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我单位于</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日，参加</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项目，汇入</w:t>
                      </w:r>
                      <w:r>
                        <w:rPr>
                          <w:rFonts w:hint="eastAsia" w:ascii="宋体" w:hAnsi="宋体" w:eastAsia="宋体" w:cs="宋体"/>
                          <w:snapToGrid w:val="0"/>
                          <w:kern w:val="0"/>
                          <w:sz w:val="21"/>
                          <w:szCs w:val="21"/>
                          <w:lang w:val="en-US" w:eastAsia="zh-CN"/>
                        </w:rPr>
                        <w:t>履约</w:t>
                      </w:r>
                      <w:r>
                        <w:rPr>
                          <w:rFonts w:hint="eastAsia" w:ascii="宋体" w:hAnsi="宋体" w:eastAsia="宋体" w:cs="宋体"/>
                          <w:snapToGrid w:val="0"/>
                          <w:kern w:val="0"/>
                          <w:sz w:val="21"/>
                          <w:szCs w:val="21"/>
                        </w:rPr>
                        <w:t>保证金</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元。现</w:t>
                      </w:r>
                      <w:r>
                        <w:rPr>
                          <w:rFonts w:hint="eastAsia" w:ascii="宋体" w:hAnsi="宋体" w:eastAsia="宋体" w:cs="宋体"/>
                          <w:snapToGrid w:val="0"/>
                          <w:kern w:val="0"/>
                          <w:sz w:val="21"/>
                          <w:szCs w:val="21"/>
                          <w:lang w:val="en-US" w:eastAsia="zh-CN"/>
                        </w:rPr>
                        <w:t>工程验收已合格，</w:t>
                      </w:r>
                      <w:r>
                        <w:rPr>
                          <w:rFonts w:hint="eastAsia" w:ascii="宋体" w:hAnsi="宋体" w:eastAsia="宋体" w:cs="宋体"/>
                          <w:snapToGrid w:val="0"/>
                          <w:kern w:val="0"/>
                          <w:sz w:val="21"/>
                          <w:szCs w:val="21"/>
                        </w:rPr>
                        <w:t>并</w:t>
                      </w:r>
                      <w:r>
                        <w:rPr>
                          <w:rFonts w:hint="eastAsia" w:ascii="宋体" w:hAnsi="宋体" w:eastAsia="宋体" w:cs="宋体"/>
                          <w:snapToGrid w:val="0"/>
                          <w:kern w:val="0"/>
                          <w:sz w:val="21"/>
                          <w:szCs w:val="21"/>
                          <w:lang w:val="en-US" w:eastAsia="zh-CN"/>
                        </w:rPr>
                        <w:t>取得竣工验收报告</w:t>
                      </w:r>
                      <w:r>
                        <w:rPr>
                          <w:rFonts w:hint="eastAsia" w:ascii="宋体" w:hAnsi="宋体" w:eastAsia="宋体" w:cs="宋体"/>
                          <w:snapToGrid w:val="0"/>
                          <w:kern w:val="0"/>
                          <w:sz w:val="21"/>
                          <w:szCs w:val="21"/>
                        </w:rPr>
                        <w:t>，特申请退回此笔</w:t>
                      </w:r>
                      <w:r>
                        <w:rPr>
                          <w:rFonts w:hint="eastAsia" w:ascii="宋体" w:hAnsi="宋体" w:eastAsia="宋体" w:cs="宋体"/>
                          <w:snapToGrid w:val="0"/>
                          <w:kern w:val="0"/>
                          <w:sz w:val="21"/>
                          <w:szCs w:val="21"/>
                          <w:lang w:val="en-US" w:eastAsia="zh-CN"/>
                        </w:rPr>
                        <w:t>履约</w:t>
                      </w:r>
                      <w:r>
                        <w:rPr>
                          <w:rFonts w:hint="eastAsia" w:ascii="宋体" w:hAnsi="宋体" w:eastAsia="宋体" w:cs="宋体"/>
                          <w:snapToGrid w:val="0"/>
                          <w:kern w:val="0"/>
                          <w:sz w:val="21"/>
                          <w:szCs w:val="21"/>
                        </w:rPr>
                        <w:t>保证金。另附我单位</w:t>
                      </w:r>
                      <w:r>
                        <w:rPr>
                          <w:rFonts w:hint="eastAsia" w:ascii="宋体" w:hAnsi="宋体" w:eastAsia="宋体" w:cs="宋体"/>
                          <w:snapToGrid w:val="0"/>
                          <w:kern w:val="0"/>
                          <w:sz w:val="21"/>
                          <w:szCs w:val="21"/>
                          <w:lang w:val="en-US" w:eastAsia="zh-CN"/>
                        </w:rPr>
                        <w:t>履约</w:t>
                      </w:r>
                      <w:r>
                        <w:rPr>
                          <w:rFonts w:hint="eastAsia" w:ascii="宋体" w:hAnsi="宋体" w:eastAsia="宋体" w:cs="宋体"/>
                          <w:snapToGrid w:val="0"/>
                          <w:kern w:val="0"/>
                          <w:sz w:val="21"/>
                          <w:szCs w:val="21"/>
                        </w:rPr>
                        <w:t>保证金付款凭证。特此申请！</w:t>
                      </w:r>
                    </w:p>
                    <w:p>
                      <w:pPr>
                        <w:adjustRightInd w:val="0"/>
                        <w:snapToGrid w:val="0"/>
                        <w:spacing w:before="156" w:beforeLines="50" w:line="360" w:lineRule="auto"/>
                        <w:ind w:firstLine="420"/>
                        <w:rPr>
                          <w:rFonts w:hint="eastAsia" w:ascii="宋体" w:hAnsi="宋体" w:eastAsia="宋体" w:cs="宋体"/>
                          <w:snapToGrid w:val="0"/>
                          <w:kern w:val="0"/>
                          <w:sz w:val="21"/>
                          <w:szCs w:val="21"/>
                        </w:rPr>
                      </w:pPr>
                    </w:p>
                    <w:p>
                      <w:pPr>
                        <w:spacing w:after="156" w:line="360" w:lineRule="exact"/>
                        <w:ind w:firstLine="420" w:firstLineChars="200"/>
                        <w:jc w:val="left"/>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rPr>
                        <w:t>供应商：</w:t>
                      </w:r>
                      <w:r>
                        <w:rPr>
                          <w:rFonts w:hint="eastAsia" w:ascii="宋体" w:hAnsi="宋体" w:eastAsia="宋体" w:cs="宋体"/>
                          <w:snapToGrid w:val="0"/>
                          <w:kern w:val="0"/>
                          <w:sz w:val="21"/>
                          <w:szCs w:val="21"/>
                          <w:u w:val="single"/>
                          <w:lang w:val="en-US" w:eastAsia="zh-CN"/>
                        </w:rPr>
                        <w:t xml:space="preserve">          </w:t>
                      </w:r>
                      <w:r>
                        <w:rPr>
                          <w:rFonts w:hint="eastAsia" w:ascii="宋体" w:hAnsi="宋体" w:eastAsia="宋体" w:cs="宋体"/>
                          <w:snapToGrid w:val="0"/>
                          <w:kern w:val="0"/>
                          <w:sz w:val="21"/>
                          <w:szCs w:val="21"/>
                        </w:rPr>
                        <w:t>（公章）</w:t>
                      </w:r>
                      <w:r>
                        <w:rPr>
                          <w:rFonts w:hint="eastAsia" w:ascii="宋体" w:hAnsi="宋体" w:eastAsia="宋体" w:cs="宋体"/>
                          <w:snapToGrid w:val="0"/>
                          <w:kern w:val="0"/>
                          <w:sz w:val="21"/>
                          <w:szCs w:val="21"/>
                          <w:lang w:val="en-US" w:eastAsia="zh-CN"/>
                        </w:rPr>
                        <w:t xml:space="preserve">           </w:t>
                      </w:r>
                      <w:r>
                        <w:rPr>
                          <w:rFonts w:hint="eastAsia" w:ascii="宋体" w:hAnsi="宋体" w:eastAsia="宋体" w:cs="宋体"/>
                          <w:snapToGrid w:val="0"/>
                          <w:kern w:val="0"/>
                          <w:sz w:val="21"/>
                          <w:szCs w:val="21"/>
                        </w:rPr>
                        <w:t>采购人：</w:t>
                      </w:r>
                      <w:r>
                        <w:rPr>
                          <w:rFonts w:hint="eastAsia" w:ascii="宋体" w:hAnsi="宋体" w:eastAsia="宋体" w:cs="宋体"/>
                          <w:snapToGrid w:val="0"/>
                          <w:kern w:val="0"/>
                          <w:sz w:val="21"/>
                          <w:szCs w:val="21"/>
                          <w:u w:val="single"/>
                          <w:lang w:val="en-US" w:eastAsia="zh-CN"/>
                        </w:rPr>
                        <w:t xml:space="preserve">          </w:t>
                      </w:r>
                      <w:r>
                        <w:rPr>
                          <w:rFonts w:hint="eastAsia" w:ascii="宋体" w:hAnsi="宋体" w:eastAsia="宋体" w:cs="宋体"/>
                          <w:snapToGrid w:val="0"/>
                          <w:kern w:val="0"/>
                          <w:sz w:val="21"/>
                          <w:szCs w:val="21"/>
                        </w:rPr>
                        <w:t>（意见加盖公章）</w:t>
                      </w:r>
                    </w:p>
                    <w:p>
                      <w:pPr>
                        <w:spacing w:after="156" w:line="360" w:lineRule="exact"/>
                        <w:ind w:firstLine="630" w:firstLineChars="3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lang w:val="en-US" w:eastAsia="zh-CN"/>
                        </w:rPr>
                        <w:t xml:space="preserve">                        </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p>
                    <w:p>
                      <w:pPr>
                        <w:spacing w:after="156" w:line="360" w:lineRule="exact"/>
                        <w:ind w:firstLine="420" w:firstLineChars="200"/>
                        <w:jc w:val="left"/>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rPr>
                        <w:t xml:space="preserve">     </w:t>
                      </w:r>
                      <w:r>
                        <w:rPr>
                          <w:rFonts w:hint="eastAsia" w:ascii="宋体" w:hAnsi="宋体" w:cs="宋体"/>
                          <w:snapToGrid w:val="0"/>
                          <w:kern w:val="0"/>
                          <w:sz w:val="21"/>
                          <w:szCs w:val="21"/>
                          <w:lang w:val="en-US" w:eastAsia="zh-CN"/>
                        </w:rPr>
                        <w:t xml:space="preserve">          </w:t>
                      </w:r>
                      <w:r>
                        <w:rPr>
                          <w:rFonts w:hint="eastAsia" w:ascii="宋体" w:hAnsi="宋体" w:eastAsia="宋体" w:cs="宋体"/>
                          <w:snapToGrid w:val="0"/>
                          <w:kern w:val="0"/>
                          <w:sz w:val="21"/>
                          <w:szCs w:val="21"/>
                          <w:lang w:val="en-US" w:eastAsia="zh-CN"/>
                        </w:rPr>
                        <w:t>监理单位：</w:t>
                      </w:r>
                      <w:r>
                        <w:rPr>
                          <w:rFonts w:hint="eastAsia" w:ascii="宋体" w:hAnsi="宋体" w:eastAsia="宋体" w:cs="宋体"/>
                          <w:snapToGrid w:val="0"/>
                          <w:kern w:val="0"/>
                          <w:sz w:val="21"/>
                          <w:szCs w:val="21"/>
                        </w:rPr>
                        <w:t xml:space="preserve"> </w:t>
                      </w:r>
                      <w:r>
                        <w:rPr>
                          <w:rFonts w:hint="eastAsia" w:ascii="宋体" w:hAnsi="宋体" w:eastAsia="宋体" w:cs="宋体"/>
                          <w:snapToGrid w:val="0"/>
                          <w:kern w:val="0"/>
                          <w:sz w:val="21"/>
                          <w:szCs w:val="21"/>
                          <w:u w:val="single"/>
                          <w:lang w:val="en-US" w:eastAsia="zh-CN"/>
                        </w:rPr>
                        <w:t xml:space="preserve">          </w:t>
                      </w:r>
                      <w:r>
                        <w:rPr>
                          <w:rFonts w:hint="eastAsia" w:ascii="宋体" w:hAnsi="宋体" w:eastAsia="宋体" w:cs="宋体"/>
                          <w:snapToGrid w:val="0"/>
                          <w:kern w:val="0"/>
                          <w:sz w:val="21"/>
                          <w:szCs w:val="21"/>
                          <w:lang w:val="en-US" w:eastAsia="zh-CN"/>
                        </w:rPr>
                        <w:t>（意见加盖公章）</w:t>
                      </w:r>
                    </w:p>
                    <w:p>
                      <w:pPr>
                        <w:spacing w:after="156" w:line="360" w:lineRule="exact"/>
                        <w:ind w:firstLine="2940" w:firstLineChars="14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lang w:val="en-US" w:eastAsia="zh-CN"/>
                        </w:rPr>
                        <w:t xml:space="preserve">                    </w:t>
                      </w:r>
                    </w:p>
                    <w:p/>
                  </w:txbxContent>
                </v:textbox>
              </v:shape>
            </w:pict>
          </mc:Fallback>
        </mc:AlternateContent>
      </w:r>
    </w:p>
    <w:p>
      <w:pPr>
        <w:adjustRightInd w:val="0"/>
        <w:snapToGrid w:val="0"/>
        <w:spacing w:line="360" w:lineRule="auto"/>
        <w:ind w:left="420" w:leftChars="200"/>
        <w:rPr>
          <w:rFonts w:ascii="宋体" w:hAnsi="宋体" w:cs="宋体"/>
          <w:snapToGrid w:val="0"/>
          <w:szCs w:val="21"/>
        </w:rPr>
      </w:pPr>
    </w:p>
    <w:p>
      <w:pPr>
        <w:adjustRightInd w:val="0"/>
        <w:snapToGrid w:val="0"/>
        <w:spacing w:line="360" w:lineRule="auto"/>
        <w:ind w:left="420" w:leftChars="200"/>
        <w:rPr>
          <w:rFonts w:ascii="宋体" w:hAnsi="宋体" w:cs="宋体"/>
          <w:snapToGrid w:val="0"/>
          <w:szCs w:val="21"/>
        </w:rPr>
      </w:pPr>
    </w:p>
    <w:p>
      <w:pPr>
        <w:adjustRightInd w:val="0"/>
        <w:snapToGrid w:val="0"/>
        <w:spacing w:line="360" w:lineRule="auto"/>
        <w:ind w:left="420" w:leftChars="200"/>
        <w:rPr>
          <w:rFonts w:ascii="宋体" w:hAnsi="宋体" w:cs="宋体"/>
          <w:snapToGrid w:val="0"/>
          <w:szCs w:val="21"/>
        </w:rPr>
      </w:pPr>
    </w:p>
    <w:p>
      <w:pPr>
        <w:adjustRightInd w:val="0"/>
        <w:snapToGrid w:val="0"/>
        <w:spacing w:line="360" w:lineRule="auto"/>
        <w:ind w:left="420" w:leftChars="200"/>
        <w:rPr>
          <w:rFonts w:ascii="宋体" w:hAnsi="宋体" w:cs="宋体"/>
          <w:snapToGrid w:val="0"/>
          <w:szCs w:val="21"/>
        </w:rPr>
      </w:pPr>
    </w:p>
    <w:p>
      <w:pPr>
        <w:adjustRightInd w:val="0"/>
        <w:snapToGrid w:val="0"/>
        <w:spacing w:line="360" w:lineRule="auto"/>
        <w:ind w:left="420" w:leftChars="200"/>
        <w:rPr>
          <w:rFonts w:ascii="宋体" w:hAnsi="宋体" w:cs="宋体"/>
          <w:snapToGrid w:val="0"/>
          <w:szCs w:val="21"/>
        </w:rPr>
      </w:pPr>
    </w:p>
    <w:p>
      <w:pPr>
        <w:adjustRightInd w:val="0"/>
        <w:snapToGrid w:val="0"/>
        <w:spacing w:line="360" w:lineRule="auto"/>
        <w:ind w:left="420" w:leftChars="200"/>
        <w:rPr>
          <w:rFonts w:ascii="宋体" w:hAnsi="宋体" w:cs="宋体"/>
          <w:snapToGrid w:val="0"/>
          <w:szCs w:val="21"/>
        </w:rPr>
      </w:pPr>
    </w:p>
    <w:p>
      <w:pPr>
        <w:spacing w:after="156"/>
        <w:rPr>
          <w:rFonts w:ascii="宋体" w:hAnsi="宋体" w:cs="宋体"/>
          <w:b/>
          <w:snapToGrid w:val="0"/>
          <w:szCs w:val="21"/>
        </w:rPr>
      </w:pPr>
    </w:p>
    <w:p>
      <w:pPr>
        <w:adjustRightInd w:val="0"/>
        <w:snapToGrid w:val="0"/>
        <w:spacing w:after="156"/>
        <w:ind w:firstLine="422" w:firstLineChars="200"/>
        <w:rPr>
          <w:rFonts w:ascii="宋体" w:hAnsi="宋体" w:cs="宋体"/>
          <w:b/>
          <w:snapToGrid w:val="0"/>
          <w:szCs w:val="21"/>
        </w:rPr>
      </w:pPr>
    </w:p>
    <w:p>
      <w:pPr>
        <w:adjustRightInd w:val="0"/>
        <w:snapToGrid w:val="0"/>
        <w:spacing w:after="156"/>
        <w:ind w:firstLine="422" w:firstLineChars="200"/>
        <w:rPr>
          <w:rFonts w:ascii="宋体" w:hAnsi="宋体" w:cs="宋体"/>
          <w:b/>
          <w:snapToGrid w:val="0"/>
          <w:szCs w:val="21"/>
        </w:rPr>
      </w:pPr>
    </w:p>
    <w:p>
      <w:pPr>
        <w:adjustRightInd w:val="0"/>
        <w:snapToGrid w:val="0"/>
        <w:spacing w:after="156"/>
        <w:ind w:firstLine="422" w:firstLineChars="200"/>
        <w:rPr>
          <w:rFonts w:ascii="宋体" w:hAnsi="宋体" w:cs="宋体"/>
          <w:b/>
          <w:snapToGrid w:val="0"/>
          <w:szCs w:val="21"/>
        </w:rPr>
      </w:pPr>
    </w:p>
    <w:p>
      <w:pPr>
        <w:adjustRightInd w:val="0"/>
        <w:snapToGrid w:val="0"/>
        <w:spacing w:after="156"/>
        <w:ind w:firstLine="422" w:firstLineChars="200"/>
        <w:rPr>
          <w:rFonts w:ascii="宋体" w:hAnsi="宋体" w:cs="宋体"/>
          <w:b/>
          <w:snapToGrid w:val="0"/>
          <w:szCs w:val="21"/>
        </w:rPr>
      </w:pPr>
    </w:p>
    <w:p>
      <w:pPr>
        <w:adjustRightInd w:val="0"/>
        <w:snapToGrid w:val="0"/>
        <w:spacing w:after="156"/>
        <w:ind w:firstLine="422" w:firstLineChars="200"/>
        <w:rPr>
          <w:rFonts w:ascii="宋体" w:hAnsi="宋体" w:cs="宋体"/>
          <w:b/>
          <w:snapToGrid w:val="0"/>
          <w:szCs w:val="21"/>
        </w:rPr>
      </w:pPr>
    </w:p>
    <w:p>
      <w:pPr>
        <w:pStyle w:val="2"/>
      </w:pPr>
    </w:p>
    <w:p/>
    <w:p>
      <w:pPr>
        <w:pStyle w:val="17"/>
      </w:pPr>
    </w:p>
    <w:p>
      <w:pPr>
        <w:adjustRightInd w:val="0"/>
        <w:snapToGrid w:val="0"/>
        <w:spacing w:line="360" w:lineRule="auto"/>
        <w:jc w:val="both"/>
        <w:rPr>
          <w:rFonts w:hint="eastAsia" w:eastAsia="宋体"/>
          <w:sz w:val="21"/>
          <w:szCs w:val="21"/>
          <w:lang w:eastAsia="zh-CN"/>
        </w:rPr>
      </w:pPr>
      <w:r>
        <w:rPr>
          <w:rFonts w:hint="eastAsia" w:ascii="宋体" w:hAnsi="宋体" w:cs="宋体"/>
          <w:b/>
          <w:sz w:val="21"/>
          <w:szCs w:val="21"/>
        </w:rPr>
        <w:t>注：</w:t>
      </w:r>
      <w:r>
        <w:rPr>
          <w:rFonts w:hint="eastAsia" w:ascii="宋体" w:hAnsi="宋体" w:cs="宋体"/>
          <w:b/>
          <w:sz w:val="21"/>
          <w:szCs w:val="21"/>
          <w:lang w:val="en-US" w:eastAsia="zh-CN"/>
        </w:rPr>
        <w:t>履约保证金在工程验收合格后五个工作日内退还，中标单位需提供转账证明及履约保证金退还申请书至采购人，履约</w:t>
      </w:r>
      <w:r>
        <w:rPr>
          <w:rFonts w:hint="eastAsia" w:ascii="宋体" w:hAnsi="宋体" w:cs="宋体"/>
          <w:b/>
          <w:sz w:val="21"/>
          <w:szCs w:val="21"/>
        </w:rPr>
        <w:t>保证金退款申请不得装订在</w:t>
      </w:r>
      <w:r>
        <w:rPr>
          <w:rFonts w:hint="eastAsia" w:cs="宋体"/>
          <w:b/>
          <w:sz w:val="21"/>
          <w:szCs w:val="21"/>
        </w:rPr>
        <w:t>投标</w:t>
      </w:r>
      <w:r>
        <w:rPr>
          <w:rFonts w:hint="eastAsia" w:ascii="宋体" w:hAnsi="宋体" w:cs="宋体"/>
          <w:b/>
          <w:sz w:val="21"/>
          <w:szCs w:val="21"/>
        </w:rPr>
        <w:t>文件中</w:t>
      </w:r>
      <w:r>
        <w:rPr>
          <w:rFonts w:hint="eastAsia" w:ascii="宋体" w:hAnsi="宋体" w:cs="宋体"/>
          <w:b/>
          <w:sz w:val="21"/>
          <w:szCs w:val="21"/>
          <w:lang w:eastAsia="zh-CN"/>
        </w:rPr>
        <w:t>。</w:t>
      </w:r>
    </w:p>
    <w:p>
      <w:pPr>
        <w:pStyle w:val="19"/>
        <w:rPr>
          <w:rFonts w:hint="eastAsia"/>
        </w:rPr>
      </w:pPr>
    </w:p>
    <w:sectPr>
      <w:footerReference r:id="rId11" w:type="default"/>
      <w:pgSz w:w="11906" w:h="16838"/>
      <w:pgMar w:top="1440" w:right="1800" w:bottom="1440" w:left="180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 Sun">
    <w:altName w:val="宋体"/>
    <w:panose1 w:val="00000000000000000000"/>
    <w:charset w:val="00"/>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Arial Narrow">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ind w:right="744"/>
      <w:rPr>
        <w:rFonts w:hint="eastAsia" w:ascii="仿宋_GB2312" w:eastAsia="仿宋_GB2312"/>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ind w:right="744"/>
      <w:rPr>
        <w:rFonts w:hint="eastAsia" w:ascii="仿宋_GB2312" w:eastAsia="仿宋_GB2312"/>
        <w:sz w:val="30"/>
        <w:szCs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784"/>
        <w:tab w:val="clear" w:pos="4153"/>
      </w:tabs>
      <w:spacing w:before="76" w:beforeLines="32"/>
      <w:ind w:firstLine="480" w:firstLineChars="200"/>
      <w:rPr>
        <w:rFonts w:hint="eastAsia" w:eastAsia="华文新魏"/>
        <w:lang w:eastAsia="zh-CN"/>
      </w:rPr>
    </w:pPr>
    <w:r>
      <w:rPr>
        <w:rFonts w:hint="eastAsia" w:ascii="华文新魏" w:hAnsi="宋体" w:eastAsia="华文新魏"/>
        <w:i/>
        <w:sz w:val="24"/>
        <w:szCs w:val="24"/>
      </w:rPr>
      <w:t xml:space="preserve">              </w:t>
    </w:r>
    <w:r>
      <w:rPr>
        <w:rFonts w:hint="eastAsia" w:ascii="华文新魏" w:hAnsi="宋体" w:eastAsia="华文新魏"/>
        <w:i/>
        <w:sz w:val="24"/>
        <w:szCs w:val="24"/>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76" w:beforeLines="32"/>
      <w:ind w:firstLine="480" w:firstLineChars="20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p>
                </w:txbxContent>
              </v:textbox>
            </v:shape>
          </w:pict>
        </mc:Fallback>
      </mc:AlternateContent>
    </w:r>
    <w:r>
      <w:rPr>
        <w:rFonts w:hint="eastAsia" w:ascii="华文新魏" w:hAnsi="宋体" w:eastAsia="华文新魏"/>
        <w:i/>
        <w:sz w:val="24"/>
        <w:szCs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76" w:beforeLines="32"/>
      <w:ind w:firstLine="480" w:firstLineChars="200"/>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p>
                </w:txbxContent>
              </v:textbox>
            </v:shape>
          </w:pict>
        </mc:Fallback>
      </mc:AlternateContent>
    </w:r>
    <w:r>
      <w:rPr>
        <w:rFonts w:hint="eastAsia" w:ascii="华文新魏" w:hAnsi="宋体" w:eastAsia="华文新魏"/>
        <w:i/>
        <w:sz w:val="24"/>
        <w:szCs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76" w:beforeLines="32"/>
      <w:ind w:firstLine="480" w:firstLineChars="20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p>
                </w:txbxContent>
              </v:textbox>
            </v:shape>
          </w:pict>
        </mc:Fallback>
      </mc:AlternateContent>
    </w:r>
    <w:r>
      <w:rPr>
        <w:rFonts w:hint="eastAsia" w:ascii="华文新魏" w:hAnsi="宋体" w:eastAsia="华文新魏"/>
        <w:i/>
        <w:sz w:val="24"/>
        <w:szCs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76" w:beforeLines="32"/>
      <w:ind w:firstLine="480" w:firstLineChars="200"/>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ascii="华文新魏" w:hAnsi="宋体" w:eastAsia="华文新魏"/>
        <w:i/>
        <w:sz w:val="24"/>
        <w:szCs w:val="24"/>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76" w:beforeLines="32"/>
      <w:ind w:firstLine="480" w:firstLineChars="200"/>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61</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eastAsia="宋体"/>
                        <w:lang w:eastAsia="zh-CN"/>
                      </w:rPr>
                    </w:pPr>
                  </w:p>
                </w:txbxContent>
              </v:textbox>
            </v:shape>
          </w:pict>
        </mc:Fallback>
      </mc:AlternateContent>
    </w:r>
    <w:r>
      <w:rPr>
        <w:rFonts w:hint="eastAsia" w:ascii="华文新魏" w:hAnsi="宋体" w:eastAsia="华文新魏"/>
        <w:i/>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22416"/>
    <w:multiLevelType w:val="singleLevel"/>
    <w:tmpl w:val="F1522416"/>
    <w:lvl w:ilvl="0" w:tentative="0">
      <w:start w:val="1"/>
      <w:numFmt w:val="decimal"/>
      <w:suff w:val="nothing"/>
      <w:lvlText w:val="（%1）"/>
      <w:lvlJc w:val="left"/>
    </w:lvl>
  </w:abstractNum>
  <w:abstractNum w:abstractNumId="1">
    <w:nsid w:val="F1C09DE2"/>
    <w:multiLevelType w:val="singleLevel"/>
    <w:tmpl w:val="F1C09DE2"/>
    <w:lvl w:ilvl="0" w:tentative="0">
      <w:start w:val="1"/>
      <w:numFmt w:val="decimal"/>
      <w:lvlText w:val="(%1)"/>
      <w:lvlJc w:val="left"/>
      <w:pPr>
        <w:tabs>
          <w:tab w:val="left" w:pos="312"/>
        </w:tabs>
      </w:pPr>
    </w:lvl>
  </w:abstractNum>
  <w:abstractNum w:abstractNumId="2">
    <w:nsid w:val="4A8F66D9"/>
    <w:multiLevelType w:val="singleLevel"/>
    <w:tmpl w:val="4A8F66D9"/>
    <w:lvl w:ilvl="0" w:tentative="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C37A1"/>
    <w:rsid w:val="00763E80"/>
    <w:rsid w:val="00D61F88"/>
    <w:rsid w:val="00DC5BF0"/>
    <w:rsid w:val="01707E2F"/>
    <w:rsid w:val="023E5BE1"/>
    <w:rsid w:val="024E7E9E"/>
    <w:rsid w:val="02606B1F"/>
    <w:rsid w:val="02753794"/>
    <w:rsid w:val="02BC1D9E"/>
    <w:rsid w:val="039C23ED"/>
    <w:rsid w:val="039D1806"/>
    <w:rsid w:val="03C87720"/>
    <w:rsid w:val="03CF188E"/>
    <w:rsid w:val="04237AD3"/>
    <w:rsid w:val="0469300A"/>
    <w:rsid w:val="04727FD3"/>
    <w:rsid w:val="047E5460"/>
    <w:rsid w:val="047F30F8"/>
    <w:rsid w:val="04BE4060"/>
    <w:rsid w:val="04DE5894"/>
    <w:rsid w:val="04FC4834"/>
    <w:rsid w:val="050B283A"/>
    <w:rsid w:val="054A7A6B"/>
    <w:rsid w:val="054C5BD6"/>
    <w:rsid w:val="0556336B"/>
    <w:rsid w:val="05BB35B3"/>
    <w:rsid w:val="05C363CA"/>
    <w:rsid w:val="05C432BD"/>
    <w:rsid w:val="06523955"/>
    <w:rsid w:val="06632291"/>
    <w:rsid w:val="06BF3548"/>
    <w:rsid w:val="06D12D1E"/>
    <w:rsid w:val="077B6045"/>
    <w:rsid w:val="07AD59C3"/>
    <w:rsid w:val="07C75218"/>
    <w:rsid w:val="07F67BF4"/>
    <w:rsid w:val="08D01562"/>
    <w:rsid w:val="08DE3AE1"/>
    <w:rsid w:val="08E2171F"/>
    <w:rsid w:val="08FA2F54"/>
    <w:rsid w:val="0939710A"/>
    <w:rsid w:val="09602655"/>
    <w:rsid w:val="097457E0"/>
    <w:rsid w:val="09843306"/>
    <w:rsid w:val="09A32DE6"/>
    <w:rsid w:val="0A2E21AF"/>
    <w:rsid w:val="0A684A47"/>
    <w:rsid w:val="0B6A519B"/>
    <w:rsid w:val="0B746957"/>
    <w:rsid w:val="0BCC7B48"/>
    <w:rsid w:val="0BFE6289"/>
    <w:rsid w:val="0C0A5EB3"/>
    <w:rsid w:val="0C67779F"/>
    <w:rsid w:val="0C992336"/>
    <w:rsid w:val="0CCD0C73"/>
    <w:rsid w:val="0CD86997"/>
    <w:rsid w:val="0CFC4B87"/>
    <w:rsid w:val="0D505AA2"/>
    <w:rsid w:val="0D5807AF"/>
    <w:rsid w:val="0D673BD4"/>
    <w:rsid w:val="0D6A6DD8"/>
    <w:rsid w:val="0D824925"/>
    <w:rsid w:val="0D8432AF"/>
    <w:rsid w:val="0DA23EE4"/>
    <w:rsid w:val="0DC57E53"/>
    <w:rsid w:val="0DDA504E"/>
    <w:rsid w:val="0DF807A6"/>
    <w:rsid w:val="0E581AC8"/>
    <w:rsid w:val="0E655FF0"/>
    <w:rsid w:val="0E8B7F3F"/>
    <w:rsid w:val="0EA812D6"/>
    <w:rsid w:val="0ED66691"/>
    <w:rsid w:val="0F493747"/>
    <w:rsid w:val="0F570825"/>
    <w:rsid w:val="0F5B05D1"/>
    <w:rsid w:val="0F6549E5"/>
    <w:rsid w:val="0F997350"/>
    <w:rsid w:val="100F033A"/>
    <w:rsid w:val="10103FAB"/>
    <w:rsid w:val="10262E9B"/>
    <w:rsid w:val="10743B9C"/>
    <w:rsid w:val="10853AB8"/>
    <w:rsid w:val="10A77FD5"/>
    <w:rsid w:val="10EA30ED"/>
    <w:rsid w:val="11060313"/>
    <w:rsid w:val="1106692E"/>
    <w:rsid w:val="11336D7C"/>
    <w:rsid w:val="11624649"/>
    <w:rsid w:val="1168094A"/>
    <w:rsid w:val="117C6438"/>
    <w:rsid w:val="1184707D"/>
    <w:rsid w:val="119A4566"/>
    <w:rsid w:val="11A426F2"/>
    <w:rsid w:val="12386C7D"/>
    <w:rsid w:val="124F13F0"/>
    <w:rsid w:val="126E03CD"/>
    <w:rsid w:val="127A12BD"/>
    <w:rsid w:val="127C1247"/>
    <w:rsid w:val="128A3B95"/>
    <w:rsid w:val="13121046"/>
    <w:rsid w:val="13263F3D"/>
    <w:rsid w:val="138E31E0"/>
    <w:rsid w:val="13B264DF"/>
    <w:rsid w:val="13BC128D"/>
    <w:rsid w:val="13ED2BE2"/>
    <w:rsid w:val="14357A15"/>
    <w:rsid w:val="14480B2F"/>
    <w:rsid w:val="14B04102"/>
    <w:rsid w:val="14D91712"/>
    <w:rsid w:val="154811D4"/>
    <w:rsid w:val="15752595"/>
    <w:rsid w:val="161605DE"/>
    <w:rsid w:val="16451175"/>
    <w:rsid w:val="169A0D9D"/>
    <w:rsid w:val="16C758CF"/>
    <w:rsid w:val="173E20C2"/>
    <w:rsid w:val="18605936"/>
    <w:rsid w:val="18782EDE"/>
    <w:rsid w:val="188957B7"/>
    <w:rsid w:val="18C2272F"/>
    <w:rsid w:val="19376DFA"/>
    <w:rsid w:val="198B15B8"/>
    <w:rsid w:val="19B579EB"/>
    <w:rsid w:val="19EC3F26"/>
    <w:rsid w:val="19F62B1A"/>
    <w:rsid w:val="1A082B2E"/>
    <w:rsid w:val="1A235E58"/>
    <w:rsid w:val="1A3C2975"/>
    <w:rsid w:val="1A571C36"/>
    <w:rsid w:val="1A715C66"/>
    <w:rsid w:val="1A942BD1"/>
    <w:rsid w:val="1ACE35B6"/>
    <w:rsid w:val="1B0E09F2"/>
    <w:rsid w:val="1BB809A2"/>
    <w:rsid w:val="1BCE0168"/>
    <w:rsid w:val="1C087EC3"/>
    <w:rsid w:val="1C3B4971"/>
    <w:rsid w:val="1C3F3F5C"/>
    <w:rsid w:val="1C977FED"/>
    <w:rsid w:val="1CA52F9C"/>
    <w:rsid w:val="1CF85DAD"/>
    <w:rsid w:val="1E4522A0"/>
    <w:rsid w:val="1E9B18EE"/>
    <w:rsid w:val="1EA22125"/>
    <w:rsid w:val="1F007662"/>
    <w:rsid w:val="1F046068"/>
    <w:rsid w:val="1F413279"/>
    <w:rsid w:val="1F4F4927"/>
    <w:rsid w:val="1F7F74BC"/>
    <w:rsid w:val="1F8D76B1"/>
    <w:rsid w:val="1FD13B04"/>
    <w:rsid w:val="202310AB"/>
    <w:rsid w:val="20797217"/>
    <w:rsid w:val="2083395E"/>
    <w:rsid w:val="20CB4D43"/>
    <w:rsid w:val="20F46152"/>
    <w:rsid w:val="21E54BC4"/>
    <w:rsid w:val="221D4703"/>
    <w:rsid w:val="222D4CBF"/>
    <w:rsid w:val="22590859"/>
    <w:rsid w:val="22663C13"/>
    <w:rsid w:val="227E0277"/>
    <w:rsid w:val="23071758"/>
    <w:rsid w:val="23624C0E"/>
    <w:rsid w:val="236B08E0"/>
    <w:rsid w:val="23720371"/>
    <w:rsid w:val="23B4151F"/>
    <w:rsid w:val="23F3798A"/>
    <w:rsid w:val="24066EE1"/>
    <w:rsid w:val="242E69F5"/>
    <w:rsid w:val="24341478"/>
    <w:rsid w:val="24897785"/>
    <w:rsid w:val="24C771BB"/>
    <w:rsid w:val="24E74757"/>
    <w:rsid w:val="25236271"/>
    <w:rsid w:val="25611471"/>
    <w:rsid w:val="25650CBA"/>
    <w:rsid w:val="2573330C"/>
    <w:rsid w:val="258952D4"/>
    <w:rsid w:val="25E300EC"/>
    <w:rsid w:val="25FB3DA5"/>
    <w:rsid w:val="261012B0"/>
    <w:rsid w:val="26262BE2"/>
    <w:rsid w:val="262F35CA"/>
    <w:rsid w:val="268C4A44"/>
    <w:rsid w:val="26D52390"/>
    <w:rsid w:val="27097D38"/>
    <w:rsid w:val="274E5504"/>
    <w:rsid w:val="276946A9"/>
    <w:rsid w:val="27C67467"/>
    <w:rsid w:val="27E671DD"/>
    <w:rsid w:val="27EA46F6"/>
    <w:rsid w:val="28106314"/>
    <w:rsid w:val="284D08B9"/>
    <w:rsid w:val="2875576B"/>
    <w:rsid w:val="29120000"/>
    <w:rsid w:val="298C5643"/>
    <w:rsid w:val="299C3679"/>
    <w:rsid w:val="29B10750"/>
    <w:rsid w:val="29B20F42"/>
    <w:rsid w:val="29D47848"/>
    <w:rsid w:val="29FA4AFA"/>
    <w:rsid w:val="2A0452FF"/>
    <w:rsid w:val="2A2606C1"/>
    <w:rsid w:val="2A261554"/>
    <w:rsid w:val="2A6837B6"/>
    <w:rsid w:val="2A6D2D98"/>
    <w:rsid w:val="2A9F6D9E"/>
    <w:rsid w:val="2AA72BDB"/>
    <w:rsid w:val="2AB23B55"/>
    <w:rsid w:val="2AB37D31"/>
    <w:rsid w:val="2B367A41"/>
    <w:rsid w:val="2B393906"/>
    <w:rsid w:val="2B41466F"/>
    <w:rsid w:val="2B4D208A"/>
    <w:rsid w:val="2B5A3734"/>
    <w:rsid w:val="2BAA5F4C"/>
    <w:rsid w:val="2C0143A7"/>
    <w:rsid w:val="2C185071"/>
    <w:rsid w:val="2CC04C01"/>
    <w:rsid w:val="2D227644"/>
    <w:rsid w:val="2D347007"/>
    <w:rsid w:val="2D8D7104"/>
    <w:rsid w:val="2DA139D2"/>
    <w:rsid w:val="2DCE6EBA"/>
    <w:rsid w:val="2DDF6A57"/>
    <w:rsid w:val="2E1656D2"/>
    <w:rsid w:val="2E3E3297"/>
    <w:rsid w:val="2E71285C"/>
    <w:rsid w:val="2EE10EF8"/>
    <w:rsid w:val="2F4F5A97"/>
    <w:rsid w:val="2FF32C47"/>
    <w:rsid w:val="300C46E3"/>
    <w:rsid w:val="30734AEB"/>
    <w:rsid w:val="308F4F32"/>
    <w:rsid w:val="30BE79A7"/>
    <w:rsid w:val="30DF6AEC"/>
    <w:rsid w:val="313B4156"/>
    <w:rsid w:val="31780267"/>
    <w:rsid w:val="31B07DDD"/>
    <w:rsid w:val="31E4547D"/>
    <w:rsid w:val="32075013"/>
    <w:rsid w:val="32AB61EC"/>
    <w:rsid w:val="32C342A4"/>
    <w:rsid w:val="32E7737B"/>
    <w:rsid w:val="32F13750"/>
    <w:rsid w:val="333A3EC5"/>
    <w:rsid w:val="337C2F0A"/>
    <w:rsid w:val="33EB7896"/>
    <w:rsid w:val="33F33F1C"/>
    <w:rsid w:val="33F75303"/>
    <w:rsid w:val="33F83B74"/>
    <w:rsid w:val="34594A5F"/>
    <w:rsid w:val="34BA5E99"/>
    <w:rsid w:val="34C80307"/>
    <w:rsid w:val="352934B8"/>
    <w:rsid w:val="367C457C"/>
    <w:rsid w:val="36B67EE0"/>
    <w:rsid w:val="37034DCF"/>
    <w:rsid w:val="375C234D"/>
    <w:rsid w:val="377E49EE"/>
    <w:rsid w:val="382001E8"/>
    <w:rsid w:val="383639E0"/>
    <w:rsid w:val="38A36544"/>
    <w:rsid w:val="38C9221C"/>
    <w:rsid w:val="38EA4278"/>
    <w:rsid w:val="39093111"/>
    <w:rsid w:val="39214A04"/>
    <w:rsid w:val="392B63D8"/>
    <w:rsid w:val="394D756C"/>
    <w:rsid w:val="39753A69"/>
    <w:rsid w:val="39A83A6A"/>
    <w:rsid w:val="39AA6613"/>
    <w:rsid w:val="39B81498"/>
    <w:rsid w:val="39F506F3"/>
    <w:rsid w:val="39F94C35"/>
    <w:rsid w:val="3A5F2998"/>
    <w:rsid w:val="3A8B6B21"/>
    <w:rsid w:val="3A95345D"/>
    <w:rsid w:val="3AB91E94"/>
    <w:rsid w:val="3B1B0E45"/>
    <w:rsid w:val="3B2704DC"/>
    <w:rsid w:val="3B4E56FA"/>
    <w:rsid w:val="3B6B3F5A"/>
    <w:rsid w:val="3B7C2B61"/>
    <w:rsid w:val="3B8A130B"/>
    <w:rsid w:val="3B8B12FB"/>
    <w:rsid w:val="3C0203FD"/>
    <w:rsid w:val="3C391AD3"/>
    <w:rsid w:val="3C40055F"/>
    <w:rsid w:val="3C5D67EC"/>
    <w:rsid w:val="3C671E43"/>
    <w:rsid w:val="3CB64699"/>
    <w:rsid w:val="3CD33640"/>
    <w:rsid w:val="3CF92D75"/>
    <w:rsid w:val="3D0D701A"/>
    <w:rsid w:val="3D491B5B"/>
    <w:rsid w:val="3DA312D4"/>
    <w:rsid w:val="3DF805BB"/>
    <w:rsid w:val="3E180B43"/>
    <w:rsid w:val="3E861854"/>
    <w:rsid w:val="3E8B0245"/>
    <w:rsid w:val="3E980E83"/>
    <w:rsid w:val="3EA0344F"/>
    <w:rsid w:val="3EC14C3F"/>
    <w:rsid w:val="3EC6346C"/>
    <w:rsid w:val="3ED50E9B"/>
    <w:rsid w:val="3F08287B"/>
    <w:rsid w:val="3F9B00E0"/>
    <w:rsid w:val="3FE964AA"/>
    <w:rsid w:val="3FF47E4C"/>
    <w:rsid w:val="402C0505"/>
    <w:rsid w:val="40321748"/>
    <w:rsid w:val="404222AD"/>
    <w:rsid w:val="406C2035"/>
    <w:rsid w:val="407409C1"/>
    <w:rsid w:val="40A32A39"/>
    <w:rsid w:val="40B73558"/>
    <w:rsid w:val="40CC6D4E"/>
    <w:rsid w:val="40E0585F"/>
    <w:rsid w:val="411D51FA"/>
    <w:rsid w:val="416B2C9C"/>
    <w:rsid w:val="41743F41"/>
    <w:rsid w:val="419A65CE"/>
    <w:rsid w:val="41C35FDC"/>
    <w:rsid w:val="423137F2"/>
    <w:rsid w:val="42665D77"/>
    <w:rsid w:val="4272498F"/>
    <w:rsid w:val="42756FAE"/>
    <w:rsid w:val="42F7798A"/>
    <w:rsid w:val="434A0C9D"/>
    <w:rsid w:val="434B4938"/>
    <w:rsid w:val="436F78C7"/>
    <w:rsid w:val="43985EB7"/>
    <w:rsid w:val="43C86ECB"/>
    <w:rsid w:val="440D72FB"/>
    <w:rsid w:val="447318C0"/>
    <w:rsid w:val="44BA1B9C"/>
    <w:rsid w:val="44CB11D3"/>
    <w:rsid w:val="44D04259"/>
    <w:rsid w:val="44E06ABE"/>
    <w:rsid w:val="4531239C"/>
    <w:rsid w:val="4572153E"/>
    <w:rsid w:val="45973D30"/>
    <w:rsid w:val="462336A1"/>
    <w:rsid w:val="468C05FF"/>
    <w:rsid w:val="46A11EED"/>
    <w:rsid w:val="46B95A7E"/>
    <w:rsid w:val="46DE4766"/>
    <w:rsid w:val="4761507B"/>
    <w:rsid w:val="477255F2"/>
    <w:rsid w:val="478F5870"/>
    <w:rsid w:val="47A541B9"/>
    <w:rsid w:val="47B97933"/>
    <w:rsid w:val="47C676DD"/>
    <w:rsid w:val="47E332FF"/>
    <w:rsid w:val="47E930A3"/>
    <w:rsid w:val="47F00504"/>
    <w:rsid w:val="48015706"/>
    <w:rsid w:val="480C77EB"/>
    <w:rsid w:val="48644309"/>
    <w:rsid w:val="487D7E31"/>
    <w:rsid w:val="4881538B"/>
    <w:rsid w:val="48D85661"/>
    <w:rsid w:val="490E075B"/>
    <w:rsid w:val="49582082"/>
    <w:rsid w:val="49610849"/>
    <w:rsid w:val="49C361D6"/>
    <w:rsid w:val="49F43CD0"/>
    <w:rsid w:val="4A1C7F7D"/>
    <w:rsid w:val="4A1F3E0A"/>
    <w:rsid w:val="4A2D75A5"/>
    <w:rsid w:val="4A53745D"/>
    <w:rsid w:val="4A850178"/>
    <w:rsid w:val="4A9B3FFD"/>
    <w:rsid w:val="4AE7620F"/>
    <w:rsid w:val="4AFC5EC4"/>
    <w:rsid w:val="4B094632"/>
    <w:rsid w:val="4B0C2910"/>
    <w:rsid w:val="4B1915D3"/>
    <w:rsid w:val="4B4F4FAB"/>
    <w:rsid w:val="4B56791C"/>
    <w:rsid w:val="4B8072C1"/>
    <w:rsid w:val="4B995438"/>
    <w:rsid w:val="4BF976BC"/>
    <w:rsid w:val="4C2A1CA5"/>
    <w:rsid w:val="4C2A4C4B"/>
    <w:rsid w:val="4C3C7DF8"/>
    <w:rsid w:val="4C7E5333"/>
    <w:rsid w:val="4CE2339D"/>
    <w:rsid w:val="4CE330E8"/>
    <w:rsid w:val="4D0C3AA6"/>
    <w:rsid w:val="4D201A26"/>
    <w:rsid w:val="4D5E3016"/>
    <w:rsid w:val="4D854925"/>
    <w:rsid w:val="4DC45D21"/>
    <w:rsid w:val="4DD12EB6"/>
    <w:rsid w:val="4E3249A5"/>
    <w:rsid w:val="4E58330E"/>
    <w:rsid w:val="4E7E2C06"/>
    <w:rsid w:val="4EDE6801"/>
    <w:rsid w:val="4EE6268A"/>
    <w:rsid w:val="4F9639BD"/>
    <w:rsid w:val="4FCD4AD1"/>
    <w:rsid w:val="4FD77FF5"/>
    <w:rsid w:val="4FF65E35"/>
    <w:rsid w:val="50275872"/>
    <w:rsid w:val="50A46FF8"/>
    <w:rsid w:val="50BA7B06"/>
    <w:rsid w:val="50BC58A9"/>
    <w:rsid w:val="50FB2D62"/>
    <w:rsid w:val="51671CDE"/>
    <w:rsid w:val="51CE7EF8"/>
    <w:rsid w:val="51EF1810"/>
    <w:rsid w:val="51F00B07"/>
    <w:rsid w:val="51F2437A"/>
    <w:rsid w:val="522D21C9"/>
    <w:rsid w:val="523A0CDA"/>
    <w:rsid w:val="525657E4"/>
    <w:rsid w:val="52764C77"/>
    <w:rsid w:val="528701EE"/>
    <w:rsid w:val="528B54ED"/>
    <w:rsid w:val="52971E70"/>
    <w:rsid w:val="52A22328"/>
    <w:rsid w:val="52B95A62"/>
    <w:rsid w:val="52C953A3"/>
    <w:rsid w:val="53123679"/>
    <w:rsid w:val="532C6C52"/>
    <w:rsid w:val="533643EC"/>
    <w:rsid w:val="536C5C25"/>
    <w:rsid w:val="53E32F3B"/>
    <w:rsid w:val="54354A85"/>
    <w:rsid w:val="543568AE"/>
    <w:rsid w:val="543662C2"/>
    <w:rsid w:val="5441087B"/>
    <w:rsid w:val="549237C8"/>
    <w:rsid w:val="54ED111B"/>
    <w:rsid w:val="550A6194"/>
    <w:rsid w:val="55426B58"/>
    <w:rsid w:val="556F1693"/>
    <w:rsid w:val="55854859"/>
    <w:rsid w:val="55F02712"/>
    <w:rsid w:val="5603716D"/>
    <w:rsid w:val="562E4CC9"/>
    <w:rsid w:val="56484CDC"/>
    <w:rsid w:val="564F1634"/>
    <w:rsid w:val="56CB4FC7"/>
    <w:rsid w:val="56EA64E7"/>
    <w:rsid w:val="577045F5"/>
    <w:rsid w:val="57C26613"/>
    <w:rsid w:val="580C3C9C"/>
    <w:rsid w:val="587A5253"/>
    <w:rsid w:val="58886C31"/>
    <w:rsid w:val="58DF774F"/>
    <w:rsid w:val="58E54A88"/>
    <w:rsid w:val="595B16BA"/>
    <w:rsid w:val="5971416F"/>
    <w:rsid w:val="59774D17"/>
    <w:rsid w:val="59883FD7"/>
    <w:rsid w:val="59B87E99"/>
    <w:rsid w:val="5A5F55CC"/>
    <w:rsid w:val="5A9C29C1"/>
    <w:rsid w:val="5ACE0565"/>
    <w:rsid w:val="5AE87514"/>
    <w:rsid w:val="5B134FF5"/>
    <w:rsid w:val="5B2F203A"/>
    <w:rsid w:val="5B9B0EA1"/>
    <w:rsid w:val="5BA70608"/>
    <w:rsid w:val="5BBB4C9C"/>
    <w:rsid w:val="5BCE3D67"/>
    <w:rsid w:val="5C513AC2"/>
    <w:rsid w:val="5C6550DA"/>
    <w:rsid w:val="5CD903E3"/>
    <w:rsid w:val="5CFC0A4B"/>
    <w:rsid w:val="5D32363C"/>
    <w:rsid w:val="5D5A3007"/>
    <w:rsid w:val="5D766E8F"/>
    <w:rsid w:val="5DCF39E8"/>
    <w:rsid w:val="5E180211"/>
    <w:rsid w:val="5E6E52AB"/>
    <w:rsid w:val="5E72358C"/>
    <w:rsid w:val="602E3966"/>
    <w:rsid w:val="60837D19"/>
    <w:rsid w:val="60C02F86"/>
    <w:rsid w:val="60FF0DCA"/>
    <w:rsid w:val="61395986"/>
    <w:rsid w:val="61712E45"/>
    <w:rsid w:val="61782076"/>
    <w:rsid w:val="61A94D34"/>
    <w:rsid w:val="61AE023D"/>
    <w:rsid w:val="61AF6C97"/>
    <w:rsid w:val="61D63E53"/>
    <w:rsid w:val="61FC28CE"/>
    <w:rsid w:val="62394BD0"/>
    <w:rsid w:val="62DC72BB"/>
    <w:rsid w:val="63060E25"/>
    <w:rsid w:val="631E2BB6"/>
    <w:rsid w:val="63740504"/>
    <w:rsid w:val="63965945"/>
    <w:rsid w:val="639E1188"/>
    <w:rsid w:val="63D746A0"/>
    <w:rsid w:val="63F00D9F"/>
    <w:rsid w:val="64501859"/>
    <w:rsid w:val="647D6B7D"/>
    <w:rsid w:val="64820701"/>
    <w:rsid w:val="64880BE5"/>
    <w:rsid w:val="649E30FC"/>
    <w:rsid w:val="64BC3E79"/>
    <w:rsid w:val="64DF0CA2"/>
    <w:rsid w:val="64E95D39"/>
    <w:rsid w:val="64EA42D5"/>
    <w:rsid w:val="64FD2310"/>
    <w:rsid w:val="651A7F2E"/>
    <w:rsid w:val="654E13BA"/>
    <w:rsid w:val="65617F5E"/>
    <w:rsid w:val="65E60947"/>
    <w:rsid w:val="662A3E1A"/>
    <w:rsid w:val="664F702B"/>
    <w:rsid w:val="666F2F2C"/>
    <w:rsid w:val="673319D2"/>
    <w:rsid w:val="674B31F9"/>
    <w:rsid w:val="680440F4"/>
    <w:rsid w:val="680C64B6"/>
    <w:rsid w:val="687B01F9"/>
    <w:rsid w:val="68DF7DB2"/>
    <w:rsid w:val="691F49B5"/>
    <w:rsid w:val="693D28E5"/>
    <w:rsid w:val="69BA1D6B"/>
    <w:rsid w:val="69C0049D"/>
    <w:rsid w:val="69E66E70"/>
    <w:rsid w:val="6A104169"/>
    <w:rsid w:val="6A5A14F5"/>
    <w:rsid w:val="6ABD73F6"/>
    <w:rsid w:val="6B8360FC"/>
    <w:rsid w:val="6BED4DB0"/>
    <w:rsid w:val="6C0C4C3A"/>
    <w:rsid w:val="6C1B24A9"/>
    <w:rsid w:val="6C1F4968"/>
    <w:rsid w:val="6C2010A2"/>
    <w:rsid w:val="6C5519CC"/>
    <w:rsid w:val="6C5A4159"/>
    <w:rsid w:val="6C682835"/>
    <w:rsid w:val="6C9807E5"/>
    <w:rsid w:val="6CAB2873"/>
    <w:rsid w:val="6CF2505D"/>
    <w:rsid w:val="6D2F5E56"/>
    <w:rsid w:val="6D981F9A"/>
    <w:rsid w:val="6DAB36B8"/>
    <w:rsid w:val="6DAF13CD"/>
    <w:rsid w:val="6DBF3EF8"/>
    <w:rsid w:val="6DD653EC"/>
    <w:rsid w:val="6E036A69"/>
    <w:rsid w:val="6E285192"/>
    <w:rsid w:val="6E583573"/>
    <w:rsid w:val="6E961F94"/>
    <w:rsid w:val="6EC5054D"/>
    <w:rsid w:val="6ED76CB1"/>
    <w:rsid w:val="6EDF3802"/>
    <w:rsid w:val="6EFE43F7"/>
    <w:rsid w:val="6F4431FA"/>
    <w:rsid w:val="6FC56742"/>
    <w:rsid w:val="6FD96EFF"/>
    <w:rsid w:val="70274199"/>
    <w:rsid w:val="70346664"/>
    <w:rsid w:val="7073549E"/>
    <w:rsid w:val="707B4DF7"/>
    <w:rsid w:val="70910B4A"/>
    <w:rsid w:val="71260CC9"/>
    <w:rsid w:val="71644BEB"/>
    <w:rsid w:val="716E3B64"/>
    <w:rsid w:val="718C7F53"/>
    <w:rsid w:val="71BE47B9"/>
    <w:rsid w:val="71D829D0"/>
    <w:rsid w:val="721A50B9"/>
    <w:rsid w:val="723F351E"/>
    <w:rsid w:val="727A12EB"/>
    <w:rsid w:val="72886457"/>
    <w:rsid w:val="73537A79"/>
    <w:rsid w:val="739F463C"/>
    <w:rsid w:val="73AB1B86"/>
    <w:rsid w:val="747A2D09"/>
    <w:rsid w:val="74895276"/>
    <w:rsid w:val="74CD42A5"/>
    <w:rsid w:val="74EC3A13"/>
    <w:rsid w:val="74FD2425"/>
    <w:rsid w:val="75082254"/>
    <w:rsid w:val="757A0B4B"/>
    <w:rsid w:val="759A740E"/>
    <w:rsid w:val="764B00D8"/>
    <w:rsid w:val="765C663B"/>
    <w:rsid w:val="76A25041"/>
    <w:rsid w:val="76A86D72"/>
    <w:rsid w:val="76BA1D04"/>
    <w:rsid w:val="77224B11"/>
    <w:rsid w:val="772A26FB"/>
    <w:rsid w:val="77FD36B1"/>
    <w:rsid w:val="783B0DF8"/>
    <w:rsid w:val="784A42F2"/>
    <w:rsid w:val="785B03C8"/>
    <w:rsid w:val="786853C9"/>
    <w:rsid w:val="78820596"/>
    <w:rsid w:val="78A009CD"/>
    <w:rsid w:val="78A81A48"/>
    <w:rsid w:val="78AC1F41"/>
    <w:rsid w:val="78B04753"/>
    <w:rsid w:val="78FB261B"/>
    <w:rsid w:val="79523FF8"/>
    <w:rsid w:val="79672119"/>
    <w:rsid w:val="796E208D"/>
    <w:rsid w:val="79BB495E"/>
    <w:rsid w:val="79CF3FC2"/>
    <w:rsid w:val="7A8851ED"/>
    <w:rsid w:val="7A8E2831"/>
    <w:rsid w:val="7AEF325D"/>
    <w:rsid w:val="7B2C2890"/>
    <w:rsid w:val="7BE21FC1"/>
    <w:rsid w:val="7BE607DE"/>
    <w:rsid w:val="7BF16B12"/>
    <w:rsid w:val="7C2403C0"/>
    <w:rsid w:val="7C2F68EB"/>
    <w:rsid w:val="7C4C37A1"/>
    <w:rsid w:val="7C681EE3"/>
    <w:rsid w:val="7C7A363E"/>
    <w:rsid w:val="7CAD4EF2"/>
    <w:rsid w:val="7CBF67C6"/>
    <w:rsid w:val="7CFB4BAC"/>
    <w:rsid w:val="7D136DE4"/>
    <w:rsid w:val="7D3A72D7"/>
    <w:rsid w:val="7D796F39"/>
    <w:rsid w:val="7DBC48A5"/>
    <w:rsid w:val="7DD2575F"/>
    <w:rsid w:val="7DDF698B"/>
    <w:rsid w:val="7DF62BCA"/>
    <w:rsid w:val="7E147F9B"/>
    <w:rsid w:val="7E2C5F91"/>
    <w:rsid w:val="7E6A7ECD"/>
    <w:rsid w:val="7E8E4D67"/>
    <w:rsid w:val="7EA26E23"/>
    <w:rsid w:val="7EA92EEE"/>
    <w:rsid w:val="7EC40D73"/>
    <w:rsid w:val="7ED12548"/>
    <w:rsid w:val="7EE6584E"/>
    <w:rsid w:val="7F425813"/>
    <w:rsid w:val="7F88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spacing w:before="240" w:after="60"/>
      <w:outlineLvl w:val="0"/>
    </w:pPr>
    <w:rPr>
      <w:bCs/>
      <w:kern w:val="32"/>
      <w:szCs w:val="32"/>
    </w:rPr>
  </w:style>
  <w:style w:type="paragraph" w:styleId="5">
    <w:name w:val="heading 2"/>
    <w:basedOn w:val="1"/>
    <w:next w:val="1"/>
    <w:qFormat/>
    <w:uiPriority w:val="9"/>
    <w:pPr>
      <w:keepNext/>
      <w:keepLines/>
      <w:spacing w:line="360" w:lineRule="auto"/>
      <w:outlineLvl w:val="1"/>
    </w:pPr>
    <w:rPr>
      <w:rFonts w:ascii="Arial" w:hAnsi="Arial"/>
      <w:b/>
      <w:kern w:val="0"/>
      <w:sz w:val="32"/>
      <w:szCs w:val="20"/>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4">
    <w:name w:val="Title"/>
    <w:basedOn w:val="1"/>
    <w:next w:val="1"/>
    <w:qFormat/>
    <w:uiPriority w:val="0"/>
    <w:pPr>
      <w:spacing w:before="240" w:after="60"/>
      <w:jc w:val="center"/>
      <w:outlineLvl w:val="0"/>
    </w:pPr>
    <w:rPr>
      <w:rFonts w:ascii="Cambria" w:hAnsi="Cambria"/>
      <w:b/>
      <w:kern w:val="0"/>
      <w:sz w:val="32"/>
    </w:rPr>
  </w:style>
  <w:style w:type="paragraph" w:styleId="8">
    <w:name w:val="Normal Indent"/>
    <w:basedOn w:val="1"/>
    <w:qFormat/>
    <w:uiPriority w:val="0"/>
    <w:pPr>
      <w:widowControl/>
      <w:ind w:firstLine="420"/>
      <w:jc w:val="left"/>
    </w:pPr>
    <w:rPr>
      <w:kern w:val="0"/>
      <w:sz w:val="20"/>
      <w:szCs w:val="20"/>
    </w:rPr>
  </w:style>
  <w:style w:type="paragraph" w:styleId="9">
    <w:name w:val="Body Text Indent"/>
    <w:basedOn w:val="1"/>
    <w:next w:val="10"/>
    <w:qFormat/>
    <w:uiPriority w:val="0"/>
    <w:pPr>
      <w:spacing w:after="120"/>
      <w:ind w:left="420" w:leftChars="200"/>
    </w:pPr>
    <w:rPr>
      <w:kern w:val="0"/>
      <w:sz w:val="2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Plain Text"/>
    <w:basedOn w:val="1"/>
    <w:next w:val="1"/>
    <w:qFormat/>
    <w:uiPriority w:val="0"/>
    <w:rPr>
      <w:rFonts w:ascii="宋体" w:hAnsi="Courier New"/>
      <w:kern w:val="0"/>
      <w:sz w:val="20"/>
      <w:szCs w:val="21"/>
    </w:rPr>
  </w:style>
  <w:style w:type="paragraph" w:styleId="12">
    <w:name w:val="Date"/>
    <w:basedOn w:val="1"/>
    <w:next w:val="1"/>
    <w:qFormat/>
    <w:uiPriority w:val="0"/>
    <w:rPr>
      <w:kern w:val="0"/>
      <w:sz w:val="24"/>
      <w:szCs w:val="20"/>
    </w:rPr>
  </w:style>
  <w:style w:type="paragraph" w:styleId="13">
    <w:name w:val="footer"/>
    <w:basedOn w:val="1"/>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Body Text 2"/>
    <w:basedOn w:val="1"/>
    <w:qFormat/>
    <w:uiPriority w:val="0"/>
    <w:pPr>
      <w:spacing w:after="120" w:line="480" w:lineRule="auto"/>
    </w:pPr>
    <w:rPr>
      <w:kern w:val="0"/>
      <w:sz w:val="20"/>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9"/>
    <w:next w:val="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paragraph" w:customStyle="1" w:styleId="35">
    <w:name w:val="首行缩进"/>
    <w:basedOn w:val="1"/>
    <w:qFormat/>
    <w:uiPriority w:val="0"/>
    <w:pPr>
      <w:ind w:firstLine="720"/>
      <w:jc w:val="left"/>
    </w:pPr>
    <w:rPr>
      <w:sz w:val="24"/>
    </w:rPr>
  </w:style>
  <w:style w:type="paragraph" w:customStyle="1" w:styleId="3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7">
    <w:name w:val="样式2"/>
    <w:basedOn w:val="14"/>
    <w:next w:val="1"/>
    <w:qFormat/>
    <w:uiPriority w:val="0"/>
  </w:style>
  <w:style w:type="paragraph" w:customStyle="1" w:styleId="38">
    <w:name w:val="List Paragraph"/>
    <w:basedOn w:val="1"/>
    <w:qFormat/>
    <w:uiPriority w:val="99"/>
    <w:pPr>
      <w:ind w:firstLine="420" w:firstLineChars="200"/>
    </w:pPr>
  </w:style>
  <w:style w:type="paragraph" w:customStyle="1" w:styleId="39">
    <w:name w:val="表格文字"/>
    <w:basedOn w:val="1"/>
    <w:qFormat/>
    <w:uiPriority w:val="0"/>
    <w:pPr>
      <w:jc w:val="left"/>
    </w:pPr>
    <w:rPr>
      <w:bCs/>
      <w:spacing w:val="10"/>
      <w:kern w:val="0"/>
      <w:sz w:val="24"/>
    </w:rPr>
  </w:style>
  <w:style w:type="paragraph" w:customStyle="1" w:styleId="40">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1">
    <w:name w:val="p0"/>
    <w:basedOn w:val="1"/>
    <w:qFormat/>
    <w:uiPriority w:val="0"/>
    <w:pPr>
      <w:widowControl/>
    </w:pPr>
    <w:rPr>
      <w:kern w:val="0"/>
      <w:sz w:val="20"/>
      <w:szCs w:val="21"/>
    </w:rPr>
  </w:style>
  <w:style w:type="character" w:customStyle="1" w:styleId="42">
    <w:name w:val="Chapter head"/>
    <w:basedOn w:val="22"/>
    <w:qFormat/>
    <w:uiPriority w:val="0"/>
    <w:rPr>
      <w:rFonts w:cs="Times New Roman"/>
      <w:b/>
      <w:sz w:val="36"/>
    </w:rPr>
  </w:style>
  <w:style w:type="paragraph" w:customStyle="1" w:styleId="43">
    <w:name w:val="样式"/>
    <w:basedOn w:val="1"/>
    <w:next w:val="18"/>
    <w:qFormat/>
    <w:uiPriority w:val="0"/>
    <w:pPr>
      <w:widowControl/>
      <w:spacing w:line="360" w:lineRule="auto"/>
      <w:ind w:firstLine="480" w:firstLineChars="200"/>
      <w:jc w:val="left"/>
    </w:pPr>
    <w:rPr>
      <w:rFonts w:ascii="宋体" w:hAnsi="宋体"/>
      <w:kern w:val="0"/>
      <w:sz w:val="24"/>
      <w:szCs w:val="20"/>
    </w:rPr>
  </w:style>
  <w:style w:type="paragraph" w:customStyle="1" w:styleId="44">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WPSOffice手动目录 2"/>
    <w:qFormat/>
    <w:uiPriority w:val="0"/>
    <w:pPr>
      <w:ind w:leftChars="200"/>
    </w:pPr>
    <w:rPr>
      <w:rFonts w:ascii="Times New Roman" w:hAnsi="Times New Roman" w:eastAsia="宋体" w:cs="Times New Roman"/>
      <w:sz w:val="20"/>
      <w:szCs w:val="20"/>
    </w:rPr>
  </w:style>
  <w:style w:type="paragraph" w:customStyle="1" w:styleId="47">
    <w:name w:val="Table Paragraph"/>
    <w:basedOn w:val="1"/>
    <w:qFormat/>
    <w:uiPriority w:val="1"/>
    <w:rPr>
      <w:rFonts w:ascii="宋体" w:hAnsi="宋体" w:eastAsia="宋体" w:cs="宋体"/>
      <w:lang w:val="zh-CN" w:eastAsia="zh-CN" w:bidi="zh-CN"/>
    </w:rPr>
  </w:style>
  <w:style w:type="paragraph" w:customStyle="1" w:styleId="48">
    <w:name w:val="列出段落1"/>
    <w:basedOn w:val="1"/>
    <w:qFormat/>
    <w:uiPriority w:val="34"/>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2020-11-23T09:17:00Z</dcterms:created>
  <dc:creator>Greatwall</dc:creator>
  <cp:lastModifiedBy>刚来</cp:lastModifiedBy>
  <cp:lastPrinted>2021-07-23T00:37:00Z</cp:lastPrinted>
  <dcterms:modified xsi:type="dcterms:W3CDTF">2021-07-29T01:31:31Z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E6416045C3A5414FB67FE819F42457F1</vt:lpwstr>
  </property>
</Properties>
</file>