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60" w:lineRule="exact"/>
        <w:jc w:val="center"/>
        <w:rPr>
          <w:rFonts w:ascii="宋体" w:hAnsi="宋体"/>
          <w:b/>
          <w:kern w:val="0"/>
          <w:sz w:val="44"/>
          <w:szCs w:val="44"/>
        </w:rPr>
      </w:pPr>
      <w:r>
        <w:rPr>
          <w:rFonts w:hint="eastAsia" w:ascii="宋体" w:hAnsi="宋体"/>
          <w:b/>
          <w:kern w:val="0"/>
          <w:sz w:val="44"/>
          <w:szCs w:val="44"/>
        </w:rPr>
        <w:t>区网格化管理服务中心专项工作经费</w:t>
      </w:r>
    </w:p>
    <w:p>
      <w:pPr>
        <w:pStyle w:val="17"/>
        <w:spacing w:line="560" w:lineRule="exact"/>
        <w:jc w:val="center"/>
        <w:rPr>
          <w:rFonts w:hint="eastAsia" w:ascii="宋体" w:eastAsia="宋体"/>
          <w:b/>
          <w:kern w:val="0"/>
          <w:sz w:val="44"/>
          <w:szCs w:val="44"/>
          <w:lang w:val="en-US" w:eastAsia="zh-CN"/>
        </w:rPr>
      </w:pPr>
      <w:r>
        <w:rPr>
          <w:rFonts w:hint="eastAsia" w:ascii="宋体" w:hAnsi="宋体"/>
          <w:b/>
          <w:kern w:val="0"/>
          <w:sz w:val="44"/>
          <w:szCs w:val="44"/>
        </w:rPr>
        <w:t>使用管理办法</w:t>
      </w:r>
      <w:bookmarkStart w:id="8" w:name="_GoBack"/>
      <w:bookmarkEnd w:id="8"/>
    </w:p>
    <w:p>
      <w:pPr>
        <w:pStyle w:val="17"/>
        <w:jc w:val="center"/>
        <w:rPr>
          <w:rFonts w:ascii="楷体" w:hAnsi="楷体" w:eastAsia="楷体"/>
          <w:sz w:val="32"/>
          <w:szCs w:val="32"/>
        </w:rPr>
      </w:pPr>
    </w:p>
    <w:p>
      <w:pPr>
        <w:pStyle w:val="17"/>
        <w:jc w:val="center"/>
        <w:rPr>
          <w:rFonts w:ascii="黑体" w:hAnsi="黑体" w:eastAsia="黑体"/>
          <w:sz w:val="32"/>
          <w:szCs w:val="32"/>
        </w:rPr>
      </w:pPr>
      <w:r>
        <w:rPr>
          <w:rFonts w:hint="eastAsia" w:ascii="黑体" w:hAnsi="黑体" w:eastAsia="黑体"/>
          <w:sz w:val="32"/>
          <w:szCs w:val="32"/>
        </w:rPr>
        <w:t>第一章</w:t>
      </w:r>
      <w:r>
        <w:rPr>
          <w:rFonts w:eastAsia="黑体"/>
          <w:sz w:val="32"/>
          <w:szCs w:val="32"/>
        </w:rPr>
        <w:t> </w:t>
      </w:r>
      <w:r>
        <w:rPr>
          <w:rFonts w:hint="eastAsia" w:ascii="黑体" w:hAnsi="黑体" w:eastAsia="黑体"/>
          <w:sz w:val="32"/>
          <w:szCs w:val="32"/>
        </w:rPr>
        <w:t>总则</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第一条</w:t>
      </w:r>
      <w:r>
        <w:rPr>
          <w:rFonts w:ascii="黑体" w:hAnsi="黑体" w:eastAsia="黑体" w:cs="Times New Roman"/>
          <w:sz w:val="32"/>
          <w:szCs w:val="32"/>
        </w:rPr>
        <w:t> </w:t>
      </w:r>
      <w:r>
        <w:rPr>
          <w:rFonts w:hint="eastAsia" w:ascii="仿宋" w:hAnsi="仿宋" w:eastAsia="仿宋" w:cs="Times New Roman"/>
          <w:sz w:val="32"/>
          <w:szCs w:val="32"/>
        </w:rPr>
        <w:t>为加强对区网格化管理服务中心督查工作经费的使用管理，增强专项工作经费推进督查工作的实效性，提高专项工作经费的使用效益，结合我区工作实际，特制定本办法。</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第二条  </w:t>
      </w:r>
      <w:r>
        <w:rPr>
          <w:rFonts w:hint="eastAsia" w:ascii="仿宋" w:hAnsi="仿宋" w:eastAsia="仿宋" w:cs="Times New Roman"/>
          <w:sz w:val="32"/>
          <w:szCs w:val="32"/>
        </w:rPr>
        <w:t>专项工作经费的管理和使用应当坚持公平、公开、公正的原则，确保专项工作经费的规范、安全和高效。</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第三条  </w:t>
      </w:r>
      <w:r>
        <w:rPr>
          <w:rFonts w:hint="eastAsia" w:ascii="仿宋" w:hAnsi="仿宋" w:eastAsia="仿宋" w:cs="Times New Roman"/>
          <w:sz w:val="32"/>
          <w:szCs w:val="32"/>
        </w:rPr>
        <w:t>财政部门负责专项工作经费的预算管理、资金拨付，并对资金的使用情况进行监督检查。</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区网格化管理服务中心负责确定专项工作经费的年度使用方向和使用重点，并对经费使用计划进行监督检查。</w:t>
      </w:r>
    </w:p>
    <w:p>
      <w:pPr>
        <w:pStyle w:val="7"/>
        <w:spacing w:before="0" w:beforeAutospacing="0" w:after="0" w:afterAutospacing="0"/>
        <w:jc w:val="center"/>
        <w:rPr>
          <w:rFonts w:ascii="黑体" w:hAnsi="黑体" w:eastAsia="黑体" w:cs="Times New Roman"/>
          <w:sz w:val="32"/>
          <w:szCs w:val="32"/>
        </w:rPr>
      </w:pPr>
      <w:r>
        <w:rPr>
          <w:rFonts w:hint="eastAsia" w:ascii="黑体" w:hAnsi="黑体" w:eastAsia="黑体" w:cs="Times New Roman"/>
          <w:sz w:val="32"/>
          <w:szCs w:val="32"/>
        </w:rPr>
        <w:t>第二章资金管理</w:t>
      </w:r>
      <w:bookmarkStart w:id="0" w:name="I6546899"/>
      <w:bookmarkEnd w:id="0"/>
      <w:bookmarkStart w:id="1" w:name="4"/>
      <w:bookmarkEnd w:id="1"/>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第四条  </w:t>
      </w:r>
      <w:r>
        <w:rPr>
          <w:rFonts w:hint="eastAsia" w:ascii="仿宋" w:hAnsi="仿宋" w:eastAsia="仿宋" w:cs="Times New Roman"/>
          <w:sz w:val="32"/>
          <w:szCs w:val="32"/>
        </w:rPr>
        <w:t>专项工作经费的管理机构是区网格化管理服务中心，负责对专项经费进行管理。</w:t>
      </w:r>
    </w:p>
    <w:p>
      <w:pPr>
        <w:pStyle w:val="7"/>
        <w:spacing w:before="0" w:beforeAutospacing="0" w:after="0" w:afterAutospacing="0"/>
        <w:ind w:firstLine="640" w:firstLineChars="200"/>
        <w:jc w:val="both"/>
        <w:rPr>
          <w:rFonts w:ascii="仿宋" w:hAnsi="仿宋" w:eastAsia="仿宋" w:cs="Times New Roman"/>
          <w:sz w:val="32"/>
          <w:szCs w:val="32"/>
        </w:rPr>
      </w:pPr>
      <w:bookmarkStart w:id="2" w:name="5"/>
      <w:bookmarkEnd w:id="2"/>
      <w:bookmarkStart w:id="3" w:name="I6546900"/>
      <w:bookmarkEnd w:id="3"/>
      <w:r>
        <w:rPr>
          <w:rFonts w:hint="eastAsia" w:ascii="黑体" w:hAnsi="黑体" w:eastAsia="黑体" w:cs="Times New Roman"/>
          <w:sz w:val="32"/>
          <w:szCs w:val="32"/>
        </w:rPr>
        <w:t xml:space="preserve">第五条  </w:t>
      </w:r>
      <w:r>
        <w:rPr>
          <w:rFonts w:hint="eastAsia" w:ascii="仿宋" w:hAnsi="仿宋" w:eastAsia="仿宋" w:cs="Times New Roman"/>
          <w:sz w:val="32"/>
          <w:szCs w:val="32"/>
        </w:rPr>
        <w:t>专项工作经费实行“统一核算、专项使用”的管理模式，确保该项工作经费专款专用。专项经费必须按规定用于允许和规定的项目，不得改变用途。</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第六条  </w:t>
      </w:r>
      <w:r>
        <w:rPr>
          <w:rFonts w:hint="eastAsia" w:ascii="仿宋" w:hAnsi="仿宋" w:eastAsia="仿宋" w:cs="Times New Roman"/>
          <w:sz w:val="32"/>
          <w:szCs w:val="32"/>
        </w:rPr>
        <w:t>专项经费实行报账制度，支出票据先由经手、证明人签字、单位一把手核对签字，再由分管财务领导签字后，交出纳审核票据。相关支出票据及时传递到会计处进行相关会计核算。</w:t>
      </w:r>
    </w:p>
    <w:p>
      <w:pPr>
        <w:pStyle w:val="7"/>
        <w:spacing w:before="0" w:beforeAutospacing="0" w:after="0" w:afterAutospacing="0"/>
        <w:jc w:val="center"/>
        <w:rPr>
          <w:rFonts w:ascii="黑体" w:hAnsi="黑体" w:eastAsia="黑体" w:cs="Times New Roman"/>
          <w:sz w:val="32"/>
          <w:szCs w:val="32"/>
        </w:rPr>
      </w:pPr>
      <w:r>
        <w:rPr>
          <w:rFonts w:hint="eastAsia" w:ascii="黑体" w:hAnsi="黑体" w:eastAsia="黑体" w:cs="Times New Roman"/>
          <w:sz w:val="32"/>
          <w:szCs w:val="32"/>
        </w:rPr>
        <w:t>第三章资金用途和审批</w:t>
      </w:r>
    </w:p>
    <w:p>
      <w:pPr>
        <w:pStyle w:val="7"/>
        <w:spacing w:before="0" w:beforeAutospacing="0" w:after="0" w:afterAutospacing="0"/>
        <w:ind w:firstLine="640" w:firstLineChars="200"/>
        <w:jc w:val="both"/>
        <w:rPr>
          <w:rFonts w:ascii="仿宋" w:hAnsi="仿宋" w:eastAsia="仿宋" w:cs="Times New Roman"/>
          <w:sz w:val="32"/>
          <w:szCs w:val="32"/>
        </w:rPr>
      </w:pPr>
      <w:bookmarkStart w:id="4" w:name="I6546902"/>
      <w:bookmarkEnd w:id="4"/>
      <w:bookmarkStart w:id="5" w:name="6"/>
      <w:bookmarkEnd w:id="5"/>
      <w:r>
        <w:rPr>
          <w:rFonts w:hint="eastAsia" w:ascii="黑体" w:hAnsi="黑体" w:eastAsia="黑体" w:cs="Times New Roman"/>
          <w:sz w:val="32"/>
          <w:szCs w:val="32"/>
        </w:rPr>
        <w:t xml:space="preserve">第七条  </w:t>
      </w:r>
      <w:r>
        <w:rPr>
          <w:rFonts w:hint="eastAsia" w:ascii="仿宋" w:hAnsi="仿宋" w:eastAsia="仿宋" w:cs="Times New Roman"/>
          <w:sz w:val="32"/>
          <w:szCs w:val="32"/>
        </w:rPr>
        <w:t>专项经费的用途范围：在全区全面推广网格化工作，确保网格化管理工作稳步推进。切实用网格化管理思维推进工作，加强调度协调、用心办好群众的事、主动担当作为、高效运转工作格局。推进我区网格化管理服务工作，进一步规范网格员管理工作，加强网格员队伍建设，改善民生民利，提升老百姓幸福感、安全感、获得感。全面深入推进我区城乡社区(村)网格化服务管理工作，有序规范网格化服务管理入格事项的准入、变更及退出管理，促进形成全区上下各单位各部门协调联动、高效运行的网格化服务管理格局，实现平台之外无派单，网格之外无考核。及时总结工作经验，突出亮点，总结工作成效，不断完善网格化工作运转机制，规范网格员工作任务流程，建立一套规范化工作流程、规章制度，全面提升我区网格化社会治理水平。</w:t>
      </w:r>
    </w:p>
    <w:p>
      <w:pPr>
        <w:pStyle w:val="7"/>
        <w:spacing w:before="0" w:beforeAutospacing="0" w:after="0" w:afterAutospacing="0"/>
        <w:jc w:val="center"/>
        <w:rPr>
          <w:rFonts w:ascii="黑体" w:hAnsi="黑体" w:eastAsia="黑体" w:cs="Times New Roman"/>
          <w:sz w:val="32"/>
          <w:szCs w:val="32"/>
        </w:rPr>
      </w:pPr>
      <w:bookmarkStart w:id="6" w:name="7"/>
      <w:bookmarkEnd w:id="6"/>
      <w:bookmarkStart w:id="7" w:name="I6546903"/>
      <w:bookmarkEnd w:id="7"/>
      <w:r>
        <w:rPr>
          <w:rFonts w:hint="eastAsia" w:ascii="黑体" w:hAnsi="黑体" w:eastAsia="黑体" w:cs="Times New Roman"/>
          <w:sz w:val="32"/>
          <w:szCs w:val="32"/>
        </w:rPr>
        <w:t>第四章资金监督</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第八条  </w:t>
      </w:r>
      <w:r>
        <w:rPr>
          <w:rFonts w:hint="eastAsia" w:ascii="Times New Roman" w:eastAsia="仿宋" w:cs="Times New Roman"/>
          <w:sz w:val="32"/>
          <w:szCs w:val="32"/>
        </w:rPr>
        <w:t>区网格化管理服务中心专项工作</w:t>
      </w:r>
      <w:r>
        <w:rPr>
          <w:rFonts w:hint="eastAsia" w:ascii="仿宋" w:hAnsi="仿宋" w:eastAsia="仿宋" w:cs="Times New Roman"/>
          <w:sz w:val="32"/>
          <w:szCs w:val="32"/>
        </w:rPr>
        <w:t>经费由区财政拨付区网格化管理服务中心后，</w:t>
      </w:r>
      <w:r>
        <w:rPr>
          <w:rFonts w:hint="eastAsia" w:ascii="Times New Roman" w:eastAsia="仿宋" w:cs="Times New Roman"/>
          <w:sz w:val="32"/>
          <w:szCs w:val="32"/>
        </w:rPr>
        <w:t>区网格化管理</w:t>
      </w:r>
      <w:r>
        <w:rPr>
          <w:rFonts w:hint="eastAsia" w:ascii="仿宋" w:hAnsi="仿宋" w:eastAsia="仿宋" w:cs="Times New Roman"/>
          <w:sz w:val="32"/>
          <w:szCs w:val="32"/>
        </w:rPr>
        <w:t>服务中心严格按照审批后的经费使用计划予以支付，并加强专项工作经费的监督检查。</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第九条  </w:t>
      </w:r>
      <w:r>
        <w:rPr>
          <w:rFonts w:hint="eastAsia" w:ascii="仿宋" w:hAnsi="仿宋" w:eastAsia="仿宋" w:cs="Times New Roman"/>
          <w:sz w:val="32"/>
          <w:szCs w:val="32"/>
        </w:rPr>
        <w:t>专项工作经费使用管理人员应自觉遵守国家财经纪律，同时接受有关主管部门和财政、审计、监察等部门的监督检查。</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对于违反本办法规定截留、挤占、挪用专项经费的单位和个人，严格按照《财政违法行为处罚处分条例》（国务院令第</w:t>
      </w:r>
      <w:r>
        <w:rPr>
          <w:rFonts w:ascii="仿宋" w:hAnsi="仿宋" w:eastAsia="仿宋" w:cs="Times New Roman"/>
          <w:sz w:val="32"/>
          <w:szCs w:val="32"/>
        </w:rPr>
        <w:t>427</w:t>
      </w:r>
      <w:r>
        <w:rPr>
          <w:rFonts w:hint="eastAsia" w:ascii="仿宋" w:hAnsi="仿宋" w:eastAsia="仿宋" w:cs="Times New Roman"/>
          <w:sz w:val="32"/>
          <w:szCs w:val="32"/>
        </w:rPr>
        <w:t>号）进行处罚，并追究有关责任人员的责任。</w:t>
      </w:r>
    </w:p>
    <w:p>
      <w:pPr>
        <w:pStyle w:val="7"/>
        <w:spacing w:before="0" w:beforeAutospacing="0" w:after="0" w:afterAutospacing="0"/>
        <w:jc w:val="center"/>
        <w:rPr>
          <w:rFonts w:ascii="黑体" w:hAnsi="黑体" w:eastAsia="黑体" w:cs="Times New Roman"/>
          <w:sz w:val="32"/>
          <w:szCs w:val="32"/>
        </w:rPr>
      </w:pPr>
      <w:r>
        <w:rPr>
          <w:rFonts w:hint="eastAsia" w:ascii="黑体" w:hAnsi="黑体" w:eastAsia="黑体" w:cs="Times New Roman"/>
          <w:sz w:val="32"/>
          <w:szCs w:val="32"/>
        </w:rPr>
        <w:t>第五章</w:t>
      </w:r>
      <w:r>
        <w:rPr>
          <w:rFonts w:ascii="Times New Roman" w:eastAsia="黑体" w:cs="Times New Roman"/>
          <w:sz w:val="32"/>
          <w:szCs w:val="32"/>
        </w:rPr>
        <w:t> </w:t>
      </w:r>
      <w:r>
        <w:rPr>
          <w:rFonts w:hint="eastAsia" w:ascii="黑体" w:hAnsi="黑体" w:eastAsia="黑体" w:cs="Times New Roman"/>
          <w:sz w:val="32"/>
          <w:szCs w:val="32"/>
        </w:rPr>
        <w:t>附则</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 xml:space="preserve">第十条 </w:t>
      </w:r>
      <w:r>
        <w:rPr>
          <w:rFonts w:hint="eastAsia" w:ascii="仿宋" w:hAnsi="仿宋" w:eastAsia="仿宋" w:cs="Times New Roman"/>
          <w:sz w:val="32"/>
          <w:szCs w:val="32"/>
        </w:rPr>
        <w:t xml:space="preserve">   本办法区网格化管理服务中心负责解释。</w:t>
      </w:r>
    </w:p>
    <w:p>
      <w:pPr>
        <w:pStyle w:val="7"/>
        <w:spacing w:before="0" w:beforeAutospacing="0" w:after="0" w:afterAutospacing="0"/>
        <w:ind w:firstLine="640" w:firstLineChars="200"/>
        <w:jc w:val="both"/>
        <w:rPr>
          <w:rFonts w:ascii="仿宋" w:hAnsi="仿宋" w:eastAsia="仿宋" w:cs="Times New Roman"/>
          <w:sz w:val="32"/>
          <w:szCs w:val="32"/>
        </w:rPr>
      </w:pPr>
      <w:r>
        <w:rPr>
          <w:rFonts w:hint="eastAsia" w:ascii="黑体" w:hAnsi="黑体" w:eastAsia="黑体" w:cs="Times New Roman"/>
          <w:sz w:val="32"/>
          <w:szCs w:val="32"/>
        </w:rPr>
        <w:t>第十一条</w:t>
      </w:r>
      <w:r>
        <w:rPr>
          <w:rFonts w:hint="eastAsia" w:ascii="仿宋" w:hAnsi="仿宋" w:eastAsia="仿宋" w:cs="Times New Roman"/>
          <w:sz w:val="32"/>
          <w:szCs w:val="32"/>
        </w:rPr>
        <w:t xml:space="preserve">  本办法自发布之日起执行。</w:t>
      </w:r>
    </w:p>
    <w:p>
      <w:pPr>
        <w:spacing w:line="360" w:lineRule="auto"/>
        <w:rPr>
          <w:rFonts w:ascii="仿宋" w:hAnsi="仿宋" w:eastAsia="仿宋"/>
          <w:snapToGrid w:val="0"/>
          <w:spacing w:val="-10"/>
          <w:kern w:val="0"/>
          <w:sz w:val="32"/>
          <w:szCs w:val="32"/>
        </w:rPr>
      </w:pPr>
    </w:p>
    <w:p>
      <w:pPr>
        <w:spacing w:line="360" w:lineRule="auto"/>
        <w:rPr>
          <w:rFonts w:ascii="仿宋" w:hAnsi="仿宋" w:eastAsia="仿宋"/>
          <w:sz w:val="32"/>
          <w:szCs w:val="32"/>
        </w:rPr>
      </w:pPr>
      <w:r>
        <w:rPr>
          <w:rFonts w:hint="eastAsia" w:ascii="仿宋" w:hAnsi="仿宋" w:eastAsia="仿宋"/>
          <w:sz w:val="32"/>
          <w:szCs w:val="32"/>
        </w:rPr>
        <w:t xml:space="preserve">                              </w:t>
      </w:r>
    </w:p>
    <w:p>
      <w:pPr>
        <w:spacing w:line="360" w:lineRule="auto"/>
        <w:rPr>
          <w:rFonts w:ascii="仿宋" w:hAnsi="仿宋" w:eastAsia="仿宋"/>
          <w:sz w:val="32"/>
          <w:szCs w:val="32"/>
        </w:rPr>
      </w:pPr>
    </w:p>
    <w:sectPr>
      <w:headerReference r:id="rId3" w:type="default"/>
      <w:footerReference r:id="rId4" w:type="default"/>
      <w:footerReference r:id="rId5" w:type="even"/>
      <w:pgSz w:w="11906" w:h="16838"/>
      <w:pgMar w:top="1247" w:right="1644" w:bottom="1247" w:left="179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2</w:t>
    </w:r>
    <w:r>
      <w:rPr>
        <w:rStyle w:val="10"/>
        <w:sz w:val="24"/>
        <w:szCs w:val="24"/>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DA1"/>
    <w:rsid w:val="000A0BB7"/>
    <w:rsid w:val="00172A27"/>
    <w:rsid w:val="00177B30"/>
    <w:rsid w:val="001D7A21"/>
    <w:rsid w:val="00284209"/>
    <w:rsid w:val="00302FB0"/>
    <w:rsid w:val="00332B3E"/>
    <w:rsid w:val="0039284B"/>
    <w:rsid w:val="003B0E97"/>
    <w:rsid w:val="003C166F"/>
    <w:rsid w:val="00403D6B"/>
    <w:rsid w:val="004253CC"/>
    <w:rsid w:val="004A0A20"/>
    <w:rsid w:val="004C041C"/>
    <w:rsid w:val="004D3BFF"/>
    <w:rsid w:val="004F2BB1"/>
    <w:rsid w:val="004F4E8D"/>
    <w:rsid w:val="005428A5"/>
    <w:rsid w:val="00543523"/>
    <w:rsid w:val="00585D9C"/>
    <w:rsid w:val="005B4CF9"/>
    <w:rsid w:val="005B704D"/>
    <w:rsid w:val="006643E9"/>
    <w:rsid w:val="006916C4"/>
    <w:rsid w:val="006B3E3A"/>
    <w:rsid w:val="006D5C7D"/>
    <w:rsid w:val="00725B46"/>
    <w:rsid w:val="00755E6F"/>
    <w:rsid w:val="00770A84"/>
    <w:rsid w:val="007945F9"/>
    <w:rsid w:val="007F3A72"/>
    <w:rsid w:val="00802781"/>
    <w:rsid w:val="008E4729"/>
    <w:rsid w:val="008F50CF"/>
    <w:rsid w:val="00956D8D"/>
    <w:rsid w:val="009D61B5"/>
    <w:rsid w:val="009F7894"/>
    <w:rsid w:val="00AE17AD"/>
    <w:rsid w:val="00AF2466"/>
    <w:rsid w:val="00AF4722"/>
    <w:rsid w:val="00B2475A"/>
    <w:rsid w:val="00B262C8"/>
    <w:rsid w:val="00B63396"/>
    <w:rsid w:val="00CA667E"/>
    <w:rsid w:val="00D23DEE"/>
    <w:rsid w:val="00D550E4"/>
    <w:rsid w:val="00DA0706"/>
    <w:rsid w:val="00DD7437"/>
    <w:rsid w:val="00DD7C5F"/>
    <w:rsid w:val="00DE3156"/>
    <w:rsid w:val="00E06934"/>
    <w:rsid w:val="00E6211A"/>
    <w:rsid w:val="00E7389E"/>
    <w:rsid w:val="00E77C63"/>
    <w:rsid w:val="00E8087C"/>
    <w:rsid w:val="00F0104E"/>
    <w:rsid w:val="00F21710"/>
    <w:rsid w:val="00F23266"/>
    <w:rsid w:val="00F26385"/>
    <w:rsid w:val="00FC689D"/>
    <w:rsid w:val="00FD154B"/>
    <w:rsid w:val="0AF03BC2"/>
    <w:rsid w:val="0EEF58C3"/>
    <w:rsid w:val="133B41B8"/>
    <w:rsid w:val="1CED3BD1"/>
    <w:rsid w:val="221B2F7B"/>
    <w:rsid w:val="2300304A"/>
    <w:rsid w:val="3ECD18FB"/>
    <w:rsid w:val="47BB0874"/>
    <w:rsid w:val="67853158"/>
    <w:rsid w:val="6EC362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2500" w:leftChars="2500"/>
    </w:pPr>
  </w:style>
  <w:style w:type="paragraph" w:styleId="3">
    <w:name w:val="Balloon Text"/>
    <w:basedOn w:val="1"/>
    <w:link w:val="12"/>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5"/>
    <w:uiPriority w:val="99"/>
    <w:rPr>
      <w:rFonts w:eastAsia="方正小标宋简体"/>
      <w:w w:val="85"/>
      <w:sz w:val="96"/>
      <w:szCs w:val="20"/>
    </w:rPr>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character" w:styleId="10">
    <w:name w:val="page number"/>
    <w:basedOn w:val="9"/>
    <w:qFormat/>
    <w:uiPriority w:val="99"/>
    <w:rPr>
      <w:rFonts w:cs="Times New Roman"/>
    </w:rPr>
  </w:style>
  <w:style w:type="character" w:customStyle="1" w:styleId="11">
    <w:name w:val="日期 Char"/>
    <w:basedOn w:val="9"/>
    <w:link w:val="2"/>
    <w:semiHidden/>
    <w:qFormat/>
    <w:uiPriority w:val="99"/>
    <w:rPr>
      <w:rFonts w:eastAsia="宋体"/>
      <w:szCs w:val="24"/>
    </w:rPr>
  </w:style>
  <w:style w:type="character" w:customStyle="1" w:styleId="12">
    <w:name w:val="批注框文本 Char"/>
    <w:basedOn w:val="9"/>
    <w:link w:val="3"/>
    <w:semiHidden/>
    <w:uiPriority w:val="99"/>
    <w:rPr>
      <w:rFonts w:eastAsia="宋体"/>
      <w:sz w:val="0"/>
      <w:szCs w:val="0"/>
    </w:rPr>
  </w:style>
  <w:style w:type="character" w:customStyle="1" w:styleId="13">
    <w:name w:val="页脚 Char"/>
    <w:basedOn w:val="9"/>
    <w:link w:val="4"/>
    <w:semiHidden/>
    <w:uiPriority w:val="99"/>
    <w:rPr>
      <w:rFonts w:eastAsia="宋体"/>
      <w:sz w:val="18"/>
      <w:szCs w:val="18"/>
    </w:rPr>
  </w:style>
  <w:style w:type="character" w:customStyle="1" w:styleId="14">
    <w:name w:val="页眉 Char"/>
    <w:basedOn w:val="9"/>
    <w:link w:val="5"/>
    <w:semiHidden/>
    <w:qFormat/>
    <w:uiPriority w:val="99"/>
    <w:rPr>
      <w:rFonts w:eastAsia="宋体"/>
      <w:sz w:val="18"/>
      <w:szCs w:val="18"/>
    </w:rPr>
  </w:style>
  <w:style w:type="character" w:customStyle="1" w:styleId="15">
    <w:name w:val="正文文本 2 Char"/>
    <w:basedOn w:val="9"/>
    <w:link w:val="6"/>
    <w:semiHidden/>
    <w:uiPriority w:val="99"/>
    <w:rPr>
      <w:rFonts w:eastAsia="宋体"/>
      <w:szCs w:val="24"/>
    </w:rPr>
  </w:style>
  <w:style w:type="paragraph" w:customStyle="1" w:styleId="16">
    <w:name w:val="p0"/>
    <w:basedOn w:val="1"/>
    <w:uiPriority w:val="99"/>
    <w:pPr>
      <w:widowControl/>
      <w:jc w:val="left"/>
    </w:pPr>
    <w:rPr>
      <w:rFonts w:ascii="Arial" w:hAnsi="Arial" w:cs="Arial"/>
      <w:kern w:val="0"/>
      <w:szCs w:val="21"/>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1039</Words>
  <Characters>81</Characters>
  <Lines>1</Lines>
  <Paragraphs>2</Paragraphs>
  <TotalTime>2</TotalTime>
  <ScaleCrop>false</ScaleCrop>
  <LinksUpToDate>false</LinksUpToDate>
  <CharactersWithSpaces>1118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2020-12-17T10:20:00Z</dcterms:created>
  <dc:creator>微软用户</dc:creator>
  <cp:lastModifiedBy>Joy</cp:lastModifiedBy>
  <cp:lastPrinted>2020-07-23T02:35:00Z</cp:lastPrinted>
  <dcterms:modified xsi:type="dcterms:W3CDTF">2021-05-11T13:23:59Z</dcterms:modified>
  <dc:title>长  沙  市  文  明  办</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