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jc w:val="center"/>
        <w:rPr>
          <w:rFonts w:ascii="仿宋_GB2312" w:eastAsia="仿宋_GB2312"/>
          <w:b/>
          <w:sz w:val="44"/>
          <w:szCs w:val="44"/>
        </w:rPr>
      </w:pPr>
      <w:r>
        <w:rPr>
          <w:rFonts w:ascii="仿宋_GB2312" w:eastAsia="仿宋_GB2312" w:hint="eastAsia"/>
          <w:b/>
          <w:sz w:val="44"/>
          <w:szCs w:val="44"/>
        </w:rPr>
        <w:t>株洲市芦淞区审计局</w:t>
      </w:r>
    </w:p>
    <w:p>
      <w:pPr>
        <w:jc w:val="center"/>
        <w:rPr>
          <w:rFonts w:ascii="仿宋_GB2312" w:eastAsia="仿宋_GB2312"/>
          <w:b/>
          <w:sz w:val="44"/>
          <w:szCs w:val="44"/>
        </w:rPr>
      </w:pPr>
      <w:r>
        <w:rPr>
          <w:rFonts w:ascii="仿宋_GB2312" w:eastAsia="仿宋_GB2312" w:hint="eastAsia"/>
          <w:b/>
          <w:sz w:val="44"/>
          <w:szCs w:val="44"/>
        </w:rPr>
        <w:t>审计项目业务经费管理办法</w:t>
      </w:r>
    </w:p>
    <w:p>
      <w:pPr>
        <w:jc w:val="center"/>
        <w:rPr>
          <w:rFonts w:ascii="仿宋_GB2312" w:eastAsia="仿宋_GB2312"/>
          <w:sz w:val="32"/>
          <w:szCs w:val="32"/>
        </w:rPr>
      </w:pPr>
      <w:r>
        <w:rPr>
          <w:rFonts w:ascii="仿宋_GB2312" w:eastAsia="仿宋_GB2312" w:hint="eastAsia"/>
          <w:sz w:val="32"/>
          <w:szCs w:val="32"/>
        </w:rPr>
        <w:t>第一章  总则</w:t>
      </w:r>
    </w:p>
    <w:p>
      <w:pPr>
        <w:ind w:firstLineChars="200" w:firstLine="640"/>
        <w:rPr>
          <w:rFonts w:ascii="仿宋_GB2312" w:eastAsia="仿宋_GB2312"/>
          <w:sz w:val="32"/>
          <w:szCs w:val="32"/>
        </w:rPr>
      </w:pPr>
      <w:r>
        <w:rPr>
          <w:rFonts w:ascii="仿宋_GB2312" w:eastAsia="仿宋_GB2312" w:hint="eastAsia"/>
          <w:sz w:val="32"/>
          <w:szCs w:val="32"/>
        </w:rPr>
        <w:t>第一条 为加强审计项目业务经费管理，提高资金使用的安全性、规范性和有效性，根据《</w:t>
      </w:r>
      <w:r>
        <w:rPr>
          <w:rFonts w:ascii="仿宋_GB2312" w:eastAsia="仿宋_GB2312"/>
          <w:sz w:val="32"/>
          <w:szCs w:val="32"/>
        </w:rPr>
        <w:fldChar w:fldCharType="begin"/>
      </w:r>
      <w:r>
        <w:instrText>HYPERLINK "https://baike.baidu.com/item/%E4%B8%AD%E5%8D%8E%E4%BA%BA%E6%B0%91%E5%85%B1%E5%92%8C%E5%9B%BD%E9%A2%84%E7%AE%97%E6%B3%95/1300417"</w:instrText>
      </w:r>
      <w:r>
        <w:rPr>
          <w:rFonts w:ascii="仿宋_GB2312" w:eastAsia="仿宋_GB2312"/>
          <w:sz w:val="32"/>
          <w:szCs w:val="32"/>
        </w:rPr>
        <w:fldChar w:fldCharType="separate"/>
      </w:r>
      <w:r>
        <w:rPr>
          <w:rFonts w:ascii="仿宋_GB2312" w:eastAsia="仿宋_GB2312"/>
          <w:sz w:val="32"/>
          <w:szCs w:val="32"/>
        </w:rPr>
        <w:t>中华人民共和国预算法</w:t>
      </w:r>
      <w:r>
        <w:rPr>
          <w:rFonts w:ascii="仿宋_GB2312" w:eastAsia="仿宋_GB2312"/>
          <w:sz w:val="32"/>
          <w:szCs w:val="32"/>
        </w:rPr>
        <w:fldChar w:fldCharType="end"/>
      </w:r>
      <w:r>
        <w:rPr>
          <w:rFonts w:ascii="仿宋_GB2312" w:eastAsia="仿宋_GB2312"/>
          <w:sz w:val="32"/>
          <w:szCs w:val="32"/>
        </w:rPr>
        <w:t>》</w:t>
      </w:r>
      <w:r>
        <w:rPr>
          <w:rFonts w:ascii="仿宋_GB2312" w:eastAsia="仿宋_GB2312" w:hint="eastAsia"/>
          <w:sz w:val="32"/>
          <w:szCs w:val="32"/>
        </w:rPr>
        <w:t>和上级文件等有关规定，结合我区实际，制定本办法。</w:t>
      </w:r>
    </w:p>
    <w:p>
      <w:pPr>
        <w:ind w:firstLineChars="200" w:firstLine="640"/>
        <w:rPr>
          <w:rFonts w:ascii="仿宋_GB2312" w:eastAsia="仿宋_GB2312"/>
          <w:sz w:val="32"/>
          <w:szCs w:val="32"/>
        </w:rPr>
      </w:pPr>
      <w:r>
        <w:rPr>
          <w:rFonts w:ascii="仿宋_GB2312" w:eastAsia="仿宋_GB2312" w:hint="eastAsia"/>
          <w:sz w:val="32"/>
          <w:szCs w:val="32"/>
        </w:rPr>
        <w:t>第二条 本办法所称审计项目业务经费是指由区本级财政年度预算安排用于审计项目业务工作的专项资金。</w:t>
      </w:r>
    </w:p>
    <w:p>
      <w:pPr>
        <w:ind w:firstLineChars="200" w:firstLine="640"/>
        <w:rPr>
          <w:rFonts w:ascii="仿宋_GB2312" w:eastAsia="仿宋_GB2312"/>
          <w:sz w:val="32"/>
          <w:szCs w:val="32"/>
        </w:rPr>
      </w:pPr>
      <w:r>
        <w:rPr>
          <w:rFonts w:ascii="仿宋_GB2312" w:eastAsia="仿宋_GB2312" w:hint="eastAsia"/>
          <w:sz w:val="32"/>
          <w:szCs w:val="32"/>
        </w:rPr>
        <w:t>第三条 专项资金的使用管理坚持公开、公平、公正的原则。</w:t>
      </w:r>
    </w:p>
    <w:p>
      <w:pPr>
        <w:jc w:val="center"/>
        <w:rPr>
          <w:rFonts w:ascii="仿宋_GB2312" w:eastAsia="仿宋_GB2312"/>
          <w:sz w:val="32"/>
          <w:szCs w:val="32"/>
        </w:rPr>
      </w:pPr>
      <w:r>
        <w:rPr>
          <w:rFonts w:ascii="仿宋_GB2312" w:eastAsia="仿宋_GB2312" w:hint="eastAsia"/>
          <w:sz w:val="32"/>
          <w:szCs w:val="32"/>
        </w:rPr>
        <w:t>第二章  资金使用范围</w:t>
      </w:r>
    </w:p>
    <w:p>
      <w:pPr>
        <w:ind w:firstLineChars="200" w:firstLine="640"/>
        <w:rPr>
          <w:rFonts w:ascii="仿宋_GB2312" w:eastAsia="仿宋_GB2312"/>
          <w:sz w:val="32"/>
          <w:szCs w:val="32"/>
        </w:rPr>
      </w:pPr>
      <w:r>
        <w:rPr>
          <w:rFonts w:ascii="仿宋_GB2312" w:eastAsia="仿宋_GB2312" w:hint="eastAsia"/>
          <w:sz w:val="32"/>
          <w:szCs w:val="32"/>
        </w:rPr>
        <w:t>第四条 审计项目业务经费主要用于：</w:t>
      </w:r>
    </w:p>
    <w:p>
      <w:pPr>
        <w:pStyle w:val="15"/>
        <w:spacing w:beforeLines="50" w:before="156"/>
        <w:jc w:val="left"/>
        <w:rPr>
          <w:rFonts w:ascii="仿宋_GB2312" w:eastAsia="仿宋_GB2312"/>
          <w:sz w:val="32"/>
          <w:szCs w:val="32"/>
        </w:rPr>
      </w:pPr>
      <w:r>
        <w:rPr>
          <w:rFonts w:ascii="仿宋_GB2312" w:eastAsia="仿宋_GB2312" w:hint="eastAsia"/>
          <w:sz w:val="32"/>
          <w:szCs w:val="32"/>
        </w:rPr>
        <w:t>（一）委托中介机构或者聘请中介机构专业人员开展项目审计工作，</w:t>
      </w:r>
      <w:r>
        <w:rPr>
          <w:rFonts w:ascii="仿宋_GB2312" w:eastAsia="仿宋_GB2312"/>
          <w:sz w:val="32"/>
          <w:szCs w:val="32"/>
        </w:rPr>
        <w:t>付费标准按照省财政厅聘用中介机构付费标准执行</w:t>
      </w:r>
      <w:r>
        <w:rPr>
          <w:rFonts w:ascii="仿宋_GB2312" w:eastAsia="仿宋_GB2312" w:hint="eastAsia"/>
          <w:sz w:val="32"/>
          <w:szCs w:val="32"/>
        </w:rPr>
        <w:t>。</w:t>
      </w:r>
    </w:p>
    <w:p>
      <w:pPr>
        <w:pStyle w:val="15"/>
        <w:spacing w:beforeLines="50" w:before="156"/>
        <w:jc w:val="left"/>
        <w:rPr>
          <w:rFonts w:ascii="仿宋_GB2312" w:eastAsia="仿宋_GB2312"/>
          <w:sz w:val="32"/>
          <w:szCs w:val="32"/>
        </w:rPr>
      </w:pPr>
      <w:r>
        <w:rPr>
          <w:rFonts w:ascii="仿宋_GB2312" w:eastAsia="仿宋_GB2312" w:hint="eastAsia"/>
          <w:sz w:val="32"/>
          <w:szCs w:val="32"/>
        </w:rPr>
        <w:t>（二）审计项目专业咨询费、专业培训及差旅费用。</w:t>
      </w:r>
    </w:p>
    <w:p>
      <w:pPr>
        <w:pStyle w:val="15"/>
        <w:spacing w:beforeLines="50" w:before="156"/>
        <w:jc w:val="left"/>
        <w:rPr>
          <w:rFonts w:ascii="仿宋_GB2312" w:eastAsia="仿宋_GB2312"/>
          <w:sz w:val="32"/>
          <w:szCs w:val="32"/>
        </w:rPr>
      </w:pPr>
      <w:r>
        <w:rPr>
          <w:rFonts w:ascii="仿宋_GB2312" w:eastAsia="仿宋_GB2312" w:hint="eastAsia"/>
          <w:sz w:val="32"/>
          <w:szCs w:val="32"/>
        </w:rPr>
        <w:t>（三）审计项目工作经费，如：办公用品、专业设备的购置，以及住宿费、伙食费、交通费等其他支出。</w:t>
      </w:r>
    </w:p>
    <w:p>
      <w:pPr>
        <w:pStyle w:val="15"/>
        <w:spacing w:beforeLines="50" w:before="156"/>
        <w:jc w:val="left"/>
        <w:rPr>
          <w:rFonts w:ascii="仿宋_GB2312" w:eastAsia="仿宋_GB2312"/>
          <w:sz w:val="32"/>
          <w:szCs w:val="32"/>
        </w:rPr>
      </w:pPr>
      <w:r>
        <w:rPr>
          <w:rFonts w:ascii="仿宋_GB2312" w:eastAsia="仿宋_GB2312" w:hint="eastAsia"/>
          <w:sz w:val="32"/>
          <w:szCs w:val="32"/>
        </w:rPr>
        <w:t>（四）其他与审计项目有关的费用。</w:t>
      </w:r>
    </w:p>
    <w:p>
      <w:pPr>
        <w:jc w:val="center"/>
        <w:rPr>
          <w:rFonts w:ascii="仿宋_GB2312" w:eastAsia="仿宋_GB2312"/>
          <w:sz w:val="32"/>
          <w:szCs w:val="32"/>
        </w:rPr>
      </w:pPr>
      <w:r>
        <w:rPr>
          <w:rFonts w:ascii="仿宋_GB2312" w:eastAsia="仿宋_GB2312" w:hint="eastAsia"/>
          <w:sz w:val="32"/>
          <w:szCs w:val="32"/>
        </w:rPr>
        <w:t>第三章  资金管理与监督</w:t>
      </w:r>
    </w:p>
    <w:p>
      <w:pPr>
        <w:pStyle w:val="15"/>
        <w:spacing w:beforeLines="50" w:before="156"/>
        <w:jc w:val="left"/>
        <w:rPr>
          <w:rFonts w:ascii="仿宋_GB2312" w:eastAsia="仿宋_GB2312"/>
          <w:sz w:val="32"/>
          <w:szCs w:val="32"/>
        </w:rPr>
      </w:pPr>
      <w:r>
        <w:rPr>
          <w:rFonts w:ascii="仿宋_GB2312" w:eastAsia="仿宋_GB2312" w:hint="eastAsia"/>
          <w:sz w:val="32"/>
          <w:szCs w:val="32"/>
        </w:rPr>
        <w:t>第五条 区财政局对审计项目业务经费专项资金进行跟踪问效，并实施绩效评价。</w:t>
      </w:r>
    </w:p>
    <w:p>
      <w:pPr>
        <w:pStyle w:val="15"/>
        <w:spacing w:beforeLines="50" w:before="156"/>
        <w:jc w:val="left"/>
        <w:rPr>
          <w:rFonts w:ascii="仿宋_GB2312" w:eastAsia="仿宋_GB2312"/>
          <w:sz w:val="32"/>
          <w:szCs w:val="32"/>
        </w:rPr>
      </w:pPr>
      <w:r>
        <w:rPr>
          <w:rFonts w:ascii="仿宋_GB2312" w:eastAsia="仿宋_GB2312" w:hint="eastAsia"/>
          <w:sz w:val="32"/>
          <w:szCs w:val="32"/>
        </w:rPr>
        <w:t>第六条</w:t>
      </w:r>
      <w:r>
        <w:rPr>
          <w:rFonts w:ascii="仿宋_GB2312" w:eastAsia="仿宋_GB2312"/>
          <w:sz w:val="32"/>
          <w:szCs w:val="32"/>
        </w:rPr>
        <w:t xml:space="preserve"> 专项资金按照“谁使用，谁负责”的原则，实行责任追究制度。</w:t>
      </w:r>
    </w:p>
    <w:p>
      <w:pPr>
        <w:pStyle w:val="15"/>
        <w:spacing w:beforeLines="50" w:before="156"/>
        <w:jc w:val="left"/>
        <w:rPr>
          <w:rFonts w:ascii="仿宋_GB2312" w:eastAsia="仿宋_GB2312"/>
          <w:sz w:val="32"/>
          <w:szCs w:val="32"/>
        </w:rPr>
      </w:pPr>
    </w:p>
    <w:p>
      <w:pPr>
        <w:pStyle w:val="15"/>
        <w:spacing w:beforeLines="50" w:before="156"/>
        <w:jc w:val="left"/>
        <w:rPr>
          <w:rFonts w:ascii="仿宋_GB2312" w:eastAsia="仿宋_GB2312"/>
          <w:sz w:val="32"/>
          <w:szCs w:val="32"/>
        </w:rPr>
      </w:pPr>
    </w:p>
    <w:p>
      <w:pPr>
        <w:pStyle w:val="15"/>
        <w:spacing w:beforeLines="50" w:before="156"/>
        <w:jc w:val="left"/>
        <w:rPr>
          <w:rFonts w:ascii="仿宋_GB2312" w:eastAsia="仿宋_GB2312"/>
          <w:sz w:val="32"/>
          <w:szCs w:val="32"/>
        </w:rPr>
      </w:pPr>
    </w:p>
    <w:p>
      <w:pPr>
        <w:pStyle w:val="15"/>
        <w:spacing w:beforeLines="50" w:before="156"/>
        <w:jc w:val="left"/>
        <w:rPr>
          <w:rFonts w:ascii="仿宋_GB2312" w:eastAsia="仿宋_GB2312"/>
          <w:sz w:val="32"/>
          <w:szCs w:val="32"/>
        </w:rPr>
      </w:pPr>
      <w:r>
        <w:rPr>
          <w:rFonts w:ascii="仿宋_GB2312" w:eastAsia="仿宋_GB2312"/>
          <w:sz w:val="32"/>
          <w:szCs w:val="32"/>
        </w:rPr>
        <w:t xml:space="preserve">                            2019年11月16日</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仿宋_GB2312">
    <w:altName w:val="仿宋"/>
    <w:panose1 w:val="00000000000000000000"/>
    <w:charset w:val="86"/>
    <w:family w:val="modern"/>
    <w:pitch w:val="variable"/>
    <w:sig w:usb0="00000000" w:usb1="080E0000" w:usb2="00000010" w:usb3="00000000" w:csb0="0004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character" w:default="1" w:styleId="10">
    <w:name w:val="Default Paragraph Font"/>
  </w:style>
  <w:style w:type="paragraph" w:customStyle="1" w:styleId="15">
    <w:name w:val="List Paragraph"/>
    <w:basedOn w:val="0"/>
    <w:pPr>
      <w:ind w:firstLineChars="200" w:firstLine="200"/>
    </w:pPr>
  </w:style>
  <w:style w:type="paragraph" w:styleId="16">
    <w:name w:val="header"/>
    <w:basedOn w:val="0"/>
    <w:pPr>
      <w:pBdr>
        <w:bottom w:val="single" w:sz="6" w:space="1" w:color="auto"/>
      </w:pBdr>
      <w:tabs>
        <w:tab w:val="center" w:pos="4153"/>
        <w:tab w:val="right" w:pos="8306"/>
      </w:tabs>
      <w:snapToGrid w:val="0"/>
      <w:jc w:val="center"/>
    </w:pPr>
    <w:rPr>
      <w:sz w:val="18"/>
      <w:szCs w:val="18"/>
    </w:rPr>
  </w:style>
  <w:style w:type="paragraph" w:styleId="17">
    <w:name w:val="footer"/>
    <w:basedOn w:val="0"/>
    <w:pPr>
      <w:tabs>
        <w:tab w:val="center" w:pos="4153"/>
        <w:tab w:val="right" w:pos="8306"/>
      </w:tabs>
      <w:snapToGrid w:val="0"/>
      <w:jc w:val="left"/>
    </w:pPr>
    <w:rPr>
      <w:sz w:val="18"/>
      <w:szCs w:val="18"/>
    </w:rPr>
  </w:style>
  <w:style w:type="paragraph" w:customStyle="1" w:styleId="18">
    <w:name w:val="无间隔1"/>
    <w:pPr>
      <w:widowControl w:val="0"/>
      <w:jc w:val="both"/>
    </w:pPr>
    <w:rPr>
      <w:rFonts w:ascii="Calibri" w:eastAsia="宋体" w:cs="Arial" w:hAnsi="Calibri"/>
      <w:kern w:val="2"/>
      <w:sz w:val="2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99</TotalTime>
  <Application>Yozo_Office</Application>
  <Pages>2</Pages>
  <Words>417</Words>
  <Characters>422</Characters>
  <Lines>28</Lines>
  <Paragraphs>16</Paragraphs>
  <CharactersWithSpaces>462</CharactersWithSpaces>
  <Company>微软中国</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Microsoft</cp:lastModifiedBy>
  <cp:revision>7</cp:revision>
  <cp:lastPrinted>2019-03-12T08:48:00Z</cp:lastPrinted>
  <dcterms:created xsi:type="dcterms:W3CDTF">2019-03-12T07:44:00Z</dcterms:created>
</cp:coreProperties>
</file>