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2021年部门整体支出绩效目标表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填报单位：石峰区信访局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仿宋_GB2312"/>
                <w:sz w:val="24"/>
              </w:rPr>
              <w:t>信访局本级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资金总额：173.4271万元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173.4271万元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134.8291万元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38.598万元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42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一）负责处理人民群众给区委、区政府的来信、来电，接待群众来访，及时、准确地向区委、区政府领导反映来信来访中提出的重要建议、意见和问题;综合分析信访信息，开展调查研究，提出制定有关政策规定的建议。</w:t>
            </w:r>
          </w:p>
          <w:p>
            <w:pPr>
              <w:pStyle w:val="4"/>
              <w:spacing w:line="42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(二)承办上级领导机关及其信访部门和区委、区政府交办、转办的信访事项，督促检查领导批示件的落实情况;根据领导意见，向有关单位交办、转办相关信访事项，督促检查重要信访事项的处理和落实。</w:t>
            </w:r>
          </w:p>
          <w:p>
            <w:pPr>
              <w:pStyle w:val="4"/>
              <w:spacing w:line="42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(三)协调处理跨地区、跨部门的重要信访问题;应急协调处理群众赴京去省到市上访和异常、突发信访事件;督促检查信访老户问题和重要信访案件的调查处理。</w:t>
            </w:r>
          </w:p>
          <w:p>
            <w:pPr>
              <w:pStyle w:val="4"/>
              <w:spacing w:line="42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四)检查、指导、协调各街道和区直机关各部门、各单位的信访工作;参与研究、起草本区有关信访工作的政策规定;负责组织实施对全区信访工作的目标管理;总结推广信访工作的经验，提出改进和加强信访工作的意见和建议。</w:t>
            </w:r>
          </w:p>
          <w:p>
            <w:pPr>
              <w:pStyle w:val="4"/>
              <w:spacing w:line="42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(五)负责征集人民群众的建议，筛选重要建议，提供给区委、区政府参考;对带有全局性的或涉及面较大的重要信访问题开展调查研究，提出解决问题的方案或建议。</w:t>
            </w:r>
          </w:p>
          <w:p>
            <w:pPr>
              <w:widowControl/>
              <w:spacing w:line="420" w:lineRule="exact"/>
              <w:ind w:firstLine="40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(六)了解全区信访工作队伍建设情况，组织信访干部的培训;指导全区信访部门办公自动化建设。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(七)负责信访工作的宣传和信息发布。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(八)负责信访工作联席会议办公室具体工作，督查落实处理信访工作联席会议决定的事项。</w:t>
            </w:r>
          </w:p>
          <w:p>
            <w:pPr>
              <w:spacing w:line="420" w:lineRule="exact"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(九)承办区委、区政府交办的其他任务。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强化责任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区信访局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按照“属地管理、分级负责”、和“谁主管、谁负责”的原则，切实落实好信访工作主体责任。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抓好源头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治理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区信访局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加强矛盾纠纷排查化解工作，突出化解源头，深入推进基层治理，切实将各类矛盾化解在早、化解在小、化解在基层。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着力攻坚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区信访局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推进积案化解，在攻坚克难上想办法、下功夫，最大限度减少存量、控制增量。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社区（村）治安巡逻防控费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50人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612元/人/月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信访工作人员</w:t>
            </w:r>
          </w:p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岗位津贴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8人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一线信访岗位5人，235元/人/月；其他信访岗位3人，130元/人/月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预算资金使用率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工作及时完成率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不超过预算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38.598万元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做好重点群体人员稳控，提升信访工作人员业务水平，维护社会大局和谐稳定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持续强化居民通过合法途径提出诉求的意识，切实解决老百姓的急事难事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提高社会公众对信访工作的认可度和满意度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33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330" w:lineRule="exact"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</w:p>
    <w:tbl>
      <w:tblPr>
        <w:tblStyle w:val="6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2021年专项资金预算绩效目标汇总表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项目主管部门：石峰区信访局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7"/>
                <w:rFonts w:eastAsia="宋体"/>
              </w:rPr>
              <w:t xml:space="preserve">  </w:t>
            </w:r>
            <w:r>
              <w:rPr>
                <w:rStyle w:val="8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38.598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信访岗位津贴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1.878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稳定信访工作人员队伍，调动信访工作人员的积极性。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稳定信访工作人员队伍，调动信访工作人员的积极性。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社区（村）</w:t>
            </w:r>
          </w:p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治安巡逻防控费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36.72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有效维护辖区稳定，化解社会矛盾、促进社会和谐发展。</w:t>
            </w:r>
          </w:p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有效维护辖区稳定，化解社会矛盾、促进社会和谐发展。</w:t>
            </w:r>
          </w:p>
          <w:p>
            <w:pPr>
              <w:spacing w:line="33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项目主管部门：石峰区信访局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信访岗位津贴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信访岗位津贴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1.878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稳定信访工作人员队伍，调动信访工作人员的积极性。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稳定信访工作人员队伍，调动信访工作人员的积极性。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一线信访岗位；其他信访岗位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一线信访岗位5人，235元/人/月；其他信访岗位3人，130元/人/月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不超过预算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≤1.878万元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无直接经济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稳定信访工作人员队伍，调动信访工作人员的积极性。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无直接生态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提升信访人员业务水平，切实解决老百姓的急事难事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提高社会公众对信访工作的认可度和满意度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spacing w:line="22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项目主管部门：石峰区信访局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社区（村）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治安巡逻防控费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社区（村）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治安巡逻防控费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有效维护辖区稳定，化解社会矛盾，促进社会和谐稳定。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有效维护辖区稳定，化解社会矛盾，促进社会和谐稳定。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79农村籍退役参战人员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612元/人/月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不超过预算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36.72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无直接经济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实现社区巡逻工作无缝衔接，确保无死角、无盲区，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无直接生态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真正形成全民动员、警民团结共同防控的良好局面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提高相关群体和个人的获得感和幸福感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spacing w:line="26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012709"/>
    <w:rsid w:val="000142A4"/>
    <w:rsid w:val="000D7903"/>
    <w:rsid w:val="000F381B"/>
    <w:rsid w:val="00185A5A"/>
    <w:rsid w:val="001928F9"/>
    <w:rsid w:val="00196234"/>
    <w:rsid w:val="002160AA"/>
    <w:rsid w:val="0021718F"/>
    <w:rsid w:val="00220FC0"/>
    <w:rsid w:val="002B2248"/>
    <w:rsid w:val="003311E4"/>
    <w:rsid w:val="0037460C"/>
    <w:rsid w:val="00443145"/>
    <w:rsid w:val="005840BA"/>
    <w:rsid w:val="005B4ABE"/>
    <w:rsid w:val="005F6E94"/>
    <w:rsid w:val="007304A3"/>
    <w:rsid w:val="00766AD6"/>
    <w:rsid w:val="007C1706"/>
    <w:rsid w:val="007C5152"/>
    <w:rsid w:val="0082459E"/>
    <w:rsid w:val="008820C3"/>
    <w:rsid w:val="009171F8"/>
    <w:rsid w:val="00A4056D"/>
    <w:rsid w:val="00AB78F0"/>
    <w:rsid w:val="00B26FE8"/>
    <w:rsid w:val="00BC2D9C"/>
    <w:rsid w:val="00C20883"/>
    <w:rsid w:val="00C45EEC"/>
    <w:rsid w:val="00C92E67"/>
    <w:rsid w:val="00CC73B5"/>
    <w:rsid w:val="00D74FF6"/>
    <w:rsid w:val="00D9533E"/>
    <w:rsid w:val="00E0721D"/>
    <w:rsid w:val="00E15C9F"/>
    <w:rsid w:val="00E5521D"/>
    <w:rsid w:val="00E70D2E"/>
    <w:rsid w:val="00F013C0"/>
    <w:rsid w:val="00F47B41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2B74F77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2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脚注文本 Char"/>
    <w:basedOn w:val="5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脚注文本 Char1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9E4216-01B7-44F1-9C7B-AAA6DBEF9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436</Words>
  <Characters>2489</Characters>
  <Lines>20</Lines>
  <Paragraphs>5</Paragraphs>
  <TotalTime>101</TotalTime>
  <ScaleCrop>false</ScaleCrop>
  <LinksUpToDate>false</LinksUpToDate>
  <CharactersWithSpaces>2920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2021-03-24T06:51:00Z</cp:lastPrinted>
  <dcterms:modified xsi:type="dcterms:W3CDTF">2021-04-27T07:55:22Z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