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2021年部门整体支出绩效目标表</w:t>
      </w:r>
    </w:p>
    <w:p>
      <w:pP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宋体" w:hAnsi="宋体" w:eastAsia="宋体" w:cs="宋体"/>
          <w:i w:val="0"/>
          <w:color w:val="000000"/>
          <w:kern w:val="0"/>
          <w:sz w:val="20"/>
          <w:szCs w:val="20"/>
          <w:u w:val="none"/>
          <w:lang w:val="en-US" w:eastAsia="zh-CN" w:bidi="ar"/>
        </w:rPr>
        <w:t>填报单位：（盖章）</w:t>
      </w:r>
    </w:p>
    <w:tbl>
      <w:tblPr>
        <w:tblStyle w:val="3"/>
        <w:tblW w:w="855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77"/>
        <w:gridCol w:w="2516"/>
        <w:gridCol w:w="1050"/>
        <w:gridCol w:w="1284"/>
        <w:gridCol w:w="1333"/>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部门名称</w:t>
            </w:r>
          </w:p>
        </w:tc>
        <w:tc>
          <w:tcPr>
            <w:tcW w:w="71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color w:val="000000"/>
                <w:sz w:val="20"/>
                <w:szCs w:val="20"/>
                <w:u w:val="none"/>
                <w:lang w:eastAsia="zh-CN"/>
              </w:rPr>
            </w:pPr>
            <w:r>
              <w:rPr>
                <w:rFonts w:hint="default" w:ascii="Times New Roman" w:hAnsi="Times New Roman" w:eastAsia="宋体" w:cs="Times New Roman"/>
                <w:i w:val="0"/>
                <w:color w:val="000000"/>
                <w:sz w:val="20"/>
                <w:szCs w:val="20"/>
                <w:u w:val="none"/>
                <w:lang w:eastAsia="zh-CN"/>
              </w:rPr>
              <w:t>中国共产党株洲市石峰区纪律检查委员会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年度预算申请</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（万元）</w:t>
            </w:r>
          </w:p>
        </w:tc>
        <w:tc>
          <w:tcPr>
            <w:tcW w:w="71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资金总额：705.8347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5"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4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按收入性质分</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按支出性质分</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35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其中：一般公共预算拨款</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705.8347</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其中：基本支出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653.9547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35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政府性基金拨款</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项目支出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51.88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35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其他资金</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85"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部门职责概述</w:t>
            </w:r>
          </w:p>
        </w:tc>
        <w:tc>
          <w:tcPr>
            <w:tcW w:w="71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sz w:val="18"/>
                <w:szCs w:val="18"/>
                <w:u w:val="none"/>
              </w:rPr>
              <w:t>一</w:t>
            </w:r>
            <w:r>
              <w:rPr>
                <w:rFonts w:hint="default" w:ascii="Times New Roman" w:hAnsi="Times New Roman" w:eastAsia="宋体"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始终坚持党的领导不动摇，积极协助区委压实管党治党政治责任；二</w:t>
            </w:r>
            <w:r>
              <w:rPr>
                <w:rFonts w:hint="default" w:ascii="Times New Roman" w:hAnsi="Times New Roman" w:eastAsia="宋体"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进一步深化监察体制改革，实现对行使公权力人员的监督全覆盖；三</w:t>
            </w:r>
            <w:r>
              <w:rPr>
                <w:rFonts w:hint="default" w:ascii="Times New Roman" w:hAnsi="Times New Roman" w:eastAsia="宋体"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严深细实抓作风建设，巩固拓展落实中央八项规定精神成果；四.始终保持节奏不变、力度不减，巩固和发展反腐败压倒性态势；五.充分发挥巡察利剑作用，着力发现问题形成震慑推动整改。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年度重点       工作计划</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事项</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责任单位/科室</w:t>
            </w:r>
          </w:p>
        </w:tc>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7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sz w:val="18"/>
                <w:szCs w:val="18"/>
                <w:u w:val="none"/>
              </w:rPr>
              <w:t>发挥查办案件的治本功能。</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18"/>
                <w:szCs w:val="18"/>
                <w:u w:val="none"/>
              </w:rPr>
              <w:t>突出深化标本兼治，巩固发展反腐败斗争压倒性胜利。坚决查处贪污贿赂、滥用职权、玩忽职守、徇私舞弊、重大责任事故等职务违法、职务犯罪行为。充分发挥反腐败协调小组作用，健全完善纪检监察机关与司法机关、行政执法部门的问题线索移送、案件协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3"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sz w:val="18"/>
                <w:szCs w:val="18"/>
                <w:u w:val="none"/>
              </w:rPr>
              <w:t>积极探索“互联网+监督”新模式。搭建监督与服务微信群交流平台，通过微信群走“网上群众路线”。</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18"/>
                <w:szCs w:val="18"/>
                <w:u w:val="none"/>
              </w:rPr>
              <w:t>持续整治群众身边腐败和作风问题。做好与“网格化”的结合文章，用好“互联网+监督”平台，拓宽群众参与监督渠道，引导群众主动监督身边问题。聚焦教育医疗、环境保护、食品药品安全、低保养老等民生领域，督促主管部门深入推进行业不正之风专项治理，加强对医保等政策性保险资金使用管理情况的监督检查，严厉惩治侵害群众利益的“微腐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69"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3"/>
                <w:szCs w:val="13"/>
                <w:u w:val="none"/>
              </w:rPr>
            </w:pPr>
            <w:r>
              <w:rPr>
                <w:rFonts w:hint="default" w:ascii="Times New Roman" w:hAnsi="Times New Roman" w:eastAsia="宋体" w:cs="Times New Roman"/>
                <w:i w:val="0"/>
                <w:color w:val="000000"/>
                <w:sz w:val="18"/>
                <w:szCs w:val="18"/>
                <w:u w:val="none"/>
              </w:rPr>
              <w:t>出台了《区纪委区监委派驻机构改革实施方案》，为派驻机构更好履职尽责建立了坚实的制度支撑。派出监察办公室与纪工委合署办公，推动全面从严治党向纵深发展。</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18"/>
                <w:szCs w:val="18"/>
                <w:u w:val="none"/>
              </w:rPr>
              <w:t>坚持旗帜鲜明讲政治，把政治建设摆在首位。强化对贯彻落实党的十九大精神和上级重大决策部署情况的政治监督，着力纠正搞变通、打折扣、阳奉阴违、虚假应付等问题，保障政令畅通。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年度绩效指标</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一级指标</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指标值</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产出指标</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产出数量</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 xml:space="preserve">查处群众身边腐败问题 </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≥80%线索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产出质量</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线索查处率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≥80%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产出时效</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查处时间</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2021年底前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产出成本</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追缴资金</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≥20万元</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效益指标</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经济效益</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追缴资金</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≥20万元</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形成“不敢腐”的震慑</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零容忍遏制增量</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生态效益</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完善“不能腐”的机制</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全方位监督</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可持续影响</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履行好全面从严治党专责机关监督职责</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尽量使干部少犯错误、不犯错误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社会公众及服务对象满意度</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社会公众满意度</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≥80%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2021年专项资金预算绩效目标汇总表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项目主管部门：（盖章）　　　　金额单位：万元</w:t>
      </w:r>
    </w:p>
    <w:tbl>
      <w:tblPr>
        <w:tblStyle w:val="3"/>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支出方向（子项）</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金额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4"/>
                <w:rFonts w:eastAsia="宋体"/>
                <w:lang w:val="en-US" w:eastAsia="zh-CN" w:bidi="ar"/>
              </w:rPr>
              <w:t xml:space="preserve">  </w:t>
            </w:r>
            <w:r>
              <w:rPr>
                <w:rStyle w:val="5"/>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业务性专项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纪委监察委案件查办工作经费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18"/>
                <w:szCs w:val="18"/>
                <w:u w:val="none"/>
              </w:rPr>
              <w:t>突出做实监督首责，实现日常监督和长期监督新突破。进一步理顺信访、党风政风监督、审查调查、案件管理等部门的职责关系，加强上下级纪检监察机构、派驻机构、巡察机构的资源互享、工作互动、成果互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形成“不敢腐”的震慑，高擎反腐利剑，突出重点削减存量、零容忍遏制增量，重点查处十八大以来不收敛、不收手，十九大以来不敬畏、不知止，政治问题和经济问题交织的腐败案件。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发挥查办案件的治本功能。通过办案查找发现案发单位在监督管理、制度执行等方面存在的问题，并下达纪律检查建议书、监察建议书，堵塞管理漏洞。</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突出深化标本兼治，巩固发展反腐败斗争压倒性胜利。坚决查处贪污贿赂、滥用职权、玩忽职守、徇私舞弊、重大责任事故等职务违法、职务犯罪行为。充分发挥反腐败协调小组作用，健全完善纪检监察机关与司法机关、行政执法部门的问题线索移送、案件协作机制。推动全面从严治党向纵深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巩固拓展落实中央八项规定精神成果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Calibri" w:hAnsi="Calibri" w:eastAsia="宋体" w:cs="Calibri"/>
                <w:i w:val="0"/>
                <w:color w:val="000000"/>
                <w:sz w:val="18"/>
                <w:szCs w:val="18"/>
                <w:u w:val="none"/>
                <w:lang w:val="en-US" w:eastAsia="zh-CN"/>
              </w:rPr>
            </w:pPr>
            <w:r>
              <w:rPr>
                <w:rFonts w:hint="eastAsia" w:ascii="Calibri" w:hAnsi="Calibri" w:eastAsia="宋体" w:cs="Calibri"/>
                <w:i w:val="0"/>
                <w:color w:val="000000"/>
                <w:sz w:val="18"/>
                <w:szCs w:val="18"/>
                <w:u w:val="none"/>
                <w:lang w:val="en-US" w:eastAsia="zh-CN"/>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Calibri" w:hAnsi="Calibri" w:eastAsia="宋体" w:cs="Calibri"/>
                <w:i w:val="0"/>
                <w:color w:val="000000"/>
                <w:sz w:val="18"/>
                <w:szCs w:val="18"/>
                <w:u w:val="none"/>
              </w:rPr>
            </w:pPr>
            <w:r>
              <w:rPr>
                <w:rFonts w:hint="default" w:ascii="Calibri" w:hAnsi="Calibri" w:eastAsia="宋体" w:cs="Calibri"/>
                <w:i w:val="0"/>
                <w:color w:val="000000"/>
                <w:sz w:val="18"/>
                <w:szCs w:val="18"/>
                <w:u w:val="none"/>
              </w:rPr>
              <w:t>积极探索“互联网+监督”新模式。搭建监督与服务微信群交流平台，通过微信群走“网上群众路线”。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Calibri" w:hAnsi="Calibri" w:eastAsia="宋体" w:cs="Calibri"/>
                <w:i w:val="0"/>
                <w:color w:val="000000"/>
                <w:sz w:val="18"/>
                <w:szCs w:val="18"/>
                <w:u w:val="none"/>
              </w:rPr>
            </w:pPr>
            <w:r>
              <w:rPr>
                <w:rFonts w:hint="default" w:ascii="Calibri" w:hAnsi="Calibri" w:eastAsia="宋体" w:cs="Calibri"/>
                <w:i w:val="0"/>
                <w:color w:val="000000"/>
                <w:sz w:val="18"/>
                <w:szCs w:val="18"/>
                <w:u w:val="none"/>
              </w:rPr>
              <w:t>严深细实抓作风建设，巩固拓展落实中央八项规定精神成果。坚持从落实中央八项规定精神入手，持续深入纠正“四风”问题。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巡察办经费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Calibri" w:hAnsi="Calibri" w:eastAsia="宋体" w:cs="Calibri"/>
                <w:i w:val="0"/>
                <w:color w:val="000000"/>
                <w:sz w:val="18"/>
                <w:szCs w:val="18"/>
                <w:u w:val="none"/>
                <w:lang w:val="en-US" w:eastAsia="zh-CN"/>
              </w:rPr>
            </w:pPr>
            <w:r>
              <w:rPr>
                <w:rFonts w:hint="eastAsia" w:ascii="Calibri" w:hAnsi="Calibri" w:eastAsia="宋体" w:cs="Calibri"/>
                <w:i w:val="0"/>
                <w:color w:val="000000"/>
                <w:sz w:val="18"/>
                <w:szCs w:val="18"/>
                <w:u w:val="none"/>
                <w:lang w:val="en-US" w:eastAsia="zh-CN"/>
              </w:rPr>
              <w:t>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Calibri" w:hAnsi="Calibri" w:eastAsia="宋体" w:cs="Calibri"/>
                <w:i w:val="0"/>
                <w:color w:val="000000"/>
                <w:kern w:val="2"/>
                <w:sz w:val="18"/>
                <w:szCs w:val="18"/>
                <w:u w:val="none"/>
                <w:lang w:val="en-US" w:eastAsia="zh-CN" w:bidi="ar-SA"/>
              </w:rPr>
            </w:pPr>
            <w:r>
              <w:rPr>
                <w:rFonts w:hint="default" w:ascii="Calibri" w:hAnsi="Calibri" w:eastAsia="宋体" w:cs="Calibri"/>
                <w:i w:val="0"/>
                <w:color w:val="000000"/>
                <w:sz w:val="18"/>
                <w:szCs w:val="18"/>
                <w:u w:val="none"/>
              </w:rPr>
              <w:t>开展常规巡察，并视实际情况开展专项巡察</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Calibri" w:hAnsi="Calibri" w:eastAsia="宋体" w:cs="Calibri"/>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完成全年巡察工作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Calibri" w:hAnsi="Calibri" w:eastAsia="宋体" w:cs="Calibri"/>
                <w:i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Calibri" w:hAnsi="Calibri" w:eastAsia="宋体" w:cs="Calibri"/>
                <w:i w:val="0"/>
                <w:color w:val="000000"/>
                <w:sz w:val="18"/>
                <w:szCs w:val="18"/>
                <w:u w:val="none"/>
              </w:rPr>
            </w:pPr>
            <w:r>
              <w:rPr>
                <w:rFonts w:hint="default" w:ascii="Calibri" w:hAnsi="Calibri" w:eastAsia="宋体" w:cs="Calibri"/>
                <w:i w:val="0"/>
                <w:color w:val="000000"/>
                <w:sz w:val="18"/>
                <w:szCs w:val="18"/>
                <w:u w:val="none"/>
              </w:rPr>
              <w:t>深入学习中央、省市下发的有关疫情防控工作文件和重要讲话精神，坚决执行全区防疫工作部署安排，积极参与四级干部下沉值守。根据疫情防控形势，合理安排巡察任务，严格巡察过程中的防控措施，做到工防结合。</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Calibri" w:hAnsi="Calibri" w:eastAsia="宋体" w:cs="Calibri"/>
                <w:i w:val="0"/>
                <w:color w:val="000000"/>
                <w:sz w:val="18"/>
                <w:szCs w:val="18"/>
                <w:u w:val="none"/>
              </w:rPr>
            </w:pPr>
            <w:r>
              <w:rPr>
                <w:rFonts w:hint="default" w:ascii="Calibri" w:hAnsi="Calibri" w:eastAsia="宋体" w:cs="Calibri"/>
                <w:i w:val="0"/>
                <w:color w:val="000000"/>
                <w:sz w:val="18"/>
                <w:szCs w:val="18"/>
                <w:u w:val="none"/>
              </w:rPr>
              <w:t>充分发挥巡察利剑作用，着力发现问题形成震慑推动整改。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纪委办案津贴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Calibri" w:hAnsi="Calibri" w:eastAsia="宋体" w:cs="Calibri"/>
                <w:i w:val="0"/>
                <w:color w:val="000000"/>
                <w:sz w:val="18"/>
                <w:szCs w:val="18"/>
                <w:u w:val="none"/>
                <w:lang w:val="en-US" w:eastAsia="zh-CN"/>
              </w:rPr>
            </w:pPr>
            <w:r>
              <w:rPr>
                <w:rFonts w:hint="eastAsia" w:ascii="Calibri" w:hAnsi="Calibri" w:eastAsia="宋体" w:cs="Calibri"/>
                <w:i w:val="0"/>
                <w:color w:val="000000"/>
                <w:sz w:val="18"/>
                <w:szCs w:val="18"/>
                <w:u w:val="none"/>
                <w:lang w:val="en-US" w:eastAsia="zh-CN"/>
              </w:rPr>
              <w:t>11.88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Calibri" w:hAnsi="Calibri" w:eastAsia="宋体" w:cs="Calibri"/>
                <w:i w:val="0"/>
                <w:color w:val="000000"/>
                <w:sz w:val="18"/>
                <w:szCs w:val="18"/>
                <w:u w:val="none"/>
                <w:lang w:val="en-US" w:eastAsia="zh-CN"/>
              </w:rPr>
            </w:pPr>
            <w:r>
              <w:rPr>
                <w:rFonts w:hint="default" w:ascii="Calibri" w:hAnsi="Calibri" w:eastAsia="宋体" w:cs="Calibri"/>
                <w:i w:val="0"/>
                <w:color w:val="000000"/>
                <w:sz w:val="18"/>
                <w:szCs w:val="18"/>
                <w:u w:val="none"/>
              </w:rPr>
              <w:t>所有参加纪检监察工作人员按220元/人*12月发放办案人员补贴</w:t>
            </w:r>
            <w:r>
              <w:rPr>
                <w:rFonts w:hint="eastAsia" w:ascii="Calibri" w:hAnsi="Calibri" w:eastAsia="宋体" w:cs="Calibri"/>
                <w:i w:val="0"/>
                <w:color w:val="000000"/>
                <w:sz w:val="18"/>
                <w:szCs w:val="18"/>
                <w:u w:val="none"/>
                <w:lang w:eastAsia="zh-CN"/>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Calibri" w:hAnsi="Calibri" w:eastAsia="宋体" w:cs="Calibri"/>
                <w:i w:val="0"/>
                <w:color w:val="000000"/>
                <w:sz w:val="18"/>
                <w:szCs w:val="18"/>
                <w:u w:val="none"/>
              </w:rPr>
            </w:pPr>
            <w:r>
              <w:rPr>
                <w:rFonts w:hint="default" w:ascii="Calibri" w:hAnsi="Calibri" w:eastAsia="宋体" w:cs="Calibri"/>
                <w:i w:val="0"/>
                <w:color w:val="000000"/>
                <w:sz w:val="18"/>
                <w:szCs w:val="18"/>
                <w:u w:val="none"/>
              </w:rPr>
              <w:t>根据湘人社发[2011]63号、株人社字[2011]8号文件精神，所有参加纪检监察工作人员按220元/人*12月发放办案人员补贴。</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r>
        <w:rPr>
          <w:rFonts w:hint="eastAsia" w:ascii="黑体" w:hAnsi="宋体" w:eastAsia="黑体" w:cs="黑体"/>
          <w:i w:val="0"/>
          <w:color w:val="000000"/>
          <w:kern w:val="0"/>
          <w:sz w:val="24"/>
          <w:szCs w:val="24"/>
          <w:u w:val="none"/>
          <w:lang w:val="en-US" w:eastAsia="zh-CN" w:bidi="ar"/>
        </w:rPr>
        <w:t>附件3</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2021年专项资金支出方向绩效目标表</w:t>
      </w:r>
    </w:p>
    <w:p>
      <w:r>
        <w:rPr>
          <w:rFonts w:hint="eastAsia" w:ascii="宋体" w:hAnsi="宋体" w:eastAsia="宋体" w:cs="宋体"/>
          <w:i w:val="0"/>
          <w:color w:val="000000"/>
          <w:kern w:val="0"/>
          <w:sz w:val="20"/>
          <w:szCs w:val="20"/>
          <w:u w:val="none"/>
          <w:lang w:val="en-US" w:eastAsia="zh-CN" w:bidi="ar"/>
        </w:rPr>
        <w:t>项目主管部门：（盖章）　　　　　　　　　　　　　　　　　　 金额单位：万元</w:t>
      </w:r>
    </w:p>
    <w:tbl>
      <w:tblPr>
        <w:tblStyle w:val="3"/>
        <w:tblW w:w="87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324"/>
        <w:gridCol w:w="1364"/>
        <w:gridCol w:w="1665"/>
        <w:gridCol w:w="1417"/>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查办案件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业务性专项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发挥查办案件的治本功能。通过办案查找发现案发单位在监督管理、制度执行等方面存在的问题，并下达纪律检查建议书、监察建议书，堵塞管理漏洞。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06"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突出深化标本兼治，巩固发展反腐败斗争压倒性胜利。坚决查处贪污贿赂、滥用职权、玩忽职守、徇私舞弊、重大责任事故等职务违法、职务犯罪行为。充分发挥反腐败协调小组作用，健全完善纪检监察机关与司法机关、行政执法部门的问题线索移送、案件协作机制。推动全面从严治党向纵深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查处群众身边腐败问题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≥15人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2020年查处15人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线索查处率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查处时间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2021年底前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追缴资金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追缴资金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≥20万元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形成“不敢腐”的震慑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零容忍遏制增量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完善“不能腐”的机制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全方位监督</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履行好全面从严治党专责机关监督职责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尽量使干部少犯错误、不犯错误</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社会公众满意度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t>附件3</w:t>
      </w:r>
    </w:p>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2021年专项资金支出方向绩效目标表</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项目主管部门：（盖章）　　　　　　　　　　　　　　　　  金额单位：万元</w:t>
      </w:r>
    </w:p>
    <w:tbl>
      <w:tblPr>
        <w:tblStyle w:val="3"/>
        <w:tblW w:w="87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324"/>
        <w:gridCol w:w="1364"/>
        <w:gridCol w:w="1665"/>
        <w:gridCol w:w="1417"/>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巩固拓展落实中央八项规定</w:t>
            </w:r>
          </w:p>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精神成果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业务性专项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积极探索“互联网+监督”新模式。搭建监督与服务微信群交流平台，通过微信群走“网上群众路线”。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5"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严深细实抓作风建设，巩固拓展落实中央八项规定精神成果。坚持从落实中央八项规定精神入手，持续深入纠正“四风”问题。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信息处理率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办结率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办结时间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受理之日3个月内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信息处理反馈率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搭建监督与服务微信群交流平台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通过微信群走“网上群众路线”</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完善“不能腐”的机制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零容忍遏制增量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形成“不敢腐”的震慑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全方位监督</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社会公众满意度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t>附件3</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2021年专项资金支出方向绩效目标表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项目主管部门：（盖章） 　　　　　　　　　　　　　　　　　　金额单位：万元</w:t>
      </w:r>
    </w:p>
    <w:tbl>
      <w:tblPr>
        <w:tblStyle w:val="3"/>
        <w:tblW w:w="87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324"/>
        <w:gridCol w:w="1364"/>
        <w:gridCol w:w="1665"/>
        <w:gridCol w:w="1417"/>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完成全年巡察工作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业务性专项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项目实施期</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深入学习中央、省市下发的有关疫情防控工作文件和重要讲话精神，坚决执行全区防疫工作部署安排，积极参与四级干部下沉值守。根据疫情防控形势，合理安排巡察任务，严格巡察过程中的防控措施，做到工防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4"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充分发挥巡察利剑作用，着力发现问题形成震慑推动整改。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巡察全覆盖</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产出质量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发现问题反馈率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产出时效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回头看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产出成本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整改率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发挥巡察利剑作用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形成震慑推动整改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完善“不能腐”的机制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零容忍遏制增量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形成“不敢腐”的震慑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全方位监督</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社会公众满意度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2709"/>
    <w:rsid w:val="00297745"/>
    <w:rsid w:val="0082459E"/>
    <w:rsid w:val="05650174"/>
    <w:rsid w:val="07616DD4"/>
    <w:rsid w:val="0A011F5A"/>
    <w:rsid w:val="0A6F29BA"/>
    <w:rsid w:val="0B505B2D"/>
    <w:rsid w:val="0B607388"/>
    <w:rsid w:val="0C6B4002"/>
    <w:rsid w:val="0F1B6D8D"/>
    <w:rsid w:val="0FA162ED"/>
    <w:rsid w:val="109C64B9"/>
    <w:rsid w:val="11560570"/>
    <w:rsid w:val="124B479E"/>
    <w:rsid w:val="12E11FBF"/>
    <w:rsid w:val="140B1AA0"/>
    <w:rsid w:val="140F51CF"/>
    <w:rsid w:val="14DA31B6"/>
    <w:rsid w:val="18170EC2"/>
    <w:rsid w:val="1A8C27A4"/>
    <w:rsid w:val="1B2718F8"/>
    <w:rsid w:val="1BF42EDC"/>
    <w:rsid w:val="1CEB3AA0"/>
    <w:rsid w:val="1CFC48DD"/>
    <w:rsid w:val="1FC21B82"/>
    <w:rsid w:val="212E431F"/>
    <w:rsid w:val="21AD5C13"/>
    <w:rsid w:val="235E1FC9"/>
    <w:rsid w:val="240B5A00"/>
    <w:rsid w:val="256A6354"/>
    <w:rsid w:val="261474DA"/>
    <w:rsid w:val="26B67F25"/>
    <w:rsid w:val="273078C8"/>
    <w:rsid w:val="27E306C4"/>
    <w:rsid w:val="28A54F18"/>
    <w:rsid w:val="290F5454"/>
    <w:rsid w:val="2C012709"/>
    <w:rsid w:val="2CAA2115"/>
    <w:rsid w:val="2D530D95"/>
    <w:rsid w:val="2DE174DA"/>
    <w:rsid w:val="30310BD0"/>
    <w:rsid w:val="311C763D"/>
    <w:rsid w:val="33002DCF"/>
    <w:rsid w:val="36547960"/>
    <w:rsid w:val="371A56A6"/>
    <w:rsid w:val="37B136F2"/>
    <w:rsid w:val="3C961C86"/>
    <w:rsid w:val="3DA33CEE"/>
    <w:rsid w:val="4118161F"/>
    <w:rsid w:val="41C063B6"/>
    <w:rsid w:val="42F76288"/>
    <w:rsid w:val="432452AB"/>
    <w:rsid w:val="435C5632"/>
    <w:rsid w:val="44157855"/>
    <w:rsid w:val="47237175"/>
    <w:rsid w:val="47F13561"/>
    <w:rsid w:val="4A6D6DF7"/>
    <w:rsid w:val="4CC5057B"/>
    <w:rsid w:val="4D4D3FE2"/>
    <w:rsid w:val="4DD93745"/>
    <w:rsid w:val="540B1856"/>
    <w:rsid w:val="56DF2C70"/>
    <w:rsid w:val="5928381D"/>
    <w:rsid w:val="5BFE3FCA"/>
    <w:rsid w:val="5D073736"/>
    <w:rsid w:val="5E1D6B3C"/>
    <w:rsid w:val="616E6906"/>
    <w:rsid w:val="630C0B42"/>
    <w:rsid w:val="67EE0E89"/>
    <w:rsid w:val="68640AF0"/>
    <w:rsid w:val="69D91329"/>
    <w:rsid w:val="6BA6250F"/>
    <w:rsid w:val="6DAF49E1"/>
    <w:rsid w:val="6DCA751C"/>
    <w:rsid w:val="6EBE6733"/>
    <w:rsid w:val="6FAC163A"/>
    <w:rsid w:val="7085169B"/>
    <w:rsid w:val="70A433AB"/>
    <w:rsid w:val="71526EBD"/>
    <w:rsid w:val="72BE3F42"/>
    <w:rsid w:val="751F00A8"/>
    <w:rsid w:val="75FF25DC"/>
    <w:rsid w:val="7996570D"/>
    <w:rsid w:val="79F2428C"/>
    <w:rsid w:val="7A5B4AC7"/>
    <w:rsid w:val="7AA02046"/>
    <w:rsid w:val="7CA750BC"/>
    <w:rsid w:val="7CC91FCC"/>
    <w:rsid w:val="7F2D3946"/>
    <w:rsid w:val="7F3277D5"/>
    <w:rsid w:val="7F4D0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default" w:ascii="Times New Roman" w:hAnsi="Times New Roman" w:cs="Times New Roman"/>
      <w:b/>
      <w:color w:val="000000"/>
      <w:sz w:val="20"/>
      <w:szCs w:val="20"/>
      <w:u w:val="none"/>
    </w:rPr>
  </w:style>
  <w:style w:type="character" w:customStyle="1" w:styleId="5">
    <w:name w:val="font41"/>
    <w:basedOn w:val="2"/>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dcterms:modified xsi:type="dcterms:W3CDTF">2021-04-27T07:43:26Z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5C050714B1D546F29D1A5D753ABB0736</vt:lpwstr>
  </property>
</Properties>
</file>