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6"/>
          <w:szCs w:val="32"/>
        </w:rPr>
      </w:pPr>
      <w:r>
        <w:rPr>
          <w:rFonts w:hint="eastAsia" w:asci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8"/>
        <w:tblW w:w="14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32"/>
        <w:gridCol w:w="702"/>
        <w:gridCol w:w="1224"/>
        <w:gridCol w:w="4820"/>
        <w:gridCol w:w="702"/>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4.18</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6.88</w:t>
            </w: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七、文化体育与传媒支出</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7.3</w:t>
            </w: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4.18</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5</w:t>
            </w:r>
            <w:r>
              <w:rPr>
                <w:rFonts w:ascii="Times New Roman" w:hAnsi="Times New Roman" w:eastAsia="仿宋_GB2312" w:cs="Times New Roman"/>
                <w:b/>
                <w:bCs/>
                <w:kern w:val="0"/>
                <w:szCs w:val="21"/>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.53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bookmarkStart w:id="2" w:name="_GoBack"/>
            <w:bookmarkEnd w:id="2"/>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4.71</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5</w:t>
            </w:r>
            <w:r>
              <w:rPr>
                <w:rFonts w:ascii="Times New Roman" w:hAnsi="Times New Roman" w:eastAsia="仿宋_GB2312" w:cs="Times New Roman"/>
                <w:b/>
                <w:bCs/>
                <w:kern w:val="0"/>
                <w:szCs w:val="21"/>
              </w:rPr>
              <w:t>4.71</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eastAsia="黑体"/>
          <w:sz w:val="28"/>
          <w:szCs w:val="28"/>
        </w:rPr>
        <w:sectPr>
          <w:pgSz w:w="16838" w:h="11906" w:orient="landscape"/>
          <w:pgMar w:top="1797" w:right="1440" w:bottom="1797" w:left="1440" w:header="851" w:footer="992" w:gutter="0"/>
          <w:cols w:space="720"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38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tc>
        <w:tc>
          <w:tcPr>
            <w:tcW w:w="1188" w:type="dxa"/>
            <w:vMerge w:val="continue"/>
            <w:tcBorders>
              <w:top w:val="nil"/>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4.18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4.18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2010601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6.64</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6.64</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2013301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.24</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.24</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0.96</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0.96</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.34</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.34</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群众文化</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3</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3</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芦淞区文学联合会</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8"/>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tc>
        <w:tc>
          <w:tcPr>
            <w:tcW w:w="1985" w:type="dxa"/>
            <w:vMerge w:val="continue"/>
            <w:shd w:val="clear" w:color="auto" w:fill="auto"/>
            <w:vAlign w:val="center"/>
          </w:tcPr>
          <w:p/>
        </w:tc>
        <w:tc>
          <w:tcPr>
            <w:tcW w:w="1842" w:type="dxa"/>
            <w:vMerge w:val="continue"/>
            <w:shd w:val="clear" w:color="auto" w:fill="auto"/>
            <w:vAlign w:val="center"/>
          </w:tcPr>
          <w:p/>
        </w:tc>
        <w:tc>
          <w:tcPr>
            <w:tcW w:w="1843" w:type="dxa"/>
            <w:vMerge w:val="continue"/>
            <w:shd w:val="clear" w:color="auto" w:fill="auto"/>
            <w:vAlign w:val="center"/>
          </w:tcPr>
          <w:p/>
        </w:tc>
        <w:tc>
          <w:tcPr>
            <w:tcW w:w="1985" w:type="dxa"/>
            <w:vMerge w:val="continue"/>
            <w:shd w:val="clear" w:color="auto" w:fill="auto"/>
            <w:vAlign w:val="center"/>
          </w:tcPr>
          <w:p/>
        </w:tc>
        <w:tc>
          <w:tcPr>
            <w:tcW w:w="2308" w:type="dxa"/>
            <w:vMerge w:val="continue"/>
            <w:shd w:val="clear" w:color="auto" w:fill="auto"/>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tc>
        <w:tc>
          <w:tcPr>
            <w:tcW w:w="1249" w:type="dxa"/>
            <w:vMerge w:val="continue"/>
            <w:shd w:val="clear" w:color="auto" w:fill="auto"/>
            <w:vAlign w:val="center"/>
          </w:tcPr>
          <w:p/>
        </w:tc>
        <w:tc>
          <w:tcPr>
            <w:tcW w:w="1775" w:type="dxa"/>
            <w:vMerge w:val="continue"/>
            <w:shd w:val="clear" w:color="auto" w:fill="auto"/>
            <w:vAlign w:val="center"/>
          </w:tcPr>
          <w:p/>
        </w:tc>
        <w:tc>
          <w:tcPr>
            <w:tcW w:w="1985" w:type="dxa"/>
            <w:vMerge w:val="continue"/>
            <w:shd w:val="clear" w:color="auto" w:fill="auto"/>
            <w:vAlign w:val="center"/>
          </w:tcPr>
          <w:p/>
        </w:tc>
        <w:tc>
          <w:tcPr>
            <w:tcW w:w="1842" w:type="dxa"/>
            <w:vMerge w:val="continue"/>
            <w:shd w:val="clear" w:color="auto" w:fill="auto"/>
            <w:vAlign w:val="center"/>
          </w:tcPr>
          <w:p/>
        </w:tc>
        <w:tc>
          <w:tcPr>
            <w:tcW w:w="1843" w:type="dxa"/>
            <w:vMerge w:val="continue"/>
            <w:shd w:val="clear" w:color="auto" w:fill="auto"/>
            <w:vAlign w:val="center"/>
          </w:tcPr>
          <w:p/>
        </w:tc>
        <w:tc>
          <w:tcPr>
            <w:tcW w:w="1985" w:type="dxa"/>
            <w:vMerge w:val="continue"/>
            <w:shd w:val="clear" w:color="auto" w:fill="auto"/>
            <w:vAlign w:val="center"/>
          </w:tcPr>
          <w:p/>
        </w:tc>
        <w:tc>
          <w:tcPr>
            <w:tcW w:w="2308" w:type="dxa"/>
            <w:vMerge w:val="continue"/>
            <w:shd w:val="clear" w:color="auto" w:fill="auto"/>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4.18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7.95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6.22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2010601</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6.64</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6.64</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2013301</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.24</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.24</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2070101</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0.96</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0.96</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2070102</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.34</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.34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2070109</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群众文化</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3</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.12</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2.88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p>
        </w:tc>
        <w:tc>
          <w:tcPr>
            <w:tcW w:w="1249" w:type="dxa"/>
            <w:shd w:val="clear" w:color="auto" w:fill="auto"/>
            <w:noWrap/>
            <w:vAlign w:val="center"/>
          </w:tcPr>
          <w:p>
            <w:pPr>
              <w:widowControl/>
              <w:jc w:val="left"/>
              <w:rPr>
                <w:rFonts w:ascii="Times New Roman" w:hAnsi="Times New Roman" w:eastAsia="仿宋_GB2312" w:cs="Times New Roman"/>
                <w:kern w:val="0"/>
                <w:szCs w:val="21"/>
              </w:rPr>
            </w:pP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8"/>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4.18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6.88</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6.88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七、文化体育与传媒支出</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7.3</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7.3</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4.18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.53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.53</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.53</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4.71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4.71</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4.71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3527"/>
        <w:gridCol w:w="3000"/>
        <w:gridCol w:w="3492"/>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tc>
        <w:tc>
          <w:tcPr>
            <w:tcW w:w="3527" w:type="dxa"/>
            <w:vMerge w:val="continue"/>
            <w:tcBorders>
              <w:top w:val="nil"/>
              <w:left w:val="single" w:color="auto" w:sz="4" w:space="0"/>
              <w:bottom w:val="single" w:color="auto"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4" w:space="0"/>
            </w:tcBorders>
            <w:vAlign w:val="center"/>
          </w:tcPr>
          <w:p/>
        </w:tc>
        <w:tc>
          <w:tcPr>
            <w:tcW w:w="3492" w:type="dxa"/>
            <w:vMerge w:val="continue"/>
            <w:tcBorders>
              <w:top w:val="nil"/>
              <w:left w:val="single" w:color="auto" w:sz="4" w:space="0"/>
              <w:bottom w:val="single" w:color="000000"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tc>
        <w:tc>
          <w:tcPr>
            <w:tcW w:w="3527" w:type="dxa"/>
            <w:vMerge w:val="continue"/>
            <w:tcBorders>
              <w:top w:val="nil"/>
              <w:left w:val="single" w:color="auto" w:sz="4" w:space="0"/>
              <w:bottom w:val="single" w:color="auto"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4" w:space="0"/>
            </w:tcBorders>
            <w:vAlign w:val="center"/>
          </w:tcPr>
          <w:p/>
        </w:tc>
        <w:tc>
          <w:tcPr>
            <w:tcW w:w="3492" w:type="dxa"/>
            <w:vMerge w:val="continue"/>
            <w:tcBorders>
              <w:top w:val="nil"/>
              <w:left w:val="single" w:color="auto" w:sz="4" w:space="0"/>
              <w:bottom w:val="single" w:color="000000"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4.18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7.95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2010601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6.64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6.64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2013301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.24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.24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0.96</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0.96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.34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群众文化</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.12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2"/>
        <w:gridCol w:w="3227"/>
        <w:gridCol w:w="836"/>
        <w:gridCol w:w="1084"/>
        <w:gridCol w:w="2242"/>
        <w:gridCol w:w="836"/>
        <w:gridCol w:w="1050"/>
        <w:gridCol w:w="4289"/>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w:t>
            </w:r>
            <w:r>
              <w:rPr>
                <w:rFonts w:ascii="仿宋_GB2312" w:eastAsia="仿宋_GB2312" w:cs="宋体"/>
                <w:color w:val="000000"/>
                <w:kern w:val="0"/>
                <w:sz w:val="18"/>
                <w:szCs w:val="18"/>
              </w:rPr>
              <w:t>4.22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w:t>
            </w:r>
            <w:r>
              <w:rPr>
                <w:rFonts w:ascii="仿宋_GB2312" w:eastAsia="仿宋_GB2312" w:cs="宋体"/>
                <w:color w:val="000000"/>
                <w:kern w:val="0"/>
                <w:sz w:val="18"/>
                <w:szCs w:val="18"/>
              </w:rPr>
              <w:t>.73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9</w:t>
            </w:r>
            <w:r>
              <w:rPr>
                <w:rFonts w:ascii="仿宋_GB2312" w:eastAsia="仿宋_GB2312" w:cs="宋体"/>
                <w:color w:val="000000"/>
                <w:kern w:val="0"/>
                <w:sz w:val="18"/>
                <w:szCs w:val="18"/>
              </w:rPr>
              <w:t>.48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0</w:t>
            </w:r>
            <w:r>
              <w:rPr>
                <w:rFonts w:ascii="仿宋_GB2312" w:eastAsia="仿宋_GB2312" w:cs="宋体"/>
                <w:color w:val="000000"/>
                <w:kern w:val="0"/>
                <w:sz w:val="18"/>
                <w:szCs w:val="18"/>
              </w:rPr>
              <w:t>.56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4</w:t>
            </w:r>
            <w:r>
              <w:rPr>
                <w:rFonts w:ascii="仿宋_GB2312" w:eastAsia="仿宋_GB2312" w:cs="宋体"/>
                <w:color w:val="000000"/>
                <w:kern w:val="0"/>
                <w:sz w:val="18"/>
                <w:szCs w:val="18"/>
              </w:rPr>
              <w:t>.38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1</w:t>
            </w:r>
            <w:r>
              <w:rPr>
                <w:rFonts w:ascii="仿宋_GB2312" w:eastAsia="仿宋_GB2312" w:cs="宋体"/>
                <w:color w:val="000000"/>
                <w:kern w:val="0"/>
                <w:sz w:val="18"/>
                <w:szCs w:val="18"/>
              </w:rPr>
              <w:t>.5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1</w:t>
            </w:r>
            <w:r>
              <w:rPr>
                <w:rFonts w:ascii="仿宋_GB2312" w:eastAsia="仿宋_GB2312" w:cs="宋体"/>
                <w:color w:val="000000"/>
                <w:kern w:val="0"/>
                <w:sz w:val="18"/>
                <w:szCs w:val="18"/>
              </w:rPr>
              <w:t>0.34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w:t>
            </w:r>
            <w:r>
              <w:rPr>
                <w:rFonts w:ascii="仿宋_GB2312" w:eastAsia="仿宋_GB2312" w:cs="宋体"/>
                <w:color w:val="000000"/>
                <w:kern w:val="0"/>
                <w:sz w:val="18"/>
                <w:szCs w:val="18"/>
              </w:rPr>
              <w:t>.71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0</w:t>
            </w:r>
            <w:r>
              <w:rPr>
                <w:rFonts w:ascii="仿宋_GB2312" w:eastAsia="仿宋_GB2312" w:cs="宋体"/>
                <w:color w:val="000000"/>
                <w:kern w:val="0"/>
                <w:sz w:val="18"/>
                <w:szCs w:val="18"/>
              </w:rPr>
              <w:t>.02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2</w:t>
            </w:r>
            <w:r>
              <w:rPr>
                <w:rFonts w:ascii="仿宋_GB2312" w:eastAsia="仿宋_GB2312" w:cs="宋体"/>
                <w:color w:val="000000"/>
                <w:kern w:val="0"/>
                <w:sz w:val="18"/>
                <w:szCs w:val="18"/>
              </w:rPr>
              <w:t>.58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0</w:t>
            </w:r>
            <w:r>
              <w:rPr>
                <w:rFonts w:ascii="仿宋_GB2312" w:eastAsia="仿宋_GB2312" w:cs="宋体"/>
                <w:color w:val="000000"/>
                <w:kern w:val="0"/>
                <w:sz w:val="18"/>
                <w:szCs w:val="18"/>
              </w:rPr>
              <w:t>.31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0</w:t>
            </w:r>
            <w:r>
              <w:rPr>
                <w:rFonts w:ascii="仿宋_GB2312" w:eastAsia="仿宋_GB2312" w:cs="宋体"/>
                <w:color w:val="000000"/>
                <w:kern w:val="0"/>
                <w:sz w:val="18"/>
                <w:szCs w:val="18"/>
              </w:rPr>
              <w:t>.42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w:t>
            </w:r>
            <w:r>
              <w:rPr>
                <w:rFonts w:ascii="仿宋_GB2312" w:eastAsia="仿宋_GB2312" w:cs="宋体"/>
                <w:color w:val="000000"/>
                <w:kern w:val="0"/>
                <w:sz w:val="18"/>
                <w:szCs w:val="18"/>
              </w:rPr>
              <w:t>.04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0</w:t>
            </w:r>
            <w:r>
              <w:rPr>
                <w:rFonts w:ascii="仿宋_GB2312" w:eastAsia="仿宋_GB2312" w:cs="宋体"/>
                <w:color w:val="000000"/>
                <w:kern w:val="0"/>
                <w:sz w:val="18"/>
                <w:szCs w:val="18"/>
              </w:rPr>
              <w:t>.39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0</w:t>
            </w:r>
            <w:r>
              <w:rPr>
                <w:rFonts w:ascii="仿宋_GB2312" w:eastAsia="仿宋_GB2312" w:cs="宋体"/>
                <w:color w:val="000000"/>
                <w:kern w:val="0"/>
                <w:sz w:val="18"/>
                <w:szCs w:val="18"/>
              </w:rPr>
              <w:t>.4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0</w:t>
            </w:r>
            <w:r>
              <w:rPr>
                <w:rFonts w:ascii="仿宋_GB2312" w:eastAsia="仿宋_GB2312" w:cs="宋体"/>
                <w:color w:val="000000"/>
                <w:kern w:val="0"/>
                <w:sz w:val="18"/>
                <w:szCs w:val="18"/>
              </w:rPr>
              <w:t>.25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0</w:t>
            </w:r>
            <w:r>
              <w:rPr>
                <w:rFonts w:ascii="仿宋_GB2312" w:eastAsia="仿宋_GB2312" w:cs="宋体"/>
                <w:color w:val="000000"/>
                <w:kern w:val="0"/>
                <w:sz w:val="18"/>
                <w:szCs w:val="18"/>
              </w:rPr>
              <w:t>.02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w:t>
            </w:r>
            <w:r>
              <w:rPr>
                <w:rFonts w:ascii="Times New Roman" w:hAnsi="Times New Roman" w:eastAsia="宋体" w:cs="Times New Roman"/>
                <w:color w:val="000000"/>
                <w:kern w:val="0"/>
                <w:sz w:val="18"/>
                <w:szCs w:val="18"/>
              </w:rPr>
              <w:t>.56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w:t>
            </w:r>
            <w:r>
              <w:rPr>
                <w:rFonts w:ascii="Times New Roman" w:hAnsi="Times New Roman" w:eastAsia="宋体" w:cs="Times New Roman"/>
                <w:color w:val="000000"/>
                <w:kern w:val="0"/>
                <w:sz w:val="18"/>
                <w:szCs w:val="18"/>
              </w:rPr>
              <w:t>4.22</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w:t>
            </w:r>
            <w:r>
              <w:rPr>
                <w:rFonts w:ascii="仿宋_GB2312" w:eastAsia="仿宋_GB2312" w:cs="宋体"/>
                <w:color w:val="000000"/>
                <w:kern w:val="0"/>
                <w:sz w:val="18"/>
                <w:szCs w:val="18"/>
              </w:rPr>
              <w:t>.73</w:t>
            </w:r>
          </w:p>
        </w:tc>
      </w:tr>
    </w:tbl>
    <w:p>
      <w:pPr>
        <w:widowControl/>
        <w:jc w:val="left"/>
        <w:rPr>
          <w:rFonts w:ascii="黑体" w:eastAsia="黑体"/>
          <w:szCs w:val="21"/>
        </w:rPr>
      </w:pPr>
      <w:r>
        <w:rPr>
          <w:rFonts w:hint="eastAsia" w:ascii="黑体" w:eastAsia="黑体"/>
          <w:szCs w:val="21"/>
        </w:rPr>
        <w:t>注：本表反映部门年度一般公共预算财政拨款基本支出明细情况。</w:t>
      </w:r>
      <w:r>
        <w:rPr>
          <w:rFonts w:asci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tc>
        <w:tc>
          <w:tcPr>
            <w:tcW w:w="1220" w:type="dxa"/>
            <w:vMerge w:val="continue"/>
            <w:tcBorders>
              <w:top w:val="nil"/>
              <w:left w:val="single" w:color="auto" w:sz="4" w:space="0"/>
              <w:bottom w:val="single" w:color="000000" w:sz="4" w:space="0"/>
              <w:right w:val="single" w:color="auto" w:sz="4" w:space="0"/>
            </w:tcBorders>
            <w:vAlign w:val="center"/>
          </w:tc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tc>
        <w:tc>
          <w:tcPr>
            <w:tcW w:w="1220" w:type="dxa"/>
            <w:vMerge w:val="continue"/>
            <w:tcBorders>
              <w:top w:val="nil"/>
              <w:left w:val="nil"/>
              <w:bottom w:val="single" w:color="000000" w:sz="4" w:space="0"/>
              <w:right w:val="single" w:color="auto" w:sz="4" w:space="0"/>
            </w:tcBorders>
            <w:vAlign w:val="center"/>
          </w:tcPr>
          <w:p/>
        </w:tc>
        <w:tc>
          <w:tcPr>
            <w:tcW w:w="1220" w:type="dxa"/>
            <w:vMerge w:val="continue"/>
            <w:tcBorders>
              <w:top w:val="nil"/>
              <w:left w:val="single" w:color="auto" w:sz="4" w:space="0"/>
              <w:bottom w:val="single" w:color="000000" w:sz="4" w:space="0"/>
              <w:right w:val="single" w:color="auto" w:sz="4" w:space="0"/>
            </w:tcBorders>
            <w:vAlign w:val="center"/>
          </w:tc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Times New Roman" w:hAnsi="Times New Roman" w:eastAsia="仿宋_GB2312" w:cs="Times New Roman"/>
          <w:kern w:val="0"/>
          <w:szCs w:val="21"/>
        </w:rPr>
      </w:pPr>
      <w:r>
        <w:rPr>
          <w:rFonts w:hint="eastAsia" w:ascii="宋体" w:eastAsia="宋体" w:cs="宋体"/>
          <w:kern w:val="0"/>
          <w:sz w:val="24"/>
          <w:szCs w:val="24"/>
        </w:rPr>
        <w:t xml:space="preserve"> </w:t>
      </w:r>
      <w:r>
        <w:rPr>
          <w:rFonts w:ascii="宋体" w:eastAsia="宋体" w:cs="宋体"/>
          <w:kern w:val="0"/>
          <w:sz w:val="24"/>
          <w:szCs w:val="24"/>
        </w:rPr>
        <w:t xml:space="preserve">            </w:t>
      </w:r>
      <w:r>
        <w:rPr>
          <w:rFonts w:hint="eastAsia" w:ascii="宋体" w:eastAsia="宋体" w:cs="宋体"/>
          <w:kern w:val="0"/>
          <w:sz w:val="24"/>
          <w:szCs w:val="24"/>
        </w:rPr>
        <w:t>芦淞区文学联合会没有“三公”经费支出，故本表无数据</w:t>
      </w:r>
    </w:p>
    <w:p>
      <w:pPr>
        <w:widowControl/>
        <w:jc w:val="left"/>
        <w:rPr>
          <w:rFonts w:ascii="宋体" w:eastAsia="宋体" w:cs="宋体"/>
          <w:kern w:val="0"/>
          <w:sz w:val="24"/>
          <w:szCs w:val="24"/>
        </w:rPr>
      </w:pPr>
      <w:r>
        <w:rPr>
          <w:rFonts w:ascii="宋体" w:eastAsia="宋体" w:cs="宋体"/>
          <w:kern w:val="0"/>
          <w:sz w:val="24"/>
          <w:szCs w:val="24"/>
        </w:rPr>
        <w:br w:type="page"/>
      </w:r>
      <w:r>
        <w:rPr>
          <w:rFonts w:hint="eastAsia" w:ascii="宋体" w:eastAsia="宋体" w:cs="宋体"/>
          <w:kern w:val="0"/>
          <w:sz w:val="24"/>
          <w:szCs w:val="24"/>
        </w:rPr>
        <w:t>本</w:t>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tc>
        <w:tc>
          <w:tcPr>
            <w:tcW w:w="2000" w:type="dxa"/>
            <w:vMerge w:val="continue"/>
            <w:vAlign w:val="center"/>
          </w:tc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tc>
        <w:tc>
          <w:tcPr>
            <w:tcW w:w="132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tc>
        <w:tc>
          <w:tcPr>
            <w:tcW w:w="132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color w:val="000000"/>
          <w:kern w:val="0"/>
          <w:szCs w:val="21"/>
        </w:rPr>
        <w:t>芦淞区文学联合会</w:t>
      </w:r>
      <w:r>
        <w:rPr>
          <w:rFonts w:hint="eastAsia" w:ascii="Times New Roman" w:hAnsi="Times New Roman" w:eastAsia="仿宋_GB2312" w:cs="Times New Roman"/>
          <w:kern w:val="0"/>
          <w:szCs w:val="21"/>
        </w:rPr>
        <w:t>没有政府性基金收入，也没有使用政府性基金安排的支出，故本表无数据</w:t>
      </w:r>
    </w:p>
    <w:p>
      <w:pPr>
        <w:widowControl/>
        <w:jc w:val="left"/>
        <w:rPr>
          <w:rFonts w:ascii="Times New Roman" w:hAnsi="Times New Roman" w:eastAsia="仿宋_GB2312" w:cs="Times New Roman"/>
          <w:kern w:val="0"/>
          <w:szCs w:val="21"/>
        </w:rPr>
      </w:pP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720" w:num="1"/>
          <w:docGrid w:type="lines" w:linePitch="312" w:charSpace="0"/>
        </w:sectPr>
      </w:pPr>
    </w:p>
    <w:p>
      <w:pPr>
        <w:pStyle w:val="10"/>
        <w:rPr>
          <w:rFonts w:ascii="宋体" w:hAnsi="宋体"/>
          <w:sz w:val="10"/>
          <w:szCs w:val="10"/>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4BAF4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styleId="1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Pages>
  <Words>7</Words>
  <Characters>21</Characters>
  <Lines>9</Lines>
  <Paragraphs>4</Paragraphs>
  <TotalTime>219</TotalTime>
  <ScaleCrop>false</ScaleCrop>
  <LinksUpToDate>false</LinksUpToDate>
  <CharactersWithSpaces>26</CharactersWithSpaces>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陈洁芳</cp:lastModifiedBy>
  <cp:lastPrinted>2020-07-15T07:25:00Z</cp:lastPrinted>
  <dcterms:modified xsi:type="dcterms:W3CDTF">2021-05-10T03:03:29Z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0E4987151F5F4857BE51651D9D861C79</vt:lpwstr>
  </property>
</Properties>
</file>