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FB" w:rsidRDefault="001E4E68">
      <w:pPr>
        <w:jc w:val="center"/>
        <w:rPr>
          <w:rFonts w:ascii="Times New Roman" w:eastAsia="仿宋_GB2312" w:hAnsi="Times New Roman" w:cs="Times New Roman"/>
          <w:bCs/>
          <w:kern w:val="44"/>
          <w:sz w:val="32"/>
          <w:szCs w:val="32"/>
        </w:rPr>
      </w:pPr>
      <w:bookmarkStart w:id="0" w:name="_GoBack"/>
      <w:bookmarkEnd w:id="0"/>
      <w:r>
        <w:rPr>
          <w:rFonts w:ascii="黑体" w:eastAsia="黑体" w:hAnsi="黑体" w:cs="黑体" w:hint="eastAsia"/>
          <w:bCs/>
          <w:kern w:val="44"/>
          <w:sz w:val="32"/>
          <w:szCs w:val="32"/>
        </w:rPr>
        <w:t>屠宰环节病害猪无害化处理补助资金</w:t>
      </w:r>
    </w:p>
    <w:p w:rsidR="002719FB" w:rsidRDefault="001E4E68">
      <w:pPr>
        <w:ind w:firstLineChars="200" w:firstLine="640"/>
        <w:rPr>
          <w:rFonts w:ascii="Times New Roman" w:eastAsia="仿宋_GB2312" w:hAnsi="Times New Roman" w:cs="Times New Roman"/>
          <w:bCs/>
          <w:kern w:val="44"/>
          <w:sz w:val="32"/>
          <w:szCs w:val="32"/>
        </w:rPr>
      </w:pPr>
      <w:r>
        <w:rPr>
          <w:rFonts w:ascii="Times New Roman" w:eastAsia="仿宋_GB2312" w:hAnsi="Times New Roman" w:cs="Times New Roman" w:hint="eastAsia"/>
          <w:bCs/>
          <w:kern w:val="44"/>
          <w:sz w:val="32"/>
          <w:szCs w:val="32"/>
        </w:rPr>
        <w:t>根据《国务院办公厅关于建立病死畜禽无害化处理机制的意见》（国办发【</w:t>
      </w:r>
      <w:r>
        <w:rPr>
          <w:rFonts w:ascii="Times New Roman" w:eastAsia="仿宋_GB2312" w:hAnsi="Times New Roman" w:cs="Times New Roman" w:hint="eastAsia"/>
          <w:bCs/>
          <w:kern w:val="44"/>
          <w:sz w:val="32"/>
          <w:szCs w:val="32"/>
        </w:rPr>
        <w:t>2014</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hint="eastAsia"/>
          <w:bCs/>
          <w:kern w:val="44"/>
          <w:sz w:val="32"/>
          <w:szCs w:val="32"/>
        </w:rPr>
        <w:t>47</w:t>
      </w:r>
      <w:r>
        <w:rPr>
          <w:rFonts w:ascii="Times New Roman" w:eastAsia="仿宋_GB2312" w:hAnsi="Times New Roman" w:cs="Times New Roman" w:hint="eastAsia"/>
          <w:bCs/>
          <w:kern w:val="44"/>
          <w:sz w:val="32"/>
          <w:szCs w:val="32"/>
        </w:rPr>
        <w:t>号）和《湖南省人民政府办公厅关于建立病死畜禽无害化处理机制的实施意见》（湘政办发【</w:t>
      </w:r>
      <w:r>
        <w:rPr>
          <w:rFonts w:ascii="Times New Roman" w:eastAsia="仿宋_GB2312" w:hAnsi="Times New Roman" w:cs="Times New Roman" w:hint="eastAsia"/>
          <w:bCs/>
          <w:kern w:val="44"/>
          <w:sz w:val="32"/>
          <w:szCs w:val="32"/>
        </w:rPr>
        <w:t>2015</w:t>
      </w:r>
      <w:r>
        <w:rPr>
          <w:rFonts w:ascii="Times New Roman" w:eastAsia="仿宋_GB2312" w:hAnsi="Times New Roman" w:cs="Times New Roman" w:hint="eastAsia"/>
          <w:bCs/>
          <w:kern w:val="44"/>
          <w:sz w:val="32"/>
          <w:szCs w:val="32"/>
        </w:rPr>
        <w:t>】</w:t>
      </w:r>
      <w:r>
        <w:rPr>
          <w:rFonts w:ascii="Times New Roman" w:eastAsia="仿宋_GB2312" w:hAnsi="Times New Roman" w:cs="Times New Roman" w:hint="eastAsia"/>
          <w:bCs/>
          <w:kern w:val="44"/>
          <w:sz w:val="32"/>
          <w:szCs w:val="32"/>
        </w:rPr>
        <w:t>103</w:t>
      </w:r>
      <w:r>
        <w:rPr>
          <w:rFonts w:ascii="Times New Roman" w:eastAsia="仿宋_GB2312" w:hAnsi="Times New Roman" w:cs="Times New Roman" w:hint="eastAsia"/>
          <w:bCs/>
          <w:kern w:val="44"/>
          <w:sz w:val="32"/>
          <w:szCs w:val="32"/>
        </w:rPr>
        <w:t>号）文件精神，按照“谁处理补贴谁，谁收集补贴谁”的原则，现将株洲市财政局下达株洲市城区屠宰环节病害猪无害化处理补助资金情况予以公示，公示期</w:t>
      </w:r>
      <w:r>
        <w:rPr>
          <w:rFonts w:ascii="Times New Roman" w:eastAsia="仿宋_GB2312" w:hAnsi="Times New Roman" w:cs="Times New Roman" w:hint="eastAsia"/>
          <w:bCs/>
          <w:kern w:val="44"/>
          <w:sz w:val="32"/>
          <w:szCs w:val="32"/>
        </w:rPr>
        <w:t>7</w:t>
      </w:r>
      <w:r>
        <w:rPr>
          <w:rFonts w:ascii="Times New Roman" w:eastAsia="仿宋_GB2312" w:hAnsi="Times New Roman" w:cs="Times New Roman" w:hint="eastAsia"/>
          <w:bCs/>
          <w:kern w:val="44"/>
          <w:sz w:val="32"/>
          <w:szCs w:val="32"/>
        </w:rPr>
        <w:t>天。举报受理单位：醴陵市畜牧水产事务中心，电话</w:t>
      </w:r>
      <w:r>
        <w:rPr>
          <w:rFonts w:ascii="Times New Roman" w:eastAsia="仿宋_GB2312" w:hAnsi="Times New Roman" w:cs="Times New Roman" w:hint="eastAsia"/>
          <w:bCs/>
          <w:kern w:val="44"/>
          <w:sz w:val="32"/>
          <w:szCs w:val="32"/>
        </w:rPr>
        <w:t>23283196.</w:t>
      </w:r>
    </w:p>
    <w:p w:rsidR="002719FB" w:rsidRDefault="001E4E68" w:rsidP="00FA7A75">
      <w:pPr>
        <w:ind w:firstLineChars="850" w:firstLine="2720"/>
        <w:rPr>
          <w:rFonts w:ascii="Times New Roman" w:eastAsia="仿宋_GB2312" w:hAnsi="Times New Roman" w:cs="Times New Roman"/>
          <w:bCs/>
          <w:kern w:val="44"/>
          <w:sz w:val="32"/>
          <w:szCs w:val="32"/>
        </w:rPr>
      </w:pPr>
      <w:r>
        <w:rPr>
          <w:rFonts w:ascii="Times New Roman" w:eastAsia="仿宋_GB2312" w:hAnsi="Times New Roman" w:cs="Times New Roman" w:hint="eastAsia"/>
          <w:bCs/>
          <w:kern w:val="44"/>
          <w:sz w:val="32"/>
          <w:szCs w:val="32"/>
        </w:rPr>
        <w:t>2020</w:t>
      </w:r>
      <w:r w:rsidR="00FA7A75">
        <w:rPr>
          <w:rFonts w:ascii="Times New Roman" w:eastAsia="仿宋_GB2312" w:hAnsi="Times New Roman" w:cs="Times New Roman" w:hint="eastAsia"/>
          <w:bCs/>
          <w:kern w:val="44"/>
          <w:sz w:val="32"/>
          <w:szCs w:val="32"/>
        </w:rPr>
        <w:t>年</w:t>
      </w:r>
      <w:r>
        <w:rPr>
          <w:rFonts w:ascii="Times New Roman" w:eastAsia="仿宋_GB2312" w:hAnsi="Times New Roman" w:cs="Times New Roman" w:hint="eastAsia"/>
          <w:bCs/>
          <w:kern w:val="44"/>
          <w:sz w:val="32"/>
          <w:szCs w:val="32"/>
        </w:rPr>
        <w:t>度屠宰环节病死猪无害化处理情况的公示表</w:t>
      </w:r>
    </w:p>
    <w:tbl>
      <w:tblPr>
        <w:tblStyle w:val="a5"/>
        <w:tblW w:w="13062" w:type="dxa"/>
        <w:jc w:val="center"/>
        <w:tblLayout w:type="fixed"/>
        <w:tblLook w:val="04A0"/>
      </w:tblPr>
      <w:tblGrid>
        <w:gridCol w:w="662"/>
        <w:gridCol w:w="2150"/>
        <w:gridCol w:w="1086"/>
        <w:gridCol w:w="2611"/>
        <w:gridCol w:w="1766"/>
        <w:gridCol w:w="1399"/>
        <w:gridCol w:w="3388"/>
      </w:tblGrid>
      <w:tr w:rsidR="002719FB">
        <w:trPr>
          <w:trHeight w:val="1078"/>
          <w:jc w:val="center"/>
        </w:trPr>
        <w:tc>
          <w:tcPr>
            <w:tcW w:w="662"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序号</w:t>
            </w:r>
          </w:p>
        </w:tc>
        <w:tc>
          <w:tcPr>
            <w:tcW w:w="2150"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无害化处理中心</w:t>
            </w:r>
          </w:p>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名</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称</w:t>
            </w:r>
          </w:p>
        </w:tc>
        <w:tc>
          <w:tcPr>
            <w:tcW w:w="1086"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w:t>
            </w:r>
          </w:p>
        </w:tc>
        <w:tc>
          <w:tcPr>
            <w:tcW w:w="2611"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负责人身份证号码</w:t>
            </w:r>
          </w:p>
        </w:tc>
        <w:tc>
          <w:tcPr>
            <w:tcW w:w="1766"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负责人电话</w:t>
            </w:r>
          </w:p>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号</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码</w:t>
            </w:r>
          </w:p>
        </w:tc>
        <w:tc>
          <w:tcPr>
            <w:tcW w:w="1399"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株洲市财政补贴金额（万元）</w:t>
            </w:r>
          </w:p>
        </w:tc>
        <w:tc>
          <w:tcPr>
            <w:tcW w:w="3388"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账</w:t>
            </w:r>
            <w:r>
              <w:rPr>
                <w:rFonts w:ascii="Times New Roman" w:eastAsia="仿宋_GB2312" w:hAnsi="Times New Roman" w:cs="Times New Roman" w:hint="eastAsia"/>
                <w:bCs/>
                <w:kern w:val="44"/>
                <w:sz w:val="24"/>
              </w:rPr>
              <w:t xml:space="preserve">  </w:t>
            </w:r>
            <w:r>
              <w:rPr>
                <w:rFonts w:ascii="Times New Roman" w:eastAsia="仿宋_GB2312" w:hAnsi="Times New Roman" w:cs="Times New Roman" w:hint="eastAsia"/>
                <w:bCs/>
                <w:kern w:val="44"/>
                <w:sz w:val="24"/>
              </w:rPr>
              <w:t>号</w:t>
            </w:r>
          </w:p>
        </w:tc>
      </w:tr>
      <w:tr w:rsidR="002719FB">
        <w:trPr>
          <w:jc w:val="center"/>
        </w:trPr>
        <w:tc>
          <w:tcPr>
            <w:tcW w:w="662"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1</w:t>
            </w:r>
          </w:p>
        </w:tc>
        <w:tc>
          <w:tcPr>
            <w:tcW w:w="2150"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醴陵百奥迈斯生物科技有限公司</w:t>
            </w:r>
          </w:p>
        </w:tc>
        <w:tc>
          <w:tcPr>
            <w:tcW w:w="1086"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2611"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1766"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w:t>
            </w:r>
          </w:p>
        </w:tc>
        <w:tc>
          <w:tcPr>
            <w:tcW w:w="1399"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23.86</w:t>
            </w:r>
          </w:p>
        </w:tc>
        <w:tc>
          <w:tcPr>
            <w:tcW w:w="3388" w:type="dxa"/>
            <w:vAlign w:val="center"/>
          </w:tcPr>
          <w:p w:rsidR="002719FB" w:rsidRDefault="001E4E68">
            <w:pPr>
              <w:jc w:val="center"/>
              <w:rPr>
                <w:rFonts w:ascii="Times New Roman" w:eastAsia="仿宋_GB2312" w:hAnsi="Times New Roman" w:cs="Times New Roman"/>
                <w:bCs/>
                <w:kern w:val="44"/>
                <w:sz w:val="24"/>
              </w:rPr>
            </w:pPr>
            <w:r>
              <w:rPr>
                <w:rFonts w:ascii="Times New Roman" w:eastAsia="仿宋_GB2312" w:hAnsi="Times New Roman" w:cs="Times New Roman" w:hint="eastAsia"/>
                <w:bCs/>
                <w:kern w:val="44"/>
                <w:sz w:val="24"/>
              </w:rPr>
              <w:t>43050162663600000162</w:t>
            </w:r>
          </w:p>
        </w:tc>
      </w:tr>
    </w:tbl>
    <w:p w:rsidR="002719FB" w:rsidRDefault="002719FB">
      <w:pPr>
        <w:rPr>
          <w:rFonts w:ascii="Times New Roman" w:eastAsia="仿宋_GB2312" w:hAnsi="Times New Roman" w:cs="Times New Roman"/>
          <w:bCs/>
          <w:kern w:val="44"/>
          <w:sz w:val="32"/>
          <w:szCs w:val="32"/>
        </w:rPr>
      </w:pPr>
    </w:p>
    <w:p w:rsidR="002719FB" w:rsidRDefault="002719FB">
      <w:pPr>
        <w:rPr>
          <w:rFonts w:ascii="Times New Roman" w:eastAsia="仿宋_GB2312" w:hAnsi="Times New Roman" w:cs="Times New Roman"/>
          <w:bCs/>
          <w:kern w:val="44"/>
          <w:sz w:val="32"/>
          <w:szCs w:val="32"/>
        </w:rPr>
      </w:pPr>
    </w:p>
    <w:sectPr w:rsidR="002719FB" w:rsidSect="002719FB">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E68" w:rsidRDefault="001E4E68" w:rsidP="002719FB">
      <w:r>
        <w:separator/>
      </w:r>
    </w:p>
  </w:endnote>
  <w:endnote w:type="continuationSeparator" w:id="0">
    <w:p w:rsidR="001E4E68" w:rsidRDefault="001E4E68" w:rsidP="002719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E68" w:rsidRDefault="001E4E68" w:rsidP="002719FB">
      <w:r>
        <w:separator/>
      </w:r>
    </w:p>
  </w:footnote>
  <w:footnote w:type="continuationSeparator" w:id="0">
    <w:p w:rsidR="001E4E68" w:rsidRDefault="001E4E68" w:rsidP="002719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9FB"/>
    <w:rsid w:val="001E4E68"/>
    <w:rsid w:val="002719FB"/>
    <w:rsid w:val="0032401E"/>
    <w:rsid w:val="00FA7A75"/>
    <w:rsid w:val="02192D4A"/>
    <w:rsid w:val="031D43E8"/>
    <w:rsid w:val="052F6F73"/>
    <w:rsid w:val="066F07BB"/>
    <w:rsid w:val="08BE1B42"/>
    <w:rsid w:val="09B06C93"/>
    <w:rsid w:val="0EB97F98"/>
    <w:rsid w:val="137218BC"/>
    <w:rsid w:val="138A3170"/>
    <w:rsid w:val="139A2832"/>
    <w:rsid w:val="13D977B0"/>
    <w:rsid w:val="17A25539"/>
    <w:rsid w:val="17C70521"/>
    <w:rsid w:val="1896076E"/>
    <w:rsid w:val="18CE7239"/>
    <w:rsid w:val="1A897793"/>
    <w:rsid w:val="1C1A7B05"/>
    <w:rsid w:val="1DFD1EAB"/>
    <w:rsid w:val="1EAD234A"/>
    <w:rsid w:val="1EF728F8"/>
    <w:rsid w:val="1F323E4F"/>
    <w:rsid w:val="1FE565B3"/>
    <w:rsid w:val="221D2C3D"/>
    <w:rsid w:val="22E76221"/>
    <w:rsid w:val="23341EBF"/>
    <w:rsid w:val="23690ABF"/>
    <w:rsid w:val="24DE1A0F"/>
    <w:rsid w:val="250365CE"/>
    <w:rsid w:val="26A404ED"/>
    <w:rsid w:val="27654DC8"/>
    <w:rsid w:val="27C37C66"/>
    <w:rsid w:val="282C2F01"/>
    <w:rsid w:val="289B5161"/>
    <w:rsid w:val="2935208A"/>
    <w:rsid w:val="2988280B"/>
    <w:rsid w:val="29B255CD"/>
    <w:rsid w:val="2B455634"/>
    <w:rsid w:val="2BEF39BF"/>
    <w:rsid w:val="2C6D02EF"/>
    <w:rsid w:val="2D316CE4"/>
    <w:rsid w:val="2E4F0380"/>
    <w:rsid w:val="2EC72B4A"/>
    <w:rsid w:val="2F4267FA"/>
    <w:rsid w:val="31986EEB"/>
    <w:rsid w:val="31CA310E"/>
    <w:rsid w:val="3279659B"/>
    <w:rsid w:val="33424B51"/>
    <w:rsid w:val="36CC7E3A"/>
    <w:rsid w:val="38007A6D"/>
    <w:rsid w:val="38E46F68"/>
    <w:rsid w:val="39611F8B"/>
    <w:rsid w:val="3A3C4D73"/>
    <w:rsid w:val="3A3C78EE"/>
    <w:rsid w:val="3A4A1BE6"/>
    <w:rsid w:val="3A750300"/>
    <w:rsid w:val="3A9F0FBF"/>
    <w:rsid w:val="3AEB5424"/>
    <w:rsid w:val="3F5A6AF2"/>
    <w:rsid w:val="41DA5DAF"/>
    <w:rsid w:val="448D10B1"/>
    <w:rsid w:val="449A7133"/>
    <w:rsid w:val="44B97CEA"/>
    <w:rsid w:val="462561CE"/>
    <w:rsid w:val="49715C0A"/>
    <w:rsid w:val="4D8D52A8"/>
    <w:rsid w:val="4DEB3638"/>
    <w:rsid w:val="4E606710"/>
    <w:rsid w:val="4F484F23"/>
    <w:rsid w:val="4F5170A8"/>
    <w:rsid w:val="4FBB672B"/>
    <w:rsid w:val="516F4798"/>
    <w:rsid w:val="526158A1"/>
    <w:rsid w:val="551128E0"/>
    <w:rsid w:val="55A66C15"/>
    <w:rsid w:val="56346119"/>
    <w:rsid w:val="564E7509"/>
    <w:rsid w:val="566B50E8"/>
    <w:rsid w:val="57463DCB"/>
    <w:rsid w:val="579507F9"/>
    <w:rsid w:val="59294674"/>
    <w:rsid w:val="5A486D18"/>
    <w:rsid w:val="5C732AB0"/>
    <w:rsid w:val="5C8C3CB2"/>
    <w:rsid w:val="5CBB4B07"/>
    <w:rsid w:val="5CF24E06"/>
    <w:rsid w:val="5D0907C2"/>
    <w:rsid w:val="5D4A64E3"/>
    <w:rsid w:val="5E300B93"/>
    <w:rsid w:val="5F6C3114"/>
    <w:rsid w:val="613974B5"/>
    <w:rsid w:val="62335FB7"/>
    <w:rsid w:val="64B858ED"/>
    <w:rsid w:val="669E7436"/>
    <w:rsid w:val="66CA0EEF"/>
    <w:rsid w:val="67FA1326"/>
    <w:rsid w:val="6AB3481B"/>
    <w:rsid w:val="6D6D17B5"/>
    <w:rsid w:val="704F6FF6"/>
    <w:rsid w:val="71CB44CB"/>
    <w:rsid w:val="735D2903"/>
    <w:rsid w:val="73D62C8F"/>
    <w:rsid w:val="748F4A35"/>
    <w:rsid w:val="74B35A91"/>
    <w:rsid w:val="760D6A20"/>
    <w:rsid w:val="76677731"/>
    <w:rsid w:val="76A811C2"/>
    <w:rsid w:val="782E5AEC"/>
    <w:rsid w:val="79510B20"/>
    <w:rsid w:val="7BAE7277"/>
    <w:rsid w:val="7C0C673F"/>
    <w:rsid w:val="7D392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9F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719FB"/>
    <w:pPr>
      <w:tabs>
        <w:tab w:val="center" w:pos="4153"/>
        <w:tab w:val="right" w:pos="8306"/>
      </w:tabs>
      <w:snapToGrid w:val="0"/>
      <w:jc w:val="left"/>
    </w:pPr>
    <w:rPr>
      <w:sz w:val="18"/>
    </w:rPr>
  </w:style>
  <w:style w:type="paragraph" w:styleId="a4">
    <w:name w:val="header"/>
    <w:basedOn w:val="a"/>
    <w:qFormat/>
    <w:rsid w:val="002719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2719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2021-05-08T03:39:00Z</cp:lastPrinted>
  <dcterms:created xsi:type="dcterms:W3CDTF">2021-06-07T03:46:00Z</dcterms:created>
  <dcterms:modified xsi:type="dcterms:W3CDTF">2021-06-07T03:46:00Z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DFB27E8AF90F4D87B8612CA9C0BBDB65</vt:lpwstr>
  </property>
</Properties>
</file>