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部门：株洲市芦淞区人民代表大会常务委员会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5"/>
        <w:tblW w:w="14061" w:type="dxa"/>
        <w:jc w:val="center"/>
        <w:tblLayout w:type="fixed"/>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656.84</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664.24</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6.69</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663.53</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664.24</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10.91</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10.21</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674.44</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674.44</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株洲市芦淞区人民代表大会常务委员会</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3638" w:type="dxa"/>
        <w:jc w:val="center"/>
        <w:tblLayout w:type="fixed"/>
        <w:tblCellMar>
          <w:top w:w="0" w:type="dxa"/>
          <w:left w:w="108" w:type="dxa"/>
          <w:bottom w:w="0" w:type="dxa"/>
          <w:right w:w="108" w:type="dxa"/>
        </w:tblCellMar>
      </w:tblPr>
      <w:tblGrid>
        <w:gridCol w:w="1182"/>
        <w:gridCol w:w="1173"/>
        <w:gridCol w:w="1655"/>
        <w:gridCol w:w="1575"/>
        <w:gridCol w:w="1655"/>
        <w:gridCol w:w="1364"/>
        <w:gridCol w:w="1394"/>
        <w:gridCol w:w="1655"/>
        <w:gridCol w:w="1985"/>
      </w:tblGrid>
      <w:tr>
        <w:tblPrEx>
          <w:tblCellMar>
            <w:top w:w="0" w:type="dxa"/>
            <w:left w:w="108" w:type="dxa"/>
            <w:bottom w:w="0" w:type="dxa"/>
            <w:right w:w="108" w:type="dxa"/>
          </w:tblCellMar>
        </w:tblPrEx>
        <w:trPr>
          <w:trHeight w:val="90" w:hRule="atLeast"/>
          <w:jc w:val="center"/>
        </w:trPr>
        <w:tc>
          <w:tcPr>
            <w:tcW w:w="2355"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5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7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5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64"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394"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5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1985"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312" w:hRule="atLeast"/>
          <w:jc w:val="center"/>
        </w:trPr>
        <w:tc>
          <w:tcPr>
            <w:tcW w:w="1182"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17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5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7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5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6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9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5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985"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182"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17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5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7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5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6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9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5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985"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90" w:hRule="atLeast"/>
          <w:jc w:val="center"/>
        </w:trPr>
        <w:tc>
          <w:tcPr>
            <w:tcW w:w="2355"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5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5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6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5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985"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90" w:hRule="atLeast"/>
          <w:jc w:val="center"/>
        </w:trPr>
        <w:tc>
          <w:tcPr>
            <w:tcW w:w="2355"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663.53</w:t>
            </w:r>
          </w:p>
        </w:tc>
        <w:tc>
          <w:tcPr>
            <w:tcW w:w="15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656.84</w:t>
            </w:r>
          </w:p>
        </w:tc>
        <w:tc>
          <w:tcPr>
            <w:tcW w:w="16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0.00</w:t>
            </w:r>
          </w:p>
        </w:tc>
        <w:tc>
          <w:tcPr>
            <w:tcW w:w="13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0.00</w:t>
            </w:r>
          </w:p>
        </w:tc>
        <w:tc>
          <w:tcPr>
            <w:tcW w:w="16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0.00</w:t>
            </w:r>
          </w:p>
        </w:tc>
        <w:tc>
          <w:tcPr>
            <w:tcW w:w="1985"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6.69</w:t>
            </w:r>
          </w:p>
        </w:tc>
      </w:tr>
      <w:tr>
        <w:tblPrEx>
          <w:tblCellMar>
            <w:top w:w="0" w:type="dxa"/>
            <w:left w:w="108" w:type="dxa"/>
            <w:bottom w:w="0" w:type="dxa"/>
            <w:right w:w="108" w:type="dxa"/>
          </w:tblCellMar>
        </w:tblPrEx>
        <w:trPr>
          <w:trHeight w:val="90" w:hRule="atLeast"/>
          <w:jc w:val="center"/>
        </w:trPr>
        <w:tc>
          <w:tcPr>
            <w:tcW w:w="1182"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w:t>
            </w:r>
          </w:p>
        </w:tc>
        <w:tc>
          <w:tcPr>
            <w:tcW w:w="11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一般公共服务支出</w:t>
            </w:r>
          </w:p>
        </w:tc>
        <w:tc>
          <w:tcPr>
            <w:tcW w:w="16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663.53</w:t>
            </w:r>
          </w:p>
        </w:tc>
        <w:tc>
          <w:tcPr>
            <w:tcW w:w="15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656.84</w:t>
            </w:r>
          </w:p>
        </w:tc>
        <w:tc>
          <w:tcPr>
            <w:tcW w:w="16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985"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6.69</w:t>
            </w:r>
          </w:p>
        </w:tc>
      </w:tr>
      <w:tr>
        <w:tblPrEx>
          <w:tblCellMar>
            <w:top w:w="0" w:type="dxa"/>
            <w:left w:w="108" w:type="dxa"/>
            <w:bottom w:w="0" w:type="dxa"/>
            <w:right w:w="108" w:type="dxa"/>
          </w:tblCellMar>
        </w:tblPrEx>
        <w:trPr>
          <w:trHeight w:val="90" w:hRule="atLeast"/>
          <w:jc w:val="center"/>
        </w:trPr>
        <w:tc>
          <w:tcPr>
            <w:tcW w:w="1182"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20101</w:t>
            </w:r>
          </w:p>
        </w:tc>
        <w:tc>
          <w:tcPr>
            <w:tcW w:w="11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人大事务</w:t>
            </w:r>
          </w:p>
        </w:tc>
        <w:tc>
          <w:tcPr>
            <w:tcW w:w="16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277.27</w:t>
            </w:r>
          </w:p>
        </w:tc>
        <w:tc>
          <w:tcPr>
            <w:tcW w:w="15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270.57</w:t>
            </w:r>
          </w:p>
        </w:tc>
        <w:tc>
          <w:tcPr>
            <w:tcW w:w="16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985"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6.69</w:t>
            </w:r>
          </w:p>
        </w:tc>
      </w:tr>
      <w:tr>
        <w:tblPrEx>
          <w:tblCellMar>
            <w:top w:w="0" w:type="dxa"/>
            <w:left w:w="108" w:type="dxa"/>
            <w:bottom w:w="0" w:type="dxa"/>
            <w:right w:w="108" w:type="dxa"/>
          </w:tblCellMar>
        </w:tblPrEx>
        <w:trPr>
          <w:trHeight w:val="90" w:hRule="atLeast"/>
          <w:jc w:val="center"/>
        </w:trPr>
        <w:tc>
          <w:tcPr>
            <w:tcW w:w="1182"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2010101</w:t>
            </w:r>
          </w:p>
        </w:tc>
        <w:tc>
          <w:tcPr>
            <w:tcW w:w="11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16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159.90</w:t>
            </w:r>
          </w:p>
        </w:tc>
        <w:tc>
          <w:tcPr>
            <w:tcW w:w="15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153.21</w:t>
            </w:r>
          </w:p>
        </w:tc>
        <w:tc>
          <w:tcPr>
            <w:tcW w:w="16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985"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6.69</w:t>
            </w:r>
          </w:p>
        </w:tc>
      </w:tr>
      <w:tr>
        <w:tblPrEx>
          <w:tblCellMar>
            <w:top w:w="0" w:type="dxa"/>
            <w:left w:w="108" w:type="dxa"/>
            <w:bottom w:w="0" w:type="dxa"/>
            <w:right w:w="108" w:type="dxa"/>
          </w:tblCellMar>
        </w:tblPrEx>
        <w:trPr>
          <w:trHeight w:val="90" w:hRule="atLeast"/>
          <w:jc w:val="center"/>
        </w:trPr>
        <w:tc>
          <w:tcPr>
            <w:tcW w:w="1182"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2010102</w:t>
            </w:r>
          </w:p>
        </w:tc>
        <w:tc>
          <w:tcPr>
            <w:tcW w:w="11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6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64.06</w:t>
            </w:r>
          </w:p>
        </w:tc>
        <w:tc>
          <w:tcPr>
            <w:tcW w:w="15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64.06</w:t>
            </w:r>
          </w:p>
        </w:tc>
        <w:tc>
          <w:tcPr>
            <w:tcW w:w="16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985"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90" w:hRule="atLeast"/>
          <w:jc w:val="center"/>
        </w:trPr>
        <w:tc>
          <w:tcPr>
            <w:tcW w:w="1182"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2010199</w:t>
            </w:r>
          </w:p>
        </w:tc>
        <w:tc>
          <w:tcPr>
            <w:tcW w:w="11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其他人大事务支出</w:t>
            </w:r>
          </w:p>
        </w:tc>
        <w:tc>
          <w:tcPr>
            <w:tcW w:w="16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53.30</w:t>
            </w:r>
          </w:p>
        </w:tc>
        <w:tc>
          <w:tcPr>
            <w:tcW w:w="15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53.30</w:t>
            </w:r>
          </w:p>
        </w:tc>
        <w:tc>
          <w:tcPr>
            <w:tcW w:w="16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985"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90" w:hRule="atLeast"/>
          <w:jc w:val="center"/>
        </w:trPr>
        <w:tc>
          <w:tcPr>
            <w:tcW w:w="1182"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20106</w:t>
            </w:r>
          </w:p>
        </w:tc>
        <w:tc>
          <w:tcPr>
            <w:tcW w:w="11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财政事务</w:t>
            </w:r>
          </w:p>
        </w:tc>
        <w:tc>
          <w:tcPr>
            <w:tcW w:w="16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355.38</w:t>
            </w:r>
          </w:p>
        </w:tc>
        <w:tc>
          <w:tcPr>
            <w:tcW w:w="15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355.38</w:t>
            </w:r>
          </w:p>
        </w:tc>
        <w:tc>
          <w:tcPr>
            <w:tcW w:w="16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985"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90" w:hRule="atLeast"/>
          <w:jc w:val="center"/>
        </w:trPr>
        <w:tc>
          <w:tcPr>
            <w:tcW w:w="1182"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2010601</w:t>
            </w:r>
          </w:p>
        </w:tc>
        <w:tc>
          <w:tcPr>
            <w:tcW w:w="11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16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355.38</w:t>
            </w:r>
          </w:p>
        </w:tc>
        <w:tc>
          <w:tcPr>
            <w:tcW w:w="15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355.38</w:t>
            </w:r>
          </w:p>
        </w:tc>
        <w:tc>
          <w:tcPr>
            <w:tcW w:w="16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985"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90" w:hRule="atLeast"/>
          <w:jc w:val="center"/>
        </w:trPr>
        <w:tc>
          <w:tcPr>
            <w:tcW w:w="1182"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20199</w:t>
            </w:r>
          </w:p>
        </w:tc>
        <w:tc>
          <w:tcPr>
            <w:tcW w:w="11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其他一般公共服务支出</w:t>
            </w:r>
          </w:p>
        </w:tc>
        <w:tc>
          <w:tcPr>
            <w:tcW w:w="16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30.88</w:t>
            </w:r>
          </w:p>
        </w:tc>
        <w:tc>
          <w:tcPr>
            <w:tcW w:w="15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30.88</w:t>
            </w:r>
          </w:p>
        </w:tc>
        <w:tc>
          <w:tcPr>
            <w:tcW w:w="16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985"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90" w:hRule="atLeast"/>
          <w:jc w:val="center"/>
        </w:trPr>
        <w:tc>
          <w:tcPr>
            <w:tcW w:w="1182"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2019999</w:t>
            </w:r>
          </w:p>
        </w:tc>
        <w:tc>
          <w:tcPr>
            <w:tcW w:w="11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其他一般公共服务支出</w:t>
            </w:r>
          </w:p>
        </w:tc>
        <w:tc>
          <w:tcPr>
            <w:tcW w:w="16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30.88</w:t>
            </w:r>
          </w:p>
        </w:tc>
        <w:tc>
          <w:tcPr>
            <w:tcW w:w="15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30.88</w:t>
            </w:r>
          </w:p>
        </w:tc>
        <w:tc>
          <w:tcPr>
            <w:tcW w:w="16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6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985"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90" w:hRule="atLeast"/>
          <w:jc w:val="center"/>
        </w:trPr>
        <w:tc>
          <w:tcPr>
            <w:tcW w:w="13638"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部门： </w:t>
      </w:r>
      <w:r>
        <w:rPr>
          <w:rFonts w:hint="eastAsia" w:ascii="Times New Roman" w:hAnsi="Times New Roman" w:eastAsia="仿宋_GB2312" w:cs="Times New Roman"/>
          <w:color w:val="000000"/>
          <w:kern w:val="0"/>
          <w:szCs w:val="21"/>
        </w:rPr>
        <w:t>株洲市芦淞区人民代表大会常务委员会</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公开03表                  </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5"/>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7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24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4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664.24</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600.17</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64.06</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一般公共服务支出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664.24</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600.17</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64.06</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20101</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人大事务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277.97</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213.91</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64.06</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2010101</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160.61</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160.61</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2010102</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64.06</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64.06</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2010199</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其他人大事务支出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53.30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53.30</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20106</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财政事务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355.38</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355.38</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2010601</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355.38</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355.38</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20199</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其他一般公共服务支出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30.88</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30.88</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2019999</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其他一般公共服务支出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30.88</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30.88</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株洲市芦淞区人民代表大会常务委员会</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5"/>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656.84</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656.84</w:t>
            </w:r>
          </w:p>
        </w:tc>
        <w:tc>
          <w:tcPr>
            <w:tcW w:w="166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656.84</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656.84</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656.84</w:t>
            </w:r>
          </w:p>
        </w:tc>
        <w:tc>
          <w:tcPr>
            <w:tcW w:w="166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656.84</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656.84</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656.84</w:t>
            </w:r>
          </w:p>
        </w:tc>
        <w:tc>
          <w:tcPr>
            <w:tcW w:w="166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656.84</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株洲市芦淞区人民代表大会常务委员会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fixed"/>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656.84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592.77</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2"/>
                <w:szCs w:val="22"/>
                <w:u w:val="none"/>
                <w:lang w:val="en-US" w:eastAsia="zh-CN" w:bidi="ar"/>
              </w:rPr>
              <w:t>64.06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656.84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592.77</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64.06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人大事务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270.57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206.51</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64.06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2010101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153.21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153.21</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2010102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64.06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64.06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2010199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其他人大事务支出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53.30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53.30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财政事务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355.38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355.38</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2010601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355.38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355.38</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30.88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30.88</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2019999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其他一般公共服务支出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30.88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30.88</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株洲市芦淞区人民代表大会常务委员会</w:t>
      </w:r>
      <w:r>
        <w:rPr>
          <w:rFonts w:ascii="Times New Roman" w:hAnsi="Times New Roman" w:eastAsia="仿宋_GB2312" w:cs="Times New Roman"/>
          <w:color w:val="000000"/>
          <w:kern w:val="0"/>
          <w:szCs w:val="21"/>
        </w:rPr>
        <w:t xml:space="preserve">                                                                                                 公开06表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381.95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86.97</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131.64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11.81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103.53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2.39</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39.73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3.00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3.87</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0.24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3.87</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44.32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1.40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30.47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5.04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32.27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119.98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25.27</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76.94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0.55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31.31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2.00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13.20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8.40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2"/>
                <w:szCs w:val="22"/>
                <w:u w:val="none"/>
                <w:lang w:val="en-US" w:eastAsia="zh-CN" w:bidi="ar"/>
              </w:rPr>
              <w:t>10.00</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2"/>
                <w:szCs w:val="22"/>
                <w:u w:val="none"/>
                <w:lang w:val="en-US" w:eastAsia="zh-CN" w:bidi="ar"/>
              </w:rPr>
              <w:t>1.72</w:t>
            </w: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2"/>
                <w:szCs w:val="22"/>
                <w:u w:val="none"/>
                <w:lang w:val="en-US" w:eastAsia="zh-CN" w:bidi="ar"/>
              </w:rPr>
              <w:t>1.45</w:t>
            </w: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2"/>
                <w:szCs w:val="22"/>
                <w:u w:val="none"/>
                <w:lang w:val="en-US" w:eastAsia="zh-CN" w:bidi="ar"/>
              </w:rPr>
              <w:t>12.22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2"/>
                <w:szCs w:val="22"/>
                <w:u w:val="none"/>
                <w:lang w:val="en-US" w:eastAsia="zh-CN" w:bidi="ar"/>
              </w:rPr>
              <w:t>501.93</w:t>
            </w:r>
          </w:p>
        </w:tc>
        <w:tc>
          <w:tcPr>
            <w:tcW w:w="9733"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90.84</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株洲市芦淞区人民代表大会常务委员会</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 xml:space="preserve">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23.00 </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0.00 </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0.00 </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0.00 </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0.00 </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23.00 </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0.55 </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0.00 </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0.00 </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0.00 </w:t>
            </w:r>
          </w:p>
        </w:tc>
        <w:tc>
          <w:tcPr>
            <w:tcW w:w="1220" w:type="dxa"/>
            <w:tcBorders>
              <w:top w:val="nil"/>
              <w:left w:val="nil"/>
              <w:bottom w:val="single" w:color="auto" w:sz="8" w:space="0"/>
              <w:right w:val="nil"/>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0.00 </w:t>
            </w:r>
          </w:p>
        </w:tc>
        <w:tc>
          <w:tcPr>
            <w:tcW w:w="1220"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0.55 </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center"/>
        <w:rPr>
          <w:rFonts w:ascii="Times New Roman" w:hAnsi="Times New Roman" w:eastAsia="仿宋_GB2312" w:cs="Times New Roman"/>
          <w:color w:val="000000"/>
          <w:kern w:val="0"/>
          <w:szCs w:val="21"/>
        </w:rPr>
      </w:pPr>
      <w:bookmarkStart w:id="2" w:name="_GoBack"/>
      <w:bookmarkEnd w:id="2"/>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株洲市芦淞区人民代表大会常务委员会</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无</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hint="eastAsia" w:ascii="Times New Roman" w:hAnsi="Times New Roman" w:eastAsia="仿宋_GB2312" w:cs="Times New Roman"/>
          <w:kern w:val="0"/>
          <w:szCs w:val="21"/>
        </w:rPr>
        <w:sectPr>
          <w:pgSz w:w="16838" w:h="11906" w:orient="landscape"/>
          <w:pgMar w:top="720" w:right="720" w:bottom="720" w:left="720" w:header="851" w:footer="992" w:gutter="0"/>
          <w:cols w:space="425" w:num="1"/>
          <w:docGrid w:type="lines" w:linePitch="312" w:charSpace="0"/>
        </w:sect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p>
    <w:p>
      <w:pPr>
        <w:pStyle w:val="9"/>
        <w:rPr>
          <w:rFonts w:hint="eastAsia" w:asciiTheme="minorEastAsia" w:hAnsiTheme="minorEastAsia"/>
          <w:sz w:val="10"/>
          <w:szCs w:val="10"/>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3A6638"/>
    <w:rsid w:val="004506F9"/>
    <w:rsid w:val="004717A2"/>
    <w:rsid w:val="00491741"/>
    <w:rsid w:val="00500E5F"/>
    <w:rsid w:val="005122EF"/>
    <w:rsid w:val="00517C33"/>
    <w:rsid w:val="00523644"/>
    <w:rsid w:val="0054069E"/>
    <w:rsid w:val="005767CC"/>
    <w:rsid w:val="00581826"/>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52EDD"/>
    <w:rsid w:val="00967F5D"/>
    <w:rsid w:val="009A0F95"/>
    <w:rsid w:val="009B3ADF"/>
    <w:rsid w:val="009C3B52"/>
    <w:rsid w:val="00A42218"/>
    <w:rsid w:val="00A70249"/>
    <w:rsid w:val="00B33BEA"/>
    <w:rsid w:val="00B57C9F"/>
    <w:rsid w:val="00B8234C"/>
    <w:rsid w:val="00B845B3"/>
    <w:rsid w:val="00B85D8B"/>
    <w:rsid w:val="00BE3674"/>
    <w:rsid w:val="00C3049A"/>
    <w:rsid w:val="00C31B1E"/>
    <w:rsid w:val="00C35D07"/>
    <w:rsid w:val="00C77645"/>
    <w:rsid w:val="00CE04C3"/>
    <w:rsid w:val="00CE76A0"/>
    <w:rsid w:val="00D148C6"/>
    <w:rsid w:val="00DD06FF"/>
    <w:rsid w:val="00DD5FE9"/>
    <w:rsid w:val="00E00C7A"/>
    <w:rsid w:val="00E55B68"/>
    <w:rsid w:val="00F74360"/>
    <w:rsid w:val="00FB462F"/>
    <w:rsid w:val="00FE16FA"/>
    <w:rsid w:val="00FE328A"/>
    <w:rsid w:val="113A10DB"/>
    <w:rsid w:val="1FC83C98"/>
    <w:rsid w:val="22AD7C28"/>
    <w:rsid w:val="27344C14"/>
    <w:rsid w:val="2C0E02F3"/>
    <w:rsid w:val="32CF534A"/>
    <w:rsid w:val="41817FE8"/>
    <w:rsid w:val="4A715D3B"/>
    <w:rsid w:val="52296594"/>
    <w:rsid w:val="57A96D62"/>
    <w:rsid w:val="5C584D3B"/>
    <w:rsid w:val="60CE7F32"/>
    <w:rsid w:val="653D459E"/>
    <w:rsid w:val="77AB0286"/>
    <w:rsid w:val="7A0D0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A8A403-F25F-42E4-BB2C-02A5E3FD7BE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727</Words>
  <Characters>4146</Characters>
  <Lines>34</Lines>
  <Paragraphs>9</Paragraphs>
  <TotalTime>0</TotalTime>
  <ScaleCrop>false</ScaleCrop>
  <LinksUpToDate>false</LinksUpToDate>
  <CharactersWithSpaces>4864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2021-05-06T09:39:00Z</dcterms:created>
  <dc:creator>李航 null</dc:creator>
  <cp:lastModifiedBy>Administrator</cp:lastModifiedBy>
  <cp:lastPrinted>2020-07-15T07:25:00Z</cp:lastPrinted>
  <dcterms:modified xsi:type="dcterms:W3CDTF">2021-05-14T08:32:34Z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910B24728F4749DDA7C530B8928EC2F6</vt:lpwstr>
  </property>
</Properties>
</file>