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firstLine="1050" w:firstLineChars="5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wordWrap w:val="0"/>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6"/>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432.58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color w:val="000000"/>
                <w:kern w:val="0"/>
                <w:sz w:val="21"/>
                <w:szCs w:val="21"/>
                <w:u w:val="none"/>
                <w:lang w:val="en-US" w:eastAsia="zh-CN" w:bidi="ar"/>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color w:val="000000"/>
                <w:kern w:val="0"/>
                <w:sz w:val="21"/>
                <w:szCs w:val="21"/>
                <w:u w:val="none"/>
                <w:lang w:val="en-US" w:eastAsia="zh-CN" w:bidi="ar"/>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2.38 </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color w:val="000000"/>
                <w:kern w:val="0"/>
                <w:sz w:val="21"/>
                <w:szCs w:val="21"/>
                <w:u w:val="none"/>
                <w:lang w:val="en-US" w:eastAsia="zh-CN" w:bidi="ar"/>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十四、资源勘探信息等支出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1,906.40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 xml:space="preserve"> 1,906.40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1.32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1.32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1,907.72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 xml:space="preserve"> 1,907.72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株洲市芦淞区科技和工业信息化局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Ind w:w="0" w:type="dxa"/>
        <w:tblLayout w:type="fixed"/>
        <w:tblCellMar>
          <w:top w:w="0" w:type="dxa"/>
          <w:left w:w="108" w:type="dxa"/>
          <w:bottom w:w="0" w:type="dxa"/>
          <w:right w:w="108" w:type="dxa"/>
        </w:tblCellMar>
      </w:tblPr>
      <w:tblGrid>
        <w:gridCol w:w="1491"/>
        <w:gridCol w:w="3541"/>
        <w:gridCol w:w="1260"/>
        <w:gridCol w:w="1335"/>
        <w:gridCol w:w="975"/>
        <w:gridCol w:w="1110"/>
        <w:gridCol w:w="1425"/>
        <w:gridCol w:w="1320"/>
        <w:gridCol w:w="1356"/>
      </w:tblGrid>
      <w:tr>
        <w:tblPrEx>
          <w:tblLayout w:type="fixed"/>
          <w:tblCellMar>
            <w:top w:w="0" w:type="dxa"/>
            <w:left w:w="108" w:type="dxa"/>
            <w:bottom w:w="0" w:type="dxa"/>
            <w:right w:w="108" w:type="dxa"/>
          </w:tblCellMar>
        </w:tblPrEx>
        <w:trPr>
          <w:trHeight w:val="450" w:hRule="atLeast"/>
          <w:jc w:val="center"/>
        </w:trPr>
        <w:tc>
          <w:tcPr>
            <w:tcW w:w="503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3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97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1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3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356"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491"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54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491"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354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6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9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6"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032"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35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5032"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1,906.40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2.38 </w:t>
            </w: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5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432.58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430.20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2.38 </w:t>
            </w: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5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423.94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421.56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2.38 </w:t>
            </w: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5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223.16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220.78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2.38 </w:t>
            </w: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5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200.78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200.78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54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2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33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97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招商引资</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教育支出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其他教育支出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其他教育支出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170.82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170.82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23.32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23.32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173.06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173.06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148.30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148.30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2150599</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其他工业和信息产业监管支出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24.76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24.76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21508</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4.78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4.78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450" w:hRule="atLeast"/>
          <w:jc w:val="center"/>
        </w:trPr>
        <w:tc>
          <w:tcPr>
            <w:tcW w:w="1491"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354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26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4.78 </w:t>
            </w:r>
          </w:p>
        </w:tc>
        <w:tc>
          <w:tcPr>
            <w:tcW w:w="133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4.78 </w:t>
            </w:r>
          </w:p>
        </w:tc>
        <w:tc>
          <w:tcPr>
            <w:tcW w:w="97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11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425"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20"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13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株洲市芦淞区科技和工业信息化局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1"/>
        <w:gridCol w:w="3309"/>
        <w:gridCol w:w="1320"/>
        <w:gridCol w:w="1095"/>
        <w:gridCol w:w="1170"/>
        <w:gridCol w:w="1611"/>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2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09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17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61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30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30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2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0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0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7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1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600"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1,906.40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273.94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1,632.46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432.58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238.49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194.09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423.94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236.24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187.70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223.16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223.16 </w:t>
            </w:r>
          </w:p>
        </w:tc>
        <w:tc>
          <w:tcPr>
            <w:tcW w:w="1170" w:type="dxa"/>
            <w:shd w:val="clear" w:color="auto" w:fill="auto"/>
            <w:vAlign w:val="center"/>
          </w:tcPr>
          <w:p>
            <w:pPr>
              <w:jc w:val="right"/>
              <w:rPr>
                <w:rFonts w:hint="eastAsia" w:ascii="仿宋" w:hAnsi="仿宋" w:eastAsia="仿宋" w:cs="仿宋"/>
                <w:kern w:val="0"/>
                <w:sz w:val="21"/>
                <w:szCs w:val="21"/>
              </w:rPr>
            </w:pP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200.78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13.08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187.70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170" w:type="dxa"/>
            <w:shd w:val="clear" w:color="auto" w:fill="auto"/>
            <w:vAlign w:val="center"/>
          </w:tcPr>
          <w:p>
            <w:pPr>
              <w:jc w:val="right"/>
              <w:rPr>
                <w:rFonts w:hint="eastAsia" w:ascii="仿宋" w:hAnsi="仿宋" w:eastAsia="仿宋" w:cs="仿宋"/>
                <w:kern w:val="0"/>
                <w:sz w:val="21"/>
                <w:szCs w:val="21"/>
              </w:rPr>
            </w:pP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1170" w:type="dxa"/>
            <w:shd w:val="clear" w:color="auto" w:fill="auto"/>
            <w:vAlign w:val="center"/>
          </w:tcPr>
          <w:p>
            <w:pPr>
              <w:jc w:val="right"/>
              <w:rPr>
                <w:rFonts w:hint="eastAsia" w:ascii="仿宋" w:hAnsi="仿宋" w:eastAsia="仿宋" w:cs="仿宋"/>
                <w:kern w:val="0"/>
                <w:sz w:val="21"/>
                <w:szCs w:val="21"/>
              </w:rPr>
            </w:pP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1.61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招商引资</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1.61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教育支出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其他教育支出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其他教育支出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33.89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1,229.10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170.82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23.26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147.56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23.32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23.26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0.06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10.63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629.54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10.63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629.54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其他科学技术支出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095" w:type="dxa"/>
            <w:shd w:val="clear" w:color="auto" w:fill="auto"/>
            <w:vAlign w:val="center"/>
          </w:tcPr>
          <w:p>
            <w:pPr>
              <w:jc w:val="right"/>
              <w:rPr>
                <w:rFonts w:hint="eastAsia" w:ascii="仿宋" w:hAnsi="仿宋" w:eastAsia="仿宋" w:cs="仿宋"/>
                <w:kern w:val="0"/>
                <w:sz w:val="21"/>
                <w:szCs w:val="21"/>
              </w:rPr>
            </w:pP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1.56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176.28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173.06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1.49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171.57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148.30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0.05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148.25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2150599</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其他工业和信息产业监管支出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24.76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1.44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23.33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21508</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4.78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0.07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4.71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9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3309"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132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4.78 </w:t>
            </w:r>
          </w:p>
        </w:tc>
        <w:tc>
          <w:tcPr>
            <w:tcW w:w="10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0.07 </w:t>
            </w:r>
          </w:p>
        </w:tc>
        <w:tc>
          <w:tcPr>
            <w:tcW w:w="11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4.71 </w:t>
            </w:r>
          </w:p>
        </w:tc>
        <w:tc>
          <w:tcPr>
            <w:tcW w:w="1611"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98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2308"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株洲市芦淞区科技和工业信息化局</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430.20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430.20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jc w:val="right"/>
              <w:rPr>
                <w:rFonts w:hint="eastAsia" w:ascii="仿宋" w:hAnsi="仿宋" w:eastAsia="仿宋" w:cs="仿宋"/>
                <w:kern w:val="0"/>
                <w:sz w:val="21"/>
                <w:szCs w:val="21"/>
              </w:rPr>
            </w:pPr>
          </w:p>
        </w:tc>
        <w:tc>
          <w:tcPr>
            <w:tcW w:w="1660" w:type="dxa"/>
            <w:shd w:val="clear" w:color="auto" w:fill="auto"/>
            <w:vAlign w:val="center"/>
          </w:tcPr>
          <w:p>
            <w:pPr>
              <w:jc w:val="right"/>
              <w:rPr>
                <w:rFonts w:hint="eastAsia" w:ascii="仿宋" w:hAnsi="仿宋" w:eastAsia="仿宋" w:cs="仿宋"/>
                <w:kern w:val="0"/>
                <w:sz w:val="21"/>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jc w:val="right"/>
              <w:rPr>
                <w:rFonts w:hint="eastAsia" w:ascii="仿宋" w:hAnsi="仿宋" w:eastAsia="仿宋" w:cs="仿宋"/>
                <w:kern w:val="0"/>
                <w:sz w:val="21"/>
                <w:szCs w:val="21"/>
              </w:rPr>
            </w:pPr>
          </w:p>
        </w:tc>
        <w:tc>
          <w:tcPr>
            <w:tcW w:w="1660" w:type="dxa"/>
            <w:shd w:val="clear" w:color="auto" w:fill="auto"/>
            <w:vAlign w:val="center"/>
          </w:tcPr>
          <w:p>
            <w:pPr>
              <w:jc w:val="right"/>
              <w:rPr>
                <w:rFonts w:hint="eastAsia" w:ascii="仿宋" w:hAnsi="仿宋" w:eastAsia="仿宋" w:cs="仿宋"/>
                <w:kern w:val="0"/>
                <w:sz w:val="21"/>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jc w:val="right"/>
              <w:rPr>
                <w:rFonts w:hint="eastAsia" w:ascii="仿宋" w:hAnsi="仿宋" w:eastAsia="仿宋" w:cs="仿宋"/>
                <w:kern w:val="0"/>
                <w:sz w:val="21"/>
                <w:szCs w:val="21"/>
              </w:rPr>
            </w:pPr>
          </w:p>
        </w:tc>
        <w:tc>
          <w:tcPr>
            <w:tcW w:w="1660" w:type="dxa"/>
            <w:shd w:val="clear" w:color="auto" w:fill="auto"/>
            <w:vAlign w:val="center"/>
          </w:tcPr>
          <w:p>
            <w:pPr>
              <w:jc w:val="right"/>
              <w:rPr>
                <w:rFonts w:hint="eastAsia" w:ascii="仿宋" w:hAnsi="仿宋" w:eastAsia="仿宋" w:cs="仿宋"/>
                <w:kern w:val="0"/>
                <w:sz w:val="21"/>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jc w:val="right"/>
              <w:rPr>
                <w:rFonts w:hint="eastAsia" w:ascii="仿宋" w:hAnsi="仿宋" w:eastAsia="仿宋" w:cs="仿宋"/>
                <w:kern w:val="0"/>
                <w:sz w:val="21"/>
                <w:szCs w:val="21"/>
              </w:rPr>
            </w:pPr>
          </w:p>
        </w:tc>
        <w:tc>
          <w:tcPr>
            <w:tcW w:w="1660" w:type="dxa"/>
            <w:shd w:val="clear" w:color="auto" w:fill="auto"/>
            <w:vAlign w:val="center"/>
          </w:tcPr>
          <w:p>
            <w:pPr>
              <w:jc w:val="right"/>
              <w:rPr>
                <w:rFonts w:hint="eastAsia" w:ascii="仿宋" w:hAnsi="仿宋" w:eastAsia="仿宋" w:cs="仿宋"/>
                <w:kern w:val="0"/>
                <w:sz w:val="21"/>
                <w:szCs w:val="21"/>
              </w:rPr>
            </w:pP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jc w:val="left"/>
              <w:rPr>
                <w:rFonts w:hint="eastAsia" w:ascii="仿宋" w:hAnsi="仿宋" w:eastAsia="仿宋" w:cs="仿宋"/>
                <w:kern w:val="0"/>
                <w:sz w:val="21"/>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jc w:val="right"/>
              <w:rPr>
                <w:rFonts w:hint="eastAsia" w:ascii="仿宋" w:hAnsi="仿宋" w:eastAsia="仿宋" w:cs="仿宋"/>
                <w:kern w:val="0"/>
                <w:sz w:val="21"/>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60" w:type="dxa"/>
            <w:shd w:val="clear" w:color="auto" w:fill="auto"/>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株洲市芦淞区科技和工业信息化局</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Ind w:w="0" w:type="dxa"/>
        <w:tblLayout w:type="fixed"/>
        <w:tblCellMar>
          <w:top w:w="0" w:type="dxa"/>
          <w:left w:w="108" w:type="dxa"/>
          <w:bottom w:w="0" w:type="dxa"/>
          <w:right w:w="108" w:type="dxa"/>
        </w:tblCellMar>
      </w:tblPr>
      <w:tblGrid>
        <w:gridCol w:w="1410"/>
        <w:gridCol w:w="331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41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3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41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1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41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1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1,904.02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271.56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1,632.46 </w:t>
            </w:r>
          </w:p>
        </w:tc>
      </w:tr>
      <w:tr>
        <w:tblPrEx>
          <w:tblLayout w:type="fixed"/>
          <w:tblCellMar>
            <w:top w:w="0" w:type="dxa"/>
            <w:left w:w="108" w:type="dxa"/>
            <w:bottom w:w="0" w:type="dxa"/>
            <w:right w:w="108" w:type="dxa"/>
          </w:tblCellMar>
        </w:tblPrEx>
        <w:trPr>
          <w:trHeight w:val="465"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430.20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236.11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194.09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421.56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233.86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187.70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220.78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220.78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200.78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13.08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187.70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0.64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1.61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2011308</w:t>
            </w:r>
          </w:p>
        </w:tc>
        <w:tc>
          <w:tcPr>
            <w:tcW w:w="33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招商引资</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1.61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5.00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教育支出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其他教育支出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2059999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其他教育支出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32.99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1,262.99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33.89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1,229.10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170.82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23.26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147.56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23.32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23.26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0.06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2060102</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8.00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139.50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科技重大项目</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10.63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629.54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2060901</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科技重大专项</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640.17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10.63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629.54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20699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452.00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i w:val="0"/>
                <w:color w:val="000000"/>
                <w:kern w:val="0"/>
                <w:sz w:val="21"/>
                <w:szCs w:val="21"/>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452.00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2069999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452.00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资源勘探信息等支出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177.84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1.56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176.28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工业和信息产业监管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173.06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1.49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171.57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2150502</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148.30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0.05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148.25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2150599</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其他工业和信息产业监管支出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24.76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1.44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23.33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4.78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0.07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4.71 </w:t>
            </w:r>
          </w:p>
        </w:tc>
      </w:tr>
      <w:tr>
        <w:tblPrEx>
          <w:tblLayout w:type="fixed"/>
          <w:tblCellMar>
            <w:top w:w="0" w:type="dxa"/>
            <w:left w:w="108" w:type="dxa"/>
            <w:bottom w:w="0" w:type="dxa"/>
            <w:right w:w="108" w:type="dxa"/>
          </w:tblCellMar>
        </w:tblPrEx>
        <w:trPr>
          <w:trHeight w:val="450" w:hRule="atLeast"/>
          <w:jc w:val="center"/>
        </w:trPr>
        <w:tc>
          <w:tcPr>
            <w:tcW w:w="141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2150805</w:t>
            </w:r>
          </w:p>
        </w:tc>
        <w:tc>
          <w:tcPr>
            <w:tcW w:w="331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中小企业发展专项</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4.78 </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0.07 </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4.71 </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190.75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43.78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47.04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3.48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45.93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58.17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14.02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7.59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0.59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1.95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13.21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0.11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37.03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0.49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14.15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7.14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7.56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0.48</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0.1</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8.46</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7.57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227.78</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43.78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0.50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0.50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0.49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0.00 </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0.49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株洲市芦淞区科技和工业信息化局</w:t>
      </w:r>
      <w:r>
        <w:rPr>
          <w:rFonts w:ascii="Times New Roman" w:hAnsi="Times New Roman" w:eastAsia="仿宋_GB2312" w:cs="Times New Roman"/>
          <w:color w:val="000000"/>
          <w:kern w:val="0"/>
          <w:szCs w:val="21"/>
        </w:rPr>
        <w:t xml:space="preserve">                                                                                          公开08表</w:t>
      </w:r>
      <w:r>
        <w:rPr>
          <w:rFonts w:hint="eastAsia" w:ascii="Times New Roman" w:hAnsi="Times New Roman" w:eastAsia="仿宋_GB2312" w:cs="Times New Roman"/>
          <w:color w:val="000000"/>
          <w:kern w:val="0"/>
          <w:szCs w:val="21"/>
          <w:lang w:val="en-US" w:eastAsia="zh-CN"/>
        </w:rPr>
        <w:t xml:space="preserve">  </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bookmarkStart w:id="2" w:name="_GoBack"/>
      <w:bookmarkEnd w:id="2"/>
    </w:p>
    <w:tbl>
      <w:tblPr>
        <w:tblStyle w:val="6"/>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b w:val="0"/>
                <w:bCs/>
                <w:kern w:val="0"/>
                <w:sz w:val="21"/>
                <w:szCs w:val="21"/>
              </w:rPr>
            </w:pPr>
            <w:r>
              <w:rPr>
                <w:rFonts w:hint="eastAsia" w:ascii="仿宋" w:hAnsi="仿宋" w:eastAsia="仿宋" w:cs="仿宋"/>
                <w:b w:val="0"/>
                <w:bCs/>
                <w:i w:val="0"/>
                <w:color w:val="000000"/>
                <w:kern w:val="0"/>
                <w:sz w:val="21"/>
                <w:szCs w:val="21"/>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本单位无政府性基金收支</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2F85E82"/>
    <w:rsid w:val="0F896384"/>
    <w:rsid w:val="10E34348"/>
    <w:rsid w:val="118C0F91"/>
    <w:rsid w:val="16381B86"/>
    <w:rsid w:val="1E5D55E4"/>
    <w:rsid w:val="20276677"/>
    <w:rsid w:val="21B36188"/>
    <w:rsid w:val="2239408B"/>
    <w:rsid w:val="24B022DA"/>
    <w:rsid w:val="27645BA3"/>
    <w:rsid w:val="2B2A2B23"/>
    <w:rsid w:val="2C6A0C80"/>
    <w:rsid w:val="307F121B"/>
    <w:rsid w:val="364C2D06"/>
    <w:rsid w:val="36A07711"/>
    <w:rsid w:val="3B9F5294"/>
    <w:rsid w:val="3F323C03"/>
    <w:rsid w:val="4C1C2126"/>
    <w:rsid w:val="56D9405A"/>
    <w:rsid w:val="60762ED7"/>
    <w:rsid w:val="69C6129E"/>
    <w:rsid w:val="6B763384"/>
    <w:rsid w:val="7116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uiPriority w:val="99"/>
    <w:rPr>
      <w:sz w:val="18"/>
      <w:szCs w:val="18"/>
    </w:rPr>
  </w:style>
  <w:style w:type="character" w:customStyle="1" w:styleId="8">
    <w:name w:val="页脚 字符"/>
    <w:basedOn w:val="5"/>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ScaleCrop>false</ScaleCrop>
  <LinksUpToDate>false</LinksUpToDate>
  <CharactersWithSpaces>4864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2021-05-08T12:38:08Z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