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5"/>
        <w:tblW w:w="13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2"/>
        <w:gridCol w:w="694"/>
        <w:gridCol w:w="1213"/>
        <w:gridCol w:w="4771"/>
        <w:gridCol w:w="694"/>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8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13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1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77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694"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1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77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1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一、一般公共服务支出</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14</w:t>
            </w:r>
          </w:p>
        </w:tc>
        <w:tc>
          <w:tcPr>
            <w:tcW w:w="166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258.14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二、外交支出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15</w:t>
            </w:r>
          </w:p>
        </w:tc>
        <w:tc>
          <w:tcPr>
            <w:tcW w:w="1665"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三、国防支出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16</w:t>
            </w:r>
          </w:p>
        </w:tc>
        <w:tc>
          <w:tcPr>
            <w:tcW w:w="1665"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四、公共安全支出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17</w:t>
            </w:r>
          </w:p>
        </w:tc>
        <w:tc>
          <w:tcPr>
            <w:tcW w:w="1665"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五、教育支出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18</w:t>
            </w:r>
          </w:p>
        </w:tc>
        <w:tc>
          <w:tcPr>
            <w:tcW w:w="1665"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19</w:t>
            </w:r>
          </w:p>
        </w:tc>
        <w:tc>
          <w:tcPr>
            <w:tcW w:w="166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13"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6.47</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lang w:eastAsia="zh-CN"/>
              </w:rPr>
              <w:t>九、</w:t>
            </w:r>
            <w:r>
              <w:rPr>
                <w:rFonts w:hint="eastAsia" w:ascii="仿宋_GB2312" w:hAnsi="仿宋_GB2312" w:eastAsia="仿宋_GB2312" w:cs="仿宋_GB2312"/>
                <w:b w:val="0"/>
                <w:bCs w:val="0"/>
                <w:kern w:val="0"/>
                <w:szCs w:val="21"/>
                <w:lang w:val="en-US" w:eastAsia="zh-CN"/>
              </w:rPr>
              <w:t>卫生健康</w:t>
            </w:r>
            <w:r>
              <w:rPr>
                <w:rFonts w:hint="eastAsia" w:ascii="仿宋_GB2312" w:hAnsi="仿宋_GB2312" w:eastAsia="仿宋_GB2312" w:cs="仿宋_GB2312"/>
                <w:b w:val="0"/>
                <w:bCs w:val="0"/>
                <w:kern w:val="0"/>
                <w:szCs w:val="21"/>
              </w:rPr>
              <w:t>支出</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20</w:t>
            </w:r>
          </w:p>
        </w:tc>
        <w:tc>
          <w:tcPr>
            <w:tcW w:w="166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1634.31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13"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kern w:val="0"/>
                <w:szCs w:val="21"/>
                <w:lang w:val="en-US" w:eastAsia="zh-CN"/>
              </w:rPr>
            </w:pP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lang w:val="en-US"/>
              </w:rPr>
            </w:pP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21</w:t>
            </w:r>
          </w:p>
        </w:tc>
        <w:tc>
          <w:tcPr>
            <w:tcW w:w="166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1892.53</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本年支出合计</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22</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1892.45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结余分配</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23</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年末结转和结余</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24</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13"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kern w:val="0"/>
                <w:szCs w:val="21"/>
              </w:rPr>
            </w:pP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25</w:t>
            </w:r>
          </w:p>
        </w:tc>
        <w:tc>
          <w:tcPr>
            <w:tcW w:w="1665"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1892.53</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总计</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26</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1892.53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both"/>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 xml:space="preserve">                                 </w:t>
      </w:r>
      <w:r>
        <w:rPr>
          <w:rFonts w:ascii="Times New Roman" w:hAnsi="Times New Roman" w:eastAsia="方正小标宋_GBK" w:cs="Times New Roman"/>
          <w:color w:val="000000"/>
          <w:kern w:val="0"/>
          <w:sz w:val="36"/>
          <w:szCs w:val="36"/>
        </w:rPr>
        <w:t>收入决算表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公开</w:t>
      </w:r>
      <w:r>
        <w:rPr>
          <w:rFonts w:ascii="Times New Roman" w:hAnsi="Times New Roman" w:eastAsia="仿宋_GB2312" w:cs="Times New Roman"/>
          <w:color w:val="000000"/>
          <w:kern w:val="0"/>
          <w:szCs w:val="21"/>
        </w:rPr>
        <w:t xml:space="preserve"> 02表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38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565"/>
        <w:gridCol w:w="1380"/>
        <w:gridCol w:w="1680"/>
        <w:gridCol w:w="1425"/>
        <w:gridCol w:w="1455"/>
        <w:gridCol w:w="1380"/>
        <w:gridCol w:w="1590"/>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3645" w:type="dxa"/>
            <w:gridSpan w:val="2"/>
            <w:tcBorders>
              <w:top w:val="single" w:color="auto" w:sz="8" w:space="0"/>
              <w:left w:val="single" w:color="auto" w:sz="8" w:space="0"/>
              <w:bottom w:val="single" w:color="auto" w:sz="4" w:space="0"/>
              <w:right w:val="nil"/>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8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68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42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45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38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59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25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vMerge w:val="restart"/>
            <w:tcBorders>
              <w:top w:val="single" w:color="auto" w:sz="4" w:space="0"/>
              <w:left w:val="single" w:color="auto" w:sz="8" w:space="0"/>
              <w:bottom w:val="single" w:color="000000" w:sz="4" w:space="0"/>
              <w:right w:val="nil"/>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65"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80"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56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45"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8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2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5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58"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645"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i w:val="0"/>
                <w:color w:val="000000"/>
                <w:kern w:val="0"/>
                <w:sz w:val="24"/>
                <w:szCs w:val="24"/>
                <w:u w:val="none"/>
                <w:lang w:val="en-US" w:eastAsia="zh-CN" w:bidi="ar-SA"/>
              </w:rPr>
              <w:t>合计</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1892.53 </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1886.06 </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0.00 </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0.00 </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0.00 </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0.00 </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4"/>
                <w:szCs w:val="24"/>
                <w:u w:val="none"/>
                <w:lang w:val="en-US" w:eastAsia="zh-CN" w:bidi="ar-SA"/>
              </w:rPr>
              <w:t xml:space="preserve">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201 </w:t>
            </w:r>
          </w:p>
        </w:tc>
        <w:tc>
          <w:tcPr>
            <w:tcW w:w="256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一般公共服务支出</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258.14</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258.14</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20103 </w:t>
            </w:r>
          </w:p>
        </w:tc>
        <w:tc>
          <w:tcPr>
            <w:tcW w:w="2565" w:type="dxa"/>
            <w:tcBorders>
              <w:top w:val="nil"/>
              <w:left w:val="nil"/>
              <w:bottom w:val="single" w:color="auto" w:sz="4" w:space="0"/>
              <w:right w:val="single" w:color="auto" w:sz="4" w:space="0"/>
            </w:tcBorders>
            <w:shd w:val="clear" w:color="auto" w:fill="auto"/>
            <w:vAlign w:val="center"/>
          </w:tcPr>
          <w:p>
            <w:pPr>
              <w:widowControl/>
              <w:ind w:firstLine="220" w:firstLineChars="100"/>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政府办公厅（室）及相关机构事务</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257.68</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257.68</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2010301 </w:t>
            </w:r>
          </w:p>
        </w:tc>
        <w:tc>
          <w:tcPr>
            <w:tcW w:w="256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行政运行</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254.38</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254.38</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2010399 </w:t>
            </w:r>
          </w:p>
        </w:tc>
        <w:tc>
          <w:tcPr>
            <w:tcW w:w="256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其他政府办公厅（室）及相关机构事务支出</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3.30</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3.30</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20106 </w:t>
            </w:r>
          </w:p>
        </w:tc>
        <w:tc>
          <w:tcPr>
            <w:tcW w:w="2565"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财政事务</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2010601 </w:t>
            </w:r>
          </w:p>
        </w:tc>
        <w:tc>
          <w:tcPr>
            <w:tcW w:w="2565"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行政运行</w:t>
            </w:r>
          </w:p>
        </w:tc>
        <w:tc>
          <w:tcPr>
            <w:tcW w:w="13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6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42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8"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 </w:t>
            </w:r>
          </w:p>
        </w:tc>
        <w:tc>
          <w:tcPr>
            <w:tcW w:w="2565"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卫生健康支出</w:t>
            </w:r>
          </w:p>
        </w:tc>
        <w:tc>
          <w:tcPr>
            <w:tcW w:w="13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1,634.39</w:t>
            </w:r>
          </w:p>
        </w:tc>
        <w:tc>
          <w:tcPr>
            <w:tcW w:w="16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1,627.92</w:t>
            </w:r>
          </w:p>
        </w:tc>
        <w:tc>
          <w:tcPr>
            <w:tcW w:w="142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8"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21001 </w:t>
            </w:r>
          </w:p>
        </w:tc>
        <w:tc>
          <w:tcPr>
            <w:tcW w:w="2565" w:type="dxa"/>
            <w:tcBorders>
              <w:top w:val="nil"/>
              <w:left w:val="nil"/>
              <w:bottom w:val="single" w:color="auto" w:sz="4" w:space="0"/>
              <w:right w:val="single" w:color="auto" w:sz="4" w:space="0"/>
            </w:tcBorders>
            <w:shd w:val="clear" w:color="auto" w:fill="auto"/>
            <w:vAlign w:val="center"/>
          </w:tcPr>
          <w:p>
            <w:pPr>
              <w:widowControl/>
              <w:ind w:firstLine="220" w:firstLineChars="100"/>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卫生健康管理事务</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6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42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2100101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行政运行</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21003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20" w:firstLineChars="100"/>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基层医疗卫生机构</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2100301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城市社区卫生机构</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21004 </w:t>
            </w:r>
          </w:p>
        </w:tc>
        <w:tc>
          <w:tcPr>
            <w:tcW w:w="2565" w:type="dxa"/>
            <w:tcBorders>
              <w:top w:val="single" w:color="auto" w:sz="4" w:space="0"/>
              <w:left w:val="nil"/>
              <w:bottom w:val="single" w:color="auto" w:sz="4" w:space="0"/>
              <w:right w:val="single" w:color="auto" w:sz="4" w:space="0"/>
            </w:tcBorders>
            <w:shd w:val="clear" w:color="auto" w:fill="auto"/>
            <w:vAlign w:val="center"/>
          </w:tcPr>
          <w:p>
            <w:pPr>
              <w:widowControl/>
              <w:ind w:firstLine="220" w:firstLineChars="100"/>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公共卫生</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1,547.36</w:t>
            </w:r>
          </w:p>
        </w:tc>
        <w:tc>
          <w:tcPr>
            <w:tcW w:w="168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1,540.89</w:t>
            </w:r>
          </w:p>
        </w:tc>
        <w:tc>
          <w:tcPr>
            <w:tcW w:w="1425"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2100401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疾病预防控制机构</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1,398.88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1,392.41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2100408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基本公共卫生服务</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0.91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0.91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2100409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 xml:space="preserve">   重大公共卫生专项</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144.57</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144.57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2100499 </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 xml:space="preserve">   其他公共卫生支出</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3.00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 xml:space="preserve">0.00 </w:t>
            </w:r>
          </w:p>
        </w:tc>
      </w:tr>
    </w:tbl>
    <w:p>
      <w:pPr>
        <w:widowControl/>
        <w:jc w:val="left"/>
        <w:rPr>
          <w:rFonts w:ascii="Times New Roman" w:hAnsi="Times New Roman" w:eastAsia="黑体" w:cs="Times New Roman"/>
          <w:bCs/>
          <w:kern w:val="0"/>
          <w:sz w:val="32"/>
          <w:szCs w:val="32"/>
        </w:rPr>
      </w:pPr>
      <w:r>
        <w:rPr>
          <w:rFonts w:ascii="Times New Roman" w:hAnsi="Times New Roman" w:eastAsia="仿宋_GB2312" w:cs="Times New Roman"/>
          <w:kern w:val="0"/>
          <w:szCs w:val="21"/>
        </w:rPr>
        <w:t>注：本表反映部门本年度取得的各项收入情况。</w:t>
      </w:r>
    </w:p>
    <w:p>
      <w:pPr>
        <w:widowControl/>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 xml:space="preserve">                                   </w:t>
      </w:r>
      <w:r>
        <w:rPr>
          <w:rFonts w:ascii="Times New Roman" w:hAnsi="Times New Roman" w:eastAsia="方正小标宋_GBK" w:cs="Times New Roman"/>
          <w:color w:val="000000"/>
          <w:kern w:val="0"/>
          <w:sz w:val="36"/>
          <w:szCs w:val="36"/>
        </w:rPr>
        <w:t>支出决算表</w:t>
      </w:r>
    </w:p>
    <w:p>
      <w:pPr>
        <w:widowControl/>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5"/>
        <w:tblW w:w="13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3701"/>
        <w:gridCol w:w="1545"/>
        <w:gridCol w:w="1605"/>
        <w:gridCol w:w="1605"/>
        <w:gridCol w:w="1515"/>
        <w:gridCol w:w="1267"/>
        <w:gridCol w:w="13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4803"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4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0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0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51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267"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380"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701"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4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515" w:type="dxa"/>
            <w:vMerge w:val="continue"/>
            <w:vAlign w:val="center"/>
          </w:tcPr>
          <w:p>
            <w:pPr>
              <w:widowControl/>
              <w:jc w:val="left"/>
              <w:rPr>
                <w:rFonts w:ascii="Times New Roman" w:hAnsi="Times New Roman" w:eastAsia="仿宋_GB2312" w:cs="Times New Roman"/>
                <w:kern w:val="0"/>
                <w:szCs w:val="21"/>
              </w:rPr>
            </w:pPr>
          </w:p>
        </w:tc>
        <w:tc>
          <w:tcPr>
            <w:tcW w:w="1267" w:type="dxa"/>
            <w:vMerge w:val="continue"/>
            <w:vAlign w:val="center"/>
          </w:tcPr>
          <w:p>
            <w:pPr>
              <w:widowControl/>
              <w:jc w:val="left"/>
              <w:rPr>
                <w:rFonts w:ascii="Times New Roman" w:hAnsi="Times New Roman" w:eastAsia="仿宋_GB2312" w:cs="Times New Roman"/>
                <w:kern w:val="0"/>
                <w:szCs w:val="21"/>
              </w:rPr>
            </w:pPr>
          </w:p>
        </w:tc>
        <w:tc>
          <w:tcPr>
            <w:tcW w:w="138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02" w:type="dxa"/>
            <w:vMerge w:val="continue"/>
            <w:vAlign w:val="center"/>
          </w:tcPr>
          <w:p>
            <w:pPr>
              <w:widowControl/>
              <w:jc w:val="left"/>
              <w:rPr>
                <w:rFonts w:ascii="Times New Roman" w:hAnsi="Times New Roman" w:eastAsia="仿宋_GB2312" w:cs="Times New Roman"/>
                <w:kern w:val="0"/>
                <w:szCs w:val="21"/>
              </w:rPr>
            </w:pPr>
          </w:p>
        </w:tc>
        <w:tc>
          <w:tcPr>
            <w:tcW w:w="3701" w:type="dxa"/>
            <w:vMerge w:val="continue"/>
            <w:vAlign w:val="center"/>
          </w:tcPr>
          <w:p>
            <w:pPr>
              <w:widowControl/>
              <w:jc w:val="left"/>
              <w:rPr>
                <w:rFonts w:ascii="Times New Roman" w:hAnsi="Times New Roman" w:eastAsia="仿宋_GB2312" w:cs="Times New Roman"/>
                <w:kern w:val="0"/>
                <w:szCs w:val="21"/>
              </w:rPr>
            </w:pPr>
          </w:p>
        </w:tc>
        <w:tc>
          <w:tcPr>
            <w:tcW w:w="154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515" w:type="dxa"/>
            <w:vMerge w:val="continue"/>
            <w:vAlign w:val="center"/>
          </w:tcPr>
          <w:p>
            <w:pPr>
              <w:widowControl/>
              <w:jc w:val="left"/>
              <w:rPr>
                <w:rFonts w:ascii="Times New Roman" w:hAnsi="Times New Roman" w:eastAsia="仿宋_GB2312" w:cs="Times New Roman"/>
                <w:kern w:val="0"/>
                <w:szCs w:val="21"/>
              </w:rPr>
            </w:pPr>
          </w:p>
        </w:tc>
        <w:tc>
          <w:tcPr>
            <w:tcW w:w="1267" w:type="dxa"/>
            <w:vMerge w:val="continue"/>
            <w:vAlign w:val="center"/>
          </w:tcPr>
          <w:p>
            <w:pPr>
              <w:widowControl/>
              <w:jc w:val="left"/>
              <w:rPr>
                <w:rFonts w:ascii="Times New Roman" w:hAnsi="Times New Roman" w:eastAsia="仿宋_GB2312" w:cs="Times New Roman"/>
                <w:kern w:val="0"/>
                <w:szCs w:val="21"/>
              </w:rPr>
            </w:pPr>
          </w:p>
        </w:tc>
        <w:tc>
          <w:tcPr>
            <w:tcW w:w="138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4803"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4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0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0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1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6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4803" w:type="dxa"/>
            <w:gridSpan w:val="2"/>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合计</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1892.45</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1604.41</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288.04</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201</w:t>
            </w:r>
          </w:p>
        </w:tc>
        <w:tc>
          <w:tcPr>
            <w:tcW w:w="3701" w:type="dxa"/>
            <w:shd w:val="clear" w:color="auto" w:fill="auto"/>
            <w:vAlign w:val="center"/>
          </w:tcPr>
          <w:p>
            <w:pPr>
              <w:widowControl/>
              <w:jc w:val="left"/>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一般公共服务支出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258.14</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258.14</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20103</w:t>
            </w:r>
          </w:p>
        </w:tc>
        <w:tc>
          <w:tcPr>
            <w:tcW w:w="3701" w:type="dxa"/>
            <w:shd w:val="clear" w:color="auto" w:fill="auto"/>
            <w:vAlign w:val="center"/>
          </w:tcPr>
          <w:p>
            <w:pPr>
              <w:widowControl/>
              <w:jc w:val="center"/>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政府办公厅（室）及相关机构事务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257.68</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257.68</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2010301</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254.38</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254.38</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2010399</w:t>
            </w:r>
          </w:p>
        </w:tc>
        <w:tc>
          <w:tcPr>
            <w:tcW w:w="3701" w:type="dxa"/>
            <w:shd w:val="clear" w:color="auto" w:fill="auto"/>
            <w:vAlign w:val="center"/>
          </w:tcPr>
          <w:p>
            <w:pPr>
              <w:widowControl/>
              <w:jc w:val="left"/>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其他政府办公厅（室）及相关机构事务支出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3.30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3.30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20106</w:t>
            </w:r>
          </w:p>
        </w:tc>
        <w:tc>
          <w:tcPr>
            <w:tcW w:w="3701" w:type="dxa"/>
            <w:shd w:val="clear" w:color="auto" w:fill="auto"/>
            <w:vAlign w:val="center"/>
          </w:tcPr>
          <w:p>
            <w:pPr>
              <w:widowControl/>
              <w:ind w:firstLine="440" w:firstLineChars="2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财政事务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2010601</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w:t>
            </w:r>
          </w:p>
        </w:tc>
        <w:tc>
          <w:tcPr>
            <w:tcW w:w="3701" w:type="dxa"/>
            <w:shd w:val="clear" w:color="auto" w:fill="auto"/>
            <w:vAlign w:val="center"/>
          </w:tcPr>
          <w:p>
            <w:pPr>
              <w:widowControl/>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卫生健康支出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1,634.31</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1,346.27</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288.04</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21001</w:t>
            </w:r>
          </w:p>
        </w:tc>
        <w:tc>
          <w:tcPr>
            <w:tcW w:w="3701" w:type="dxa"/>
            <w:shd w:val="clear" w:color="auto" w:fill="auto"/>
            <w:vAlign w:val="center"/>
          </w:tcPr>
          <w:p>
            <w:pPr>
              <w:widowControl/>
              <w:ind w:firstLine="440" w:firstLineChars="2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卫生健康管理事务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2100101</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21003</w:t>
            </w:r>
          </w:p>
        </w:tc>
        <w:tc>
          <w:tcPr>
            <w:tcW w:w="3701" w:type="dxa"/>
            <w:shd w:val="clear" w:color="auto" w:fill="auto"/>
            <w:vAlign w:val="center"/>
          </w:tcPr>
          <w:p>
            <w:pPr>
              <w:widowControl/>
              <w:ind w:firstLine="440" w:firstLineChars="2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基层医疗卫生机构</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2100301</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城市社区卫生机构</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21004</w:t>
            </w:r>
          </w:p>
        </w:tc>
        <w:tc>
          <w:tcPr>
            <w:tcW w:w="3701" w:type="dxa"/>
            <w:shd w:val="clear" w:color="auto" w:fill="auto"/>
            <w:vAlign w:val="center"/>
          </w:tcPr>
          <w:p>
            <w:pPr>
              <w:widowControl/>
              <w:ind w:firstLine="440" w:firstLineChars="2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公共卫生</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1,547.28</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1,259.24</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288.04</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2100401</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疾病预防控制机构</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1,398.80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1,258.80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140.00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2100408</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基本公共卫生服务</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0.91</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0.91</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2100409</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重大公共卫生专项</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144.57</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0.44</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144.13</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2100499</w:t>
            </w:r>
          </w:p>
        </w:tc>
        <w:tc>
          <w:tcPr>
            <w:tcW w:w="3701" w:type="dxa"/>
            <w:shd w:val="clear" w:color="auto" w:fill="auto"/>
            <w:vAlign w:val="center"/>
          </w:tcPr>
          <w:p>
            <w:pPr>
              <w:widowControl/>
              <w:ind w:firstLine="660" w:firstLineChars="300"/>
              <w:jc w:val="both"/>
              <w:textAlignment w:val="center"/>
              <w:rPr>
                <w:rFonts w:hint="eastAsia" w:ascii="仿宋_GB2312" w:hAnsi="仿宋_GB2312" w:eastAsia="仿宋_GB2312" w:cs="仿宋_GB2312"/>
                <w:b w:val="0"/>
                <w:bCs/>
                <w:kern w:val="0"/>
                <w:szCs w:val="21"/>
              </w:rPr>
            </w:pPr>
            <w:r>
              <w:rPr>
                <w:rFonts w:hint="eastAsia" w:ascii="仿宋_GB2312" w:hAnsi="仿宋_GB2312" w:eastAsia="仿宋_GB2312" w:cs="仿宋_GB2312"/>
                <w:i w:val="0"/>
                <w:color w:val="000000"/>
                <w:kern w:val="0"/>
                <w:sz w:val="22"/>
                <w:szCs w:val="22"/>
                <w:u w:val="none"/>
                <w:lang w:val="en-US" w:eastAsia="zh-CN" w:bidi="ar-SA"/>
              </w:rPr>
              <w:t>其他公共卫生支出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3.00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60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3.00</w:t>
            </w:r>
          </w:p>
        </w:tc>
        <w:tc>
          <w:tcPr>
            <w:tcW w:w="1515"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auto"/>
        <w:ind w:left="91" w:right="630" w:firstLine="420"/>
        <w:jc w:val="right"/>
        <w:rPr>
          <w:rFonts w:hint="eastAsia" w:ascii="Times New Roman" w:hAnsi="Times New Roman" w:eastAsia="仿宋_GB2312" w:cs="Times New Roman"/>
          <w:color w:val="000000"/>
          <w:kern w:val="0"/>
          <w:sz w:val="20"/>
          <w:szCs w:val="20"/>
          <w:lang w:val="en-US" w:eastAsia="zh-CN"/>
        </w:rPr>
      </w:pPr>
    </w:p>
    <w:p>
      <w:pPr>
        <w:widowControl/>
        <w:tabs>
          <w:tab w:val="left" w:pos="4453"/>
          <w:tab w:val="left" w:pos="4933"/>
          <w:tab w:val="left" w:pos="6813"/>
          <w:tab w:val="left" w:pos="11113"/>
          <w:tab w:val="left" w:pos="11549"/>
          <w:tab w:val="left" w:pos="13429"/>
          <w:tab w:val="left" w:pos="15089"/>
        </w:tabs>
        <w:spacing w:line="240" w:lineRule="auto"/>
        <w:ind w:left="91" w:right="630" w:firstLine="420"/>
        <w:jc w:val="left"/>
        <w:rPr>
          <w:rFonts w:ascii="Times New Roman" w:hAnsi="Times New Roman" w:eastAsia="宋体" w:cs="Times New Roman"/>
          <w:color w:val="000000"/>
          <w:kern w:val="0"/>
          <w:szCs w:val="21"/>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公开04表</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hint="eastAsia" w:ascii="Times New Roman" w:hAnsi="Times New Roman" w:cs="Times New Roman"/>
          <w:color w:val="000000"/>
          <w:kern w:val="0"/>
          <w:szCs w:val="21"/>
          <w:lang w:val="en-US" w:eastAsia="zh-CN"/>
        </w:rPr>
        <w:t xml:space="preserve"> </w:t>
      </w:r>
    </w:p>
    <w:p>
      <w:pPr>
        <w:widowControl/>
        <w:tabs>
          <w:tab w:val="left" w:pos="13725"/>
          <w:tab w:val="left" w:pos="13755"/>
          <w:tab w:val="left" w:pos="13800"/>
        </w:tabs>
        <w:spacing w:line="240" w:lineRule="auto"/>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eastAsia="zh-CN"/>
        </w:rPr>
        <w:t>单位：万元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hint="eastAsia" w:ascii="Times New Roman" w:hAnsi="Times New Roman" w:eastAsia="仿宋_GB2312" w:cs="Times New Roman"/>
          <w:color w:val="000000"/>
          <w:kern w:val="0"/>
          <w:szCs w:val="21"/>
          <w:lang w:val="en-US" w:eastAsia="zh-CN"/>
        </w:rPr>
        <w:t xml:space="preserve">    </w:t>
      </w:r>
    </w:p>
    <w:tbl>
      <w:tblPr>
        <w:tblStyle w:val="5"/>
        <w:tblW w:w="14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0"/>
        <w:gridCol w:w="479"/>
        <w:gridCol w:w="1878"/>
        <w:gridCol w:w="3756"/>
        <w:gridCol w:w="429"/>
        <w:gridCol w:w="1877"/>
        <w:gridCol w:w="1658"/>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5347"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292" w:type="dxa"/>
            <w:gridSpan w:val="5"/>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299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79"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78"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56"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29"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77"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58"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7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56"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7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5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78"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77"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258.14</w:t>
            </w:r>
          </w:p>
        </w:tc>
        <w:tc>
          <w:tcPr>
            <w:tcW w:w="1658"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258.14</w:t>
            </w:r>
          </w:p>
        </w:tc>
        <w:tc>
          <w:tcPr>
            <w:tcW w:w="1572"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78"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2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429" w:type="dxa"/>
            <w:shd w:val="clear" w:color="auto" w:fill="FFFFFF"/>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21</w:t>
            </w:r>
          </w:p>
        </w:tc>
        <w:tc>
          <w:tcPr>
            <w:tcW w:w="1877"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p>
        </w:tc>
        <w:tc>
          <w:tcPr>
            <w:tcW w:w="1572" w:type="dxa"/>
            <w:vAlign w:val="center"/>
          </w:tcPr>
          <w:p>
            <w:pPr>
              <w:widowControl/>
              <w:jc w:val="center"/>
              <w:textAlignment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九、卫生健康支出</w:t>
            </w:r>
          </w:p>
        </w:tc>
        <w:tc>
          <w:tcPr>
            <w:tcW w:w="429" w:type="dxa"/>
            <w:shd w:val="clear" w:color="auto" w:fill="FFFFFF"/>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877"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1,627.92</w:t>
            </w:r>
          </w:p>
        </w:tc>
        <w:tc>
          <w:tcPr>
            <w:tcW w:w="1658"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1,627.92</w:t>
            </w:r>
          </w:p>
        </w:tc>
        <w:tc>
          <w:tcPr>
            <w:tcW w:w="1572"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3756"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2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1572"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2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1572"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77" w:type="dxa"/>
            <w:shd w:val="clear" w:color="auto" w:fill="FFFFFF"/>
            <w:vAlign w:val="center"/>
          </w:tcPr>
          <w:p>
            <w:pPr>
              <w:jc w:val="center"/>
              <w:rPr>
                <w:rFonts w:hint="eastAsia" w:ascii="仿宋_GB2312" w:hAnsi="仿宋_GB2312" w:eastAsia="仿宋_GB2312" w:cs="仿宋_GB2312"/>
                <w:b w:val="0"/>
                <w:bCs w:val="0"/>
                <w:kern w:val="0"/>
                <w:szCs w:val="21"/>
              </w:rPr>
            </w:pPr>
          </w:p>
        </w:tc>
        <w:tc>
          <w:tcPr>
            <w:tcW w:w="1658" w:type="dxa"/>
            <w:shd w:val="clear" w:color="auto" w:fill="FFFFFF"/>
            <w:vAlign w:val="center"/>
          </w:tcPr>
          <w:p>
            <w:pPr>
              <w:jc w:val="center"/>
              <w:rPr>
                <w:rFonts w:hint="eastAsia" w:ascii="仿宋_GB2312" w:hAnsi="仿宋_GB2312" w:eastAsia="仿宋_GB2312" w:cs="仿宋_GB2312"/>
                <w:b w:val="0"/>
                <w:bCs w:val="0"/>
                <w:kern w:val="0"/>
                <w:szCs w:val="21"/>
              </w:rPr>
            </w:pPr>
          </w:p>
        </w:tc>
        <w:tc>
          <w:tcPr>
            <w:tcW w:w="1572" w:type="dxa"/>
            <w:vAlign w:val="center"/>
          </w:tcPr>
          <w:p>
            <w:pPr>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77" w:type="dxa"/>
            <w:shd w:val="clear" w:color="auto" w:fill="FFFFFF"/>
            <w:vAlign w:val="center"/>
          </w:tcPr>
          <w:p>
            <w:pPr>
              <w:jc w:val="center"/>
              <w:rPr>
                <w:rFonts w:hint="eastAsia" w:ascii="仿宋_GB2312" w:hAnsi="仿宋_GB2312" w:eastAsia="仿宋_GB2312" w:cs="仿宋_GB2312"/>
                <w:b w:val="0"/>
                <w:bCs w:val="0"/>
                <w:kern w:val="0"/>
                <w:szCs w:val="21"/>
              </w:rPr>
            </w:pPr>
          </w:p>
        </w:tc>
        <w:tc>
          <w:tcPr>
            <w:tcW w:w="1658" w:type="dxa"/>
            <w:shd w:val="clear" w:color="auto" w:fill="FFFFFF"/>
            <w:vAlign w:val="center"/>
          </w:tcPr>
          <w:p>
            <w:pPr>
              <w:jc w:val="center"/>
              <w:rPr>
                <w:rFonts w:hint="eastAsia" w:ascii="仿宋_GB2312" w:hAnsi="仿宋_GB2312" w:eastAsia="仿宋_GB2312" w:cs="仿宋_GB2312"/>
                <w:b w:val="0"/>
                <w:bCs w:val="0"/>
                <w:kern w:val="0"/>
                <w:szCs w:val="21"/>
              </w:rPr>
            </w:pPr>
          </w:p>
        </w:tc>
        <w:tc>
          <w:tcPr>
            <w:tcW w:w="1572" w:type="dxa"/>
            <w:vAlign w:val="center"/>
          </w:tcPr>
          <w:p>
            <w:pPr>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77" w:type="dxa"/>
            <w:shd w:val="clear" w:color="auto" w:fill="FFFFFF"/>
            <w:vAlign w:val="center"/>
          </w:tcPr>
          <w:p>
            <w:pPr>
              <w:jc w:val="center"/>
              <w:rPr>
                <w:rFonts w:hint="eastAsia" w:ascii="仿宋_GB2312" w:hAnsi="仿宋_GB2312" w:eastAsia="仿宋_GB2312" w:cs="仿宋_GB2312"/>
                <w:b w:val="0"/>
                <w:bCs w:val="0"/>
                <w:kern w:val="0"/>
                <w:szCs w:val="21"/>
              </w:rPr>
            </w:pPr>
          </w:p>
        </w:tc>
        <w:tc>
          <w:tcPr>
            <w:tcW w:w="1658" w:type="dxa"/>
            <w:shd w:val="clear" w:color="auto" w:fill="FFFFFF"/>
            <w:vAlign w:val="center"/>
          </w:tcPr>
          <w:p>
            <w:pPr>
              <w:jc w:val="center"/>
              <w:rPr>
                <w:rFonts w:hint="eastAsia" w:ascii="仿宋_GB2312" w:hAnsi="仿宋_GB2312" w:eastAsia="仿宋_GB2312" w:cs="仿宋_GB2312"/>
                <w:b w:val="0"/>
                <w:bCs w:val="0"/>
                <w:kern w:val="0"/>
                <w:szCs w:val="21"/>
              </w:rPr>
            </w:pPr>
          </w:p>
        </w:tc>
        <w:tc>
          <w:tcPr>
            <w:tcW w:w="1572" w:type="dxa"/>
            <w:vAlign w:val="center"/>
          </w:tcPr>
          <w:p>
            <w:pPr>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299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3756"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2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1886.06</w:t>
            </w:r>
          </w:p>
        </w:tc>
        <w:tc>
          <w:tcPr>
            <w:tcW w:w="1572"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both"/>
        <w:rPr>
          <w:rFonts w:ascii="Times New Roman" w:hAnsi="Times New Roman" w:eastAsia="方正小标宋_GBK" w:cs="Times New Roman"/>
          <w:kern w:val="0"/>
          <w:sz w:val="36"/>
          <w:szCs w:val="36"/>
        </w:rPr>
      </w:pPr>
      <w:bookmarkStart w:id="0" w:name="RANGE!A1:F16"/>
      <w:r>
        <w:rPr>
          <w:rFonts w:hint="eastAsia" w:ascii="Times New Roman" w:hAnsi="Times New Roman" w:eastAsia="方正小标宋_GBK" w:cs="Times New Roman"/>
          <w:kern w:val="0"/>
          <w:sz w:val="36"/>
          <w:szCs w:val="36"/>
          <w:lang w:val="en-US" w:eastAsia="zh-CN"/>
        </w:rPr>
        <w:t xml:space="preserve">                          </w:t>
      </w:r>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spacing w:before="156" w:beforeLines="5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4553"/>
        <w:gridCol w:w="2985"/>
        <w:gridCol w:w="2760"/>
        <w:gridCol w:w="2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753"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66"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5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85"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76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21"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5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2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5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21"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53" w:type="dxa"/>
            <w:gridSpan w:val="2"/>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合计</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1,886.06</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1,602.02</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284.04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201</w:t>
            </w:r>
          </w:p>
        </w:tc>
        <w:tc>
          <w:tcPr>
            <w:tcW w:w="455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both"/>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一般公共服务支出</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258.14</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258.14</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20103</w:t>
            </w:r>
          </w:p>
        </w:tc>
        <w:tc>
          <w:tcPr>
            <w:tcW w:w="4553" w:type="dxa"/>
            <w:tcBorders>
              <w:top w:val="nil"/>
              <w:left w:val="nil"/>
              <w:bottom w:val="single" w:color="auto" w:sz="4" w:space="0"/>
              <w:right w:val="single" w:color="auto" w:sz="4" w:space="0"/>
            </w:tcBorders>
            <w:vAlign w:val="center"/>
          </w:tcPr>
          <w:p>
            <w:pPr>
              <w:widowControl/>
              <w:ind w:firstLine="440" w:firstLineChars="2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政府办公厅（室）及相关机构事务</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257.68</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257.68</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2010301</w:t>
            </w:r>
          </w:p>
        </w:tc>
        <w:tc>
          <w:tcPr>
            <w:tcW w:w="4553" w:type="dxa"/>
            <w:tcBorders>
              <w:top w:val="nil"/>
              <w:left w:val="nil"/>
              <w:bottom w:val="single" w:color="auto" w:sz="4"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254.38</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254.38</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2010399</w:t>
            </w:r>
          </w:p>
        </w:tc>
        <w:tc>
          <w:tcPr>
            <w:tcW w:w="4553" w:type="dxa"/>
            <w:tcBorders>
              <w:top w:val="nil"/>
              <w:left w:val="nil"/>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 xml:space="preserve">      其他政府办公厅（室）及相关机构事务支出</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3.30</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3.30</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20106</w:t>
            </w:r>
          </w:p>
        </w:tc>
        <w:tc>
          <w:tcPr>
            <w:tcW w:w="4553" w:type="dxa"/>
            <w:tcBorders>
              <w:top w:val="nil"/>
              <w:left w:val="nil"/>
              <w:bottom w:val="single" w:color="auto" w:sz="4" w:space="0"/>
              <w:right w:val="single" w:color="auto" w:sz="4" w:space="0"/>
            </w:tcBorders>
            <w:vAlign w:val="center"/>
          </w:tcPr>
          <w:p>
            <w:pPr>
              <w:widowControl/>
              <w:ind w:firstLine="440" w:firstLineChars="2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财政事务</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2010601</w:t>
            </w:r>
          </w:p>
        </w:tc>
        <w:tc>
          <w:tcPr>
            <w:tcW w:w="4553" w:type="dxa"/>
            <w:tcBorders>
              <w:top w:val="nil"/>
              <w:left w:val="nil"/>
              <w:bottom w:val="single" w:color="auto" w:sz="4"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0.46</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w:t>
            </w:r>
          </w:p>
        </w:tc>
        <w:tc>
          <w:tcPr>
            <w:tcW w:w="4553" w:type="dxa"/>
            <w:tcBorders>
              <w:top w:val="nil"/>
              <w:left w:val="nil"/>
              <w:bottom w:val="single" w:color="auto" w:sz="8" w:space="0"/>
              <w:right w:val="single" w:color="auto" w:sz="4" w:space="0"/>
            </w:tcBorders>
            <w:vAlign w:val="center"/>
          </w:tcPr>
          <w:p>
            <w:pPr>
              <w:widowControl/>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卫生健康支出</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1,627.92</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1,343.88</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284.04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21001</w:t>
            </w:r>
          </w:p>
        </w:tc>
        <w:tc>
          <w:tcPr>
            <w:tcW w:w="4553" w:type="dxa"/>
            <w:tcBorders>
              <w:top w:val="nil"/>
              <w:left w:val="nil"/>
              <w:bottom w:val="single" w:color="auto" w:sz="8" w:space="0"/>
              <w:right w:val="single" w:color="auto" w:sz="4" w:space="0"/>
            </w:tcBorders>
            <w:vAlign w:val="center"/>
          </w:tcPr>
          <w:p>
            <w:pPr>
              <w:widowControl/>
              <w:ind w:firstLine="440" w:firstLineChars="2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卫生健康管理事务</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2100101</w:t>
            </w:r>
          </w:p>
        </w:tc>
        <w:tc>
          <w:tcPr>
            <w:tcW w:w="4553" w:type="dxa"/>
            <w:tcBorders>
              <w:top w:val="nil"/>
              <w:left w:val="nil"/>
              <w:bottom w:val="single" w:color="auto" w:sz="8"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68.03</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21003</w:t>
            </w:r>
          </w:p>
        </w:tc>
        <w:tc>
          <w:tcPr>
            <w:tcW w:w="4553" w:type="dxa"/>
            <w:tcBorders>
              <w:top w:val="nil"/>
              <w:left w:val="nil"/>
              <w:bottom w:val="single" w:color="auto" w:sz="8" w:space="0"/>
              <w:right w:val="single" w:color="auto" w:sz="4" w:space="0"/>
            </w:tcBorders>
            <w:vAlign w:val="center"/>
          </w:tcPr>
          <w:p>
            <w:pPr>
              <w:widowControl/>
              <w:ind w:firstLine="440" w:firstLineChars="2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基层医疗卫生机构</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2100301</w:t>
            </w:r>
          </w:p>
        </w:tc>
        <w:tc>
          <w:tcPr>
            <w:tcW w:w="4553" w:type="dxa"/>
            <w:tcBorders>
              <w:top w:val="nil"/>
              <w:left w:val="nil"/>
              <w:bottom w:val="single" w:color="auto" w:sz="8"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城市社区卫生机构</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19.00</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21004</w:t>
            </w:r>
          </w:p>
        </w:tc>
        <w:tc>
          <w:tcPr>
            <w:tcW w:w="4553" w:type="dxa"/>
            <w:tcBorders>
              <w:top w:val="nil"/>
              <w:left w:val="nil"/>
              <w:bottom w:val="single" w:color="auto" w:sz="8" w:space="0"/>
              <w:right w:val="single" w:color="auto" w:sz="4" w:space="0"/>
            </w:tcBorders>
            <w:vAlign w:val="center"/>
          </w:tcPr>
          <w:p>
            <w:pPr>
              <w:widowControl/>
              <w:ind w:firstLine="440" w:firstLineChars="2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公共卫生</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1,540.89</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1,256.85</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284.04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2100401</w:t>
            </w:r>
          </w:p>
        </w:tc>
        <w:tc>
          <w:tcPr>
            <w:tcW w:w="4553" w:type="dxa"/>
            <w:tcBorders>
              <w:top w:val="nil"/>
              <w:left w:val="nil"/>
              <w:bottom w:val="single" w:color="auto" w:sz="8"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疾病预防控制机构</w:t>
            </w:r>
          </w:p>
        </w:tc>
        <w:tc>
          <w:tcPr>
            <w:tcW w:w="298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1,392.41</w:t>
            </w:r>
          </w:p>
        </w:tc>
        <w:tc>
          <w:tcPr>
            <w:tcW w:w="276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1,256.41</w:t>
            </w:r>
          </w:p>
        </w:tc>
        <w:tc>
          <w:tcPr>
            <w:tcW w:w="272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2100408</w:t>
            </w:r>
          </w:p>
        </w:tc>
        <w:tc>
          <w:tcPr>
            <w:tcW w:w="4553" w:type="dxa"/>
            <w:tcBorders>
              <w:top w:val="nil"/>
              <w:left w:val="nil"/>
              <w:bottom w:val="single" w:color="auto" w:sz="4"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基本公共卫生服务</w:t>
            </w:r>
          </w:p>
        </w:tc>
        <w:tc>
          <w:tcPr>
            <w:tcW w:w="298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0.91</w:t>
            </w:r>
          </w:p>
        </w:tc>
        <w:tc>
          <w:tcPr>
            <w:tcW w:w="276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2721"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2100409</w:t>
            </w:r>
          </w:p>
        </w:tc>
        <w:tc>
          <w:tcPr>
            <w:tcW w:w="4553" w:type="dxa"/>
            <w:tcBorders>
              <w:top w:val="single" w:color="auto" w:sz="4" w:space="0"/>
              <w:left w:val="single" w:color="auto" w:sz="4" w:space="0"/>
              <w:bottom w:val="single" w:color="auto" w:sz="4"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重大公共卫生专项</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144.57</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0.44</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i w:val="0"/>
                <w:color w:val="000000"/>
                <w:kern w:val="0"/>
                <w:sz w:val="22"/>
                <w:szCs w:val="22"/>
                <w:u w:val="none"/>
                <w:lang w:val="en-US" w:eastAsia="zh-CN" w:bidi="ar-SA"/>
              </w:rPr>
              <w:t>144.13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2100499</w:t>
            </w:r>
          </w:p>
        </w:tc>
        <w:tc>
          <w:tcPr>
            <w:tcW w:w="4553" w:type="dxa"/>
            <w:tcBorders>
              <w:top w:val="single" w:color="auto" w:sz="4" w:space="0"/>
              <w:left w:val="single" w:color="auto" w:sz="4" w:space="0"/>
              <w:bottom w:val="single" w:color="auto" w:sz="4" w:space="0"/>
              <w:right w:val="single" w:color="auto" w:sz="4" w:space="0"/>
            </w:tcBorders>
            <w:vAlign w:val="center"/>
          </w:tcPr>
          <w:p>
            <w:pPr>
              <w:widowControl/>
              <w:ind w:firstLine="660" w:firstLineChars="300"/>
              <w:jc w:val="both"/>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其他公共卫生支出</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3.00</w:t>
            </w:r>
          </w:p>
        </w:tc>
        <w:tc>
          <w:tcPr>
            <w:tcW w:w="2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0.00</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rPr>
            </w:pPr>
            <w:r>
              <w:rPr>
                <w:rFonts w:hint="eastAsia" w:ascii="仿宋_GB2312" w:hAnsi="仿宋_GB2312" w:eastAsia="仿宋_GB2312" w:cs="仿宋_GB2312"/>
                <w:i w:val="0"/>
                <w:color w:val="000000"/>
                <w:kern w:val="0"/>
                <w:sz w:val="22"/>
                <w:szCs w:val="22"/>
                <w:u w:val="none"/>
                <w:lang w:val="en-US" w:eastAsia="zh-CN" w:bidi="ar-SA"/>
              </w:rPr>
              <w:t>3.00</w:t>
            </w:r>
          </w:p>
        </w:tc>
      </w:tr>
    </w:tbl>
    <w:p>
      <w:pPr>
        <w:widowControl/>
        <w:jc w:val="left"/>
        <w:rPr>
          <w:rFonts w:hint="eastAsia" w:ascii="Times New Roman" w:hAnsi="Times New Roman" w:eastAsia="方正小标宋_GBK" w:cs="Times New Roman"/>
          <w:color w:val="000000"/>
          <w:kern w:val="0"/>
          <w:sz w:val="28"/>
          <w:szCs w:val="36"/>
          <w:lang w:val="en-US" w:eastAsia="zh-CN"/>
        </w:rPr>
      </w:pPr>
      <w:bookmarkStart w:id="1" w:name="RANGE!A1:I39"/>
      <w:r>
        <w:rPr>
          <w:rFonts w:hint="eastAsia" w:ascii="Times New Roman" w:hAnsi="Times New Roman" w:eastAsia="方正小标宋_GBK" w:cs="Times New Roman"/>
          <w:color w:val="000000"/>
          <w:kern w:val="0"/>
          <w:sz w:val="28"/>
          <w:szCs w:val="36"/>
          <w:lang w:val="en-US" w:eastAsia="zh-CN"/>
        </w:rPr>
        <w:t xml:space="preserve">    </w:t>
      </w:r>
      <w:r>
        <w:rPr>
          <w:rFonts w:ascii="Times New Roman" w:hAnsi="Times New Roman" w:eastAsia="仿宋_GB2312" w:cs="Times New Roman"/>
          <w:kern w:val="0"/>
          <w:szCs w:val="21"/>
        </w:rPr>
        <w:t>注：本表反映部门本年度一般公共预算财政拨款支出情况。</w:t>
      </w:r>
      <w:r>
        <w:rPr>
          <w:rFonts w:hint="eastAsia" w:ascii="Times New Roman" w:hAnsi="Times New Roman" w:eastAsia="方正小标宋_GBK" w:cs="Times New Roman"/>
          <w:color w:val="000000"/>
          <w:kern w:val="0"/>
          <w:sz w:val="28"/>
          <w:szCs w:val="36"/>
          <w:lang w:val="en-US" w:eastAsia="zh-CN"/>
        </w:rPr>
        <w:t xml:space="preserve"> </w:t>
      </w:r>
    </w:p>
    <w:p>
      <w:pPr>
        <w:widowControl/>
        <w:jc w:val="left"/>
        <w:rPr>
          <w:rFonts w:hint="eastAsia" w:ascii="Times New Roman" w:hAnsi="Times New Roman" w:eastAsia="方正小标宋_GBK" w:cs="Times New Roman"/>
          <w:color w:val="000000"/>
          <w:kern w:val="0"/>
          <w:sz w:val="28"/>
          <w:szCs w:val="36"/>
          <w:lang w:val="en-US" w:eastAsia="zh-CN"/>
        </w:rPr>
      </w:pPr>
      <w:r>
        <w:rPr>
          <w:rFonts w:hint="eastAsia" w:ascii="Times New Roman" w:hAnsi="Times New Roman" w:eastAsia="方正小标宋_GBK" w:cs="Times New Roman"/>
          <w:color w:val="000000"/>
          <w:kern w:val="0"/>
          <w:sz w:val="28"/>
          <w:szCs w:val="36"/>
          <w:lang w:val="en-US" w:eastAsia="zh-CN"/>
        </w:rPr>
        <w:t xml:space="preserve">                                         </w:t>
      </w:r>
    </w:p>
    <w:p>
      <w:pPr>
        <w:widowControl/>
        <w:jc w:val="left"/>
        <w:rPr>
          <w:rFonts w:ascii="Times New Roman" w:hAnsi="Times New Roman" w:eastAsia="方正小标宋_GBK" w:cs="Times New Roman"/>
          <w:color w:val="000000"/>
          <w:kern w:val="0"/>
          <w:sz w:val="28"/>
          <w:szCs w:val="36"/>
        </w:rPr>
      </w:pPr>
      <w:r>
        <w:rPr>
          <w:rFonts w:hint="eastAsia" w:ascii="Times New Roman" w:hAnsi="Times New Roman" w:eastAsia="方正小标宋_GBK" w:cs="Times New Roman"/>
          <w:color w:val="000000"/>
          <w:kern w:val="0"/>
          <w:sz w:val="28"/>
          <w:szCs w:val="36"/>
          <w:lang w:val="en-US" w:eastAsia="zh-CN"/>
        </w:rPr>
        <w:t xml:space="preserve">                                     </w:t>
      </w:r>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194"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2876"/>
        <w:gridCol w:w="935"/>
        <w:gridCol w:w="1034"/>
        <w:gridCol w:w="1813"/>
        <w:gridCol w:w="1139"/>
        <w:gridCol w:w="1064"/>
        <w:gridCol w:w="2999"/>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09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35"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3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1813"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9"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6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99"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4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工资福利支出</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413.67</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商品和服务支出</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1,151.11</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307</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债务利息及费用支出</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30101</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基本工资</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115.09</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30201</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办公费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6.24</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30701</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国内债务付息</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30102</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津贴补贴</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120.49</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30202</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印刷费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0.39</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30702</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国外债务付息</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30103</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奖金</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80.23</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30203</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咨询费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资本性支出</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SA"/>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30106</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伙食补助费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30204</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手续费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31001</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房屋建筑物购建</w:t>
            </w:r>
          </w:p>
        </w:tc>
        <w:tc>
          <w:tcPr>
            <w:tcW w:w="1244" w:type="dxa"/>
            <w:tcBorders>
              <w:top w:val="nil"/>
              <w:left w:val="nil"/>
              <w:bottom w:val="single" w:color="auto" w:sz="8" w:space="0"/>
              <w:right w:val="single" w:color="auto" w:sz="8" w:space="0"/>
            </w:tcBorders>
            <w:vAlign w:val="center"/>
          </w:tcPr>
          <w:p>
            <w:pPr>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30107</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绩效工资</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30205</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水费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0.64</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31002</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办公设备购置</w:t>
            </w:r>
          </w:p>
        </w:tc>
        <w:tc>
          <w:tcPr>
            <w:tcW w:w="1244" w:type="dxa"/>
            <w:tcBorders>
              <w:top w:val="nil"/>
              <w:left w:val="nil"/>
              <w:bottom w:val="single" w:color="auto" w:sz="8" w:space="0"/>
              <w:right w:val="single" w:color="auto" w:sz="8" w:space="0"/>
            </w:tcBorders>
            <w:vAlign w:val="center"/>
          </w:tcPr>
          <w:p>
            <w:pPr>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30108</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机关事业单位基本养老保险缴费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31.13</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30206</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电费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4.39</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31003</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专用设备购置</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SA"/>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30109</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职业年金缴费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30207</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邮电费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16.85</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31005</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基础设施建设</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30110</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职工基本医疗保险缴费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16.74</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30208</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取暖费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31006</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大型修缮</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30111</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公务员医疗补助缴费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9.77</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30209</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物业管理费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6.00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31007</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信息网络及软件购置更新</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30112</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其他社会保障缴费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2.42</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30211</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差旅费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1.35</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31008</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物资储备</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30113</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住房公积金</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31.10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30212</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因公出国（境）费用</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31009</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土地补偿</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30114</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医疗费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30213</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维修（护）费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3.17</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31010</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安置补助</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30199</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其他工资福利支出</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6.70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30214</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租赁费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31011</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地上附着物和青苗补偿</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对个人和家庭的补助</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30.53</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30215</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会议费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31012</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拆迁补偿</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30301</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离休费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30216</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培训费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0.19</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31013</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公务用车购置</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30302</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退休费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30217</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公务接待费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0.55</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31019</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其他交通工具购置</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30303</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退职（役）费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30218</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专用材料费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1,037.76</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31021</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文物和陈列品购置</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30304</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抚恤金</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30224</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被装购置费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31022</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无形资产购置</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30305</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生活补助</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26.20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30225</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专用燃料费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31099</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其他资本性支出</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30306</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救济费</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30226</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劳务费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27.97</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其他支出</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30307</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医疗费补助</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30227</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委托业务费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18.81</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39906</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赠与</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30308</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助学金</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30228</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工会经费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10.15</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39907</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国家赔偿费用支出</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30309</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奖励金</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2.06</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30229</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福利费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6.13</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39908</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对民间非营利组织和群众性自治组织补贴</w:t>
            </w:r>
          </w:p>
        </w:tc>
        <w:tc>
          <w:tcPr>
            <w:tcW w:w="1244" w:type="dxa"/>
            <w:tcBorders>
              <w:top w:val="nil"/>
              <w:left w:val="nil"/>
              <w:bottom w:val="single" w:color="auto" w:sz="8" w:space="0"/>
              <w:right w:val="single" w:color="auto" w:sz="8" w:space="0"/>
            </w:tcBorders>
            <w:vAlign w:val="center"/>
          </w:tcPr>
          <w:p>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30310</w:t>
            </w:r>
          </w:p>
        </w:tc>
        <w:tc>
          <w:tcPr>
            <w:tcW w:w="2876"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个人农业生产补贴</w:t>
            </w:r>
          </w:p>
        </w:tc>
        <w:tc>
          <w:tcPr>
            <w:tcW w:w="935"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3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30231</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公务用车运行维护费</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1.54</w:t>
            </w:r>
          </w:p>
        </w:tc>
        <w:tc>
          <w:tcPr>
            <w:tcW w:w="1064"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39999</w:t>
            </w:r>
          </w:p>
        </w:tc>
        <w:tc>
          <w:tcPr>
            <w:tcW w:w="2999"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其他支出</w:t>
            </w:r>
          </w:p>
        </w:tc>
        <w:tc>
          <w:tcPr>
            <w:tcW w:w="1244" w:type="dxa"/>
            <w:tcBorders>
              <w:top w:val="nil"/>
              <w:left w:val="nil"/>
              <w:bottom w:val="single" w:color="auto" w:sz="8" w:space="0"/>
              <w:right w:val="single" w:color="auto" w:sz="8" w:space="0"/>
            </w:tcBorders>
            <w:vAlign w:val="center"/>
          </w:tcPr>
          <w:p>
            <w:pPr>
              <w:widowControl/>
              <w:jc w:val="right"/>
              <w:textAlignment w:val="center"/>
              <w:rPr>
                <w:rFonts w:hint="eastAsia" w:ascii="仿宋_GB2312" w:hAnsi="仿宋_GB2312" w:eastAsia="仿宋_GB2312" w:cs="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30399</w:t>
            </w:r>
          </w:p>
        </w:tc>
        <w:tc>
          <w:tcPr>
            <w:tcW w:w="2876"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其他对个人和家庭的补助支出</w:t>
            </w:r>
          </w:p>
        </w:tc>
        <w:tc>
          <w:tcPr>
            <w:tcW w:w="935" w:type="dxa"/>
            <w:tcBorders>
              <w:top w:val="single" w:color="auto" w:sz="8" w:space="0"/>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2.27</w:t>
            </w:r>
          </w:p>
        </w:tc>
        <w:tc>
          <w:tcPr>
            <w:tcW w:w="1034"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30239</w:t>
            </w:r>
          </w:p>
        </w:tc>
        <w:tc>
          <w:tcPr>
            <w:tcW w:w="1813"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其他交通费用</w:t>
            </w:r>
          </w:p>
        </w:tc>
        <w:tc>
          <w:tcPr>
            <w:tcW w:w="1139" w:type="dxa"/>
            <w:tcBorders>
              <w:top w:val="single" w:color="auto" w:sz="8" w:space="0"/>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1.46</w:t>
            </w:r>
          </w:p>
        </w:tc>
        <w:tc>
          <w:tcPr>
            <w:tcW w:w="1064"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p>
        </w:tc>
        <w:tc>
          <w:tcPr>
            <w:tcW w:w="2999" w:type="dxa"/>
            <w:tcBorders>
              <w:top w:val="single" w:color="auto" w:sz="8" w:space="0"/>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1244" w:type="dxa"/>
            <w:tcBorders>
              <w:top w:val="single" w:color="auto" w:sz="8" w:space="0"/>
              <w:left w:val="nil"/>
              <w:bottom w:val="single" w:color="auto" w:sz="8" w:space="0"/>
              <w:right w:val="single" w:color="auto" w:sz="8" w:space="0"/>
            </w:tcBorders>
            <w:vAlign w:val="center"/>
          </w:tcPr>
          <w:p>
            <w:pPr>
              <w:jc w:val="right"/>
              <w:rPr>
                <w:rFonts w:hint="eastAsia" w:ascii="仿宋_GB2312" w:hAnsi="仿宋_GB2312" w:eastAsia="仿宋_GB2312" w:cs="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2876"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935" w:type="dxa"/>
            <w:tcBorders>
              <w:top w:val="nil"/>
              <w:left w:val="nil"/>
              <w:bottom w:val="single" w:color="auto" w:sz="8" w:space="0"/>
              <w:right w:val="single" w:color="auto" w:sz="8" w:space="0"/>
            </w:tcBorders>
            <w:vAlign w:val="center"/>
          </w:tcPr>
          <w:p>
            <w:pPr>
              <w:jc w:val="center"/>
              <w:rPr>
                <w:rFonts w:hint="eastAsia" w:ascii="仿宋_GB2312" w:hAnsi="仿宋_GB2312" w:eastAsia="仿宋_GB2312" w:cs="仿宋_GB2312"/>
                <w:color w:val="000000"/>
                <w:kern w:val="0"/>
                <w:sz w:val="18"/>
                <w:szCs w:val="18"/>
              </w:rPr>
            </w:pPr>
          </w:p>
        </w:tc>
        <w:tc>
          <w:tcPr>
            <w:tcW w:w="1034" w:type="dxa"/>
            <w:tcBorders>
              <w:top w:val="nil"/>
              <w:left w:val="nil"/>
              <w:bottom w:val="single" w:color="auto" w:sz="8" w:space="0"/>
              <w:right w:val="single" w:color="auto" w:sz="8" w:space="0"/>
            </w:tcBorders>
            <w:vAlign w:val="top"/>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30240</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税金及附加费用</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0.00</w:t>
            </w:r>
          </w:p>
        </w:tc>
        <w:tc>
          <w:tcPr>
            <w:tcW w:w="106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p>
        </w:tc>
        <w:tc>
          <w:tcPr>
            <w:tcW w:w="2999"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1244" w:type="dxa"/>
            <w:tcBorders>
              <w:top w:val="nil"/>
              <w:left w:val="nil"/>
              <w:bottom w:val="single" w:color="auto" w:sz="8" w:space="0"/>
              <w:right w:val="single" w:color="auto" w:sz="8" w:space="0"/>
            </w:tcBorders>
            <w:vAlign w:val="center"/>
          </w:tcPr>
          <w:p>
            <w:pPr>
              <w:jc w:val="right"/>
              <w:rPr>
                <w:rFonts w:hint="eastAsia" w:ascii="仿宋_GB2312" w:hAnsi="仿宋_GB2312" w:eastAsia="仿宋_GB2312" w:cs="仿宋_GB2312"/>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090" w:type="dxa"/>
            <w:tcBorders>
              <w:top w:val="nil"/>
              <w:left w:val="single" w:color="auto" w:sz="8" w:space="0"/>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2876"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935" w:type="dxa"/>
            <w:tcBorders>
              <w:top w:val="nil"/>
              <w:left w:val="nil"/>
              <w:bottom w:val="single" w:color="auto" w:sz="8" w:space="0"/>
              <w:right w:val="single" w:color="auto" w:sz="8" w:space="0"/>
            </w:tcBorders>
            <w:vAlign w:val="center"/>
          </w:tcPr>
          <w:p>
            <w:pPr>
              <w:jc w:val="center"/>
              <w:rPr>
                <w:rFonts w:hint="eastAsia" w:ascii="仿宋_GB2312" w:hAnsi="仿宋_GB2312" w:eastAsia="仿宋_GB2312" w:cs="仿宋_GB2312"/>
                <w:color w:val="000000"/>
                <w:kern w:val="0"/>
                <w:sz w:val="18"/>
                <w:szCs w:val="18"/>
              </w:rPr>
            </w:pPr>
          </w:p>
        </w:tc>
        <w:tc>
          <w:tcPr>
            <w:tcW w:w="1034" w:type="dxa"/>
            <w:tcBorders>
              <w:top w:val="nil"/>
              <w:left w:val="nil"/>
              <w:bottom w:val="single" w:color="auto" w:sz="8" w:space="0"/>
              <w:right w:val="single" w:color="auto" w:sz="8" w:space="0"/>
            </w:tcBorders>
            <w:vAlign w:val="top"/>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30299</w:t>
            </w:r>
          </w:p>
        </w:tc>
        <w:tc>
          <w:tcPr>
            <w:tcW w:w="1813"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其他商品和服务支出</w:t>
            </w:r>
          </w:p>
        </w:tc>
        <w:tc>
          <w:tcPr>
            <w:tcW w:w="1139"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SA"/>
              </w:rPr>
              <w:t>7.52</w:t>
            </w:r>
          </w:p>
        </w:tc>
        <w:tc>
          <w:tcPr>
            <w:tcW w:w="1064"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p>
        </w:tc>
        <w:tc>
          <w:tcPr>
            <w:tcW w:w="2999"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1244" w:type="dxa"/>
            <w:tcBorders>
              <w:top w:val="nil"/>
              <w:left w:val="nil"/>
              <w:bottom w:val="single" w:color="auto" w:sz="8" w:space="0"/>
              <w:right w:val="single" w:color="auto" w:sz="8" w:space="0"/>
            </w:tcBorders>
            <w:vAlign w:val="center"/>
          </w:tcPr>
          <w:p>
            <w:pPr>
              <w:jc w:val="right"/>
              <w:rPr>
                <w:rFonts w:hint="eastAsia" w:ascii="仿宋_GB2312" w:hAnsi="仿宋_GB2312" w:eastAsia="仿宋_GB2312" w:cs="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exact"/>
        </w:trPr>
        <w:tc>
          <w:tcPr>
            <w:tcW w:w="3966" w:type="dxa"/>
            <w:gridSpan w:val="2"/>
            <w:tcBorders>
              <w:top w:val="nil"/>
              <w:left w:val="single" w:color="auto" w:sz="8" w:space="0"/>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人员经费合计</w:t>
            </w:r>
          </w:p>
        </w:tc>
        <w:tc>
          <w:tcPr>
            <w:tcW w:w="935" w:type="dxa"/>
            <w:tcBorders>
              <w:top w:val="nil"/>
              <w:left w:val="single" w:color="auto" w:sz="8" w:space="0"/>
              <w:bottom w:val="single" w:color="auto" w:sz="8" w:space="0"/>
              <w:right w:val="single" w:color="auto" w:sz="8" w:space="0"/>
            </w:tcBorders>
            <w:vAlign w:val="center"/>
          </w:tcPr>
          <w:p>
            <w:pPr>
              <w:widowControl/>
              <w:jc w:val="righ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1"/>
                <w:szCs w:val="21"/>
                <w:u w:val="none"/>
                <w:lang w:val="en-US" w:eastAsia="zh-CN" w:bidi="ar-SA"/>
              </w:rPr>
              <w:t>444.20</w:t>
            </w:r>
            <w:r>
              <w:rPr>
                <w:rFonts w:hint="eastAsia" w:ascii="宋体" w:hAnsi="宋体" w:eastAsia="宋体" w:cs="宋体"/>
                <w:i w:val="0"/>
                <w:color w:val="000000"/>
                <w:kern w:val="0"/>
                <w:sz w:val="20"/>
                <w:szCs w:val="20"/>
                <w:u w:val="none"/>
                <w:lang w:val="en-US" w:eastAsia="zh-CN" w:bidi="ar-SA"/>
              </w:rPr>
              <w:t xml:space="preserve"> </w:t>
            </w:r>
          </w:p>
        </w:tc>
        <w:tc>
          <w:tcPr>
            <w:tcW w:w="1034"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18"/>
                <w:szCs w:val="18"/>
              </w:rPr>
            </w:pPr>
          </w:p>
        </w:tc>
        <w:tc>
          <w:tcPr>
            <w:tcW w:w="7015" w:type="dxa"/>
            <w:gridSpan w:val="4"/>
            <w:tcBorders>
              <w:top w:val="nil"/>
              <w:left w:val="nil"/>
              <w:bottom w:val="single" w:color="auto" w:sz="8" w:space="0"/>
              <w:right w:val="single" w:color="auto" w:sz="8" w:space="0"/>
            </w:tcBorders>
            <w:vAlign w:val="center"/>
          </w:tcPr>
          <w:p>
            <w:pPr>
              <w:widowControl/>
              <w:jc w:val="center"/>
              <w:textAlignment w:val="center"/>
            </w:pPr>
            <w:r>
              <w:rPr>
                <w:rFonts w:hint="eastAsia" w:ascii="仿宋_GB2312" w:hAnsi="仿宋_GB2312" w:eastAsia="仿宋_GB2312" w:cs="仿宋_GB2312"/>
                <w:i w:val="0"/>
                <w:color w:val="000000"/>
                <w:kern w:val="0"/>
                <w:sz w:val="22"/>
                <w:szCs w:val="22"/>
                <w:u w:val="none"/>
                <w:lang w:val="en-US" w:eastAsia="zh-CN" w:bidi="ar-SA"/>
              </w:rPr>
              <w:t>公用经费合计</w:t>
            </w:r>
          </w:p>
        </w:tc>
        <w:tc>
          <w:tcPr>
            <w:tcW w:w="1244" w:type="dxa"/>
            <w:tcBorders>
              <w:top w:val="nil"/>
              <w:left w:val="nil"/>
              <w:bottom w:val="single" w:color="auto" w:sz="8" w:space="0"/>
              <w:right w:val="single" w:color="auto" w:sz="8" w:space="0"/>
            </w:tcBorders>
            <w:vAlign w:val="center"/>
          </w:tcPr>
          <w:p>
            <w:pPr>
              <w:widowControl/>
              <w:jc w:val="right"/>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i w:val="0"/>
                <w:color w:val="000000"/>
                <w:kern w:val="0"/>
                <w:sz w:val="21"/>
                <w:szCs w:val="21"/>
                <w:u w:val="none"/>
                <w:lang w:val="en-US" w:eastAsia="zh-CN" w:bidi="ar-SA"/>
              </w:rPr>
              <w:t>1157.82</w:t>
            </w:r>
          </w:p>
        </w:tc>
      </w:tr>
    </w:tbl>
    <w:p>
      <w:pPr>
        <w:widowControl/>
        <w:jc w:val="left"/>
        <w:rPr>
          <w:rFonts w:ascii="黑体" w:hAnsi="黑体" w:eastAsia="黑体"/>
          <w:szCs w:val="21"/>
        </w:rPr>
      </w:pPr>
      <w:r>
        <w:rPr>
          <w:rFonts w:hint="eastAsia" w:ascii="仿宋" w:hAnsi="仿宋" w:eastAsia="仿宋" w:cs="仿宋"/>
          <w:szCs w:val="21"/>
        </w:rPr>
        <w:t>注：本表反映部门年度一般公共预算财政拨款基本支出明细情况。</w:t>
      </w:r>
      <w:r>
        <w:rPr>
          <w:rFonts w:ascii="黑体" w:hAnsi="黑体" w:eastAsia="黑体"/>
          <w:szCs w:val="21"/>
        </w:rPr>
        <w:br w:type="page"/>
      </w: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220" w:type="dxa"/>
            <w:tcBorders>
              <w:top w:val="nil"/>
              <w:left w:val="single" w:color="auto" w:sz="8" w:space="0"/>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15.00</w:t>
            </w:r>
          </w:p>
        </w:tc>
        <w:tc>
          <w:tcPr>
            <w:tcW w:w="1220" w:type="dxa"/>
            <w:tcBorders>
              <w:top w:val="nil"/>
              <w:left w:val="nil"/>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14.00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14.00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1.00</w:t>
            </w:r>
          </w:p>
        </w:tc>
        <w:tc>
          <w:tcPr>
            <w:tcW w:w="1220" w:type="dxa"/>
            <w:tcBorders>
              <w:top w:val="nil"/>
              <w:left w:val="nil"/>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9.26</w:t>
            </w:r>
          </w:p>
        </w:tc>
        <w:tc>
          <w:tcPr>
            <w:tcW w:w="1220" w:type="dxa"/>
            <w:tcBorders>
              <w:top w:val="nil"/>
              <w:left w:val="nil"/>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8.71</w:t>
            </w:r>
          </w:p>
        </w:tc>
        <w:tc>
          <w:tcPr>
            <w:tcW w:w="122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nil"/>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8.71</w:t>
            </w:r>
          </w:p>
        </w:tc>
        <w:tc>
          <w:tcPr>
            <w:tcW w:w="1220" w:type="dxa"/>
            <w:tcBorders>
              <w:top w:val="nil"/>
              <w:left w:val="single" w:color="auto" w:sz="4" w:space="0"/>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0.55</w:t>
            </w:r>
          </w:p>
        </w:tc>
      </w:tr>
    </w:tbl>
    <w:p>
      <w:pPr>
        <w:autoSpaceDE w:val="0"/>
        <w:autoSpaceDN w:val="0"/>
        <w:adjustRightInd w:val="0"/>
        <w:ind w:left="315" w:leftChars="150"/>
        <w:jc w:val="left"/>
        <w:rPr>
          <w:rFonts w:hint="eastAsia" w:ascii="宋体" w:eastAsia="宋体" w:cs="宋体"/>
          <w:kern w:val="0"/>
          <w:sz w:val="24"/>
          <w:szCs w:val="24"/>
        </w:rPr>
      </w:pPr>
    </w:p>
    <w:p>
      <w:pPr>
        <w:autoSpaceDE w:val="0"/>
        <w:autoSpaceDN w:val="0"/>
        <w:adjustRightInd w:val="0"/>
        <w:ind w:left="315" w:leftChars="150"/>
        <w:jc w:val="left"/>
        <w:rPr>
          <w:rFonts w:hint="eastAsia" w:ascii="宋体" w:eastAsia="宋体" w:cs="宋体"/>
          <w:kern w:val="0"/>
          <w:sz w:val="24"/>
          <w:szCs w:val="24"/>
        </w:rPr>
      </w:pPr>
    </w:p>
    <w:p>
      <w:pPr>
        <w:autoSpaceDE w:val="0"/>
        <w:autoSpaceDN w:val="0"/>
        <w:adjustRightInd w:val="0"/>
        <w:ind w:left="315" w:leftChars="1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br w:type="page"/>
      </w:r>
      <w:bookmarkStart w:id="2" w:name="_GoBack"/>
      <w:bookmarkEnd w:id="2"/>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注：</w:t>
      </w:r>
      <w:r>
        <w:rPr>
          <w:rFonts w:hint="eastAsia" w:ascii="Times New Roman" w:hAnsi="Times New Roman" w:eastAsia="仿宋_GB2312" w:cs="Times New Roman"/>
          <w:kern w:val="0"/>
          <w:szCs w:val="21"/>
          <w:lang w:val="en-US" w:eastAsia="zh-CN"/>
        </w:rPr>
        <w:t>1.</w:t>
      </w:r>
      <w:r>
        <w:rPr>
          <w:rFonts w:ascii="Times New Roman" w:hAnsi="Times New Roman" w:eastAsia="仿宋_GB2312" w:cs="Times New Roman"/>
          <w:kern w:val="0"/>
          <w:szCs w:val="21"/>
        </w:rPr>
        <w:t>本表反映部门本年度政府性基金预算财政拨款收入、支出及结转和结余情况</w:t>
      </w:r>
      <w:r>
        <w:rPr>
          <w:rFonts w:hint="eastAsia" w:ascii="Times New Roman" w:hAnsi="Times New Roman" w:eastAsia="仿宋_GB2312" w:cs="Times New Roman"/>
          <w:kern w:val="0"/>
          <w:szCs w:val="21"/>
          <w:lang w:eastAsia="zh-CN"/>
        </w:rPr>
        <w:t>。</w:t>
      </w:r>
    </w:p>
    <w:p>
      <w:pPr>
        <w:widowControl/>
        <w:ind w:firstLine="420" w:firstLineChars="200"/>
        <w:jc w:val="left"/>
        <w:rPr>
          <w:rFonts w:hint="eastAsia" w:ascii="Times New Roman" w:hAnsi="Times New Roman" w:eastAsia="仿宋_GB2312" w:cs="Times New Roman"/>
          <w:kern w:val="0"/>
          <w:szCs w:val="21"/>
          <w:lang w:eastAsia="zh-CN"/>
        </w:rPr>
        <w:sectPr>
          <w:pgSz w:w="16838" w:h="11906" w:orient="landscape"/>
          <w:pgMar w:top="0" w:right="1440" w:bottom="0" w:left="1440" w:header="851" w:footer="992" w:gutter="0"/>
          <w:cols w:space="720" w:num="1"/>
          <w:rtlGutter w:val="0"/>
          <w:docGrid w:type="linesAndChars" w:linePitch="312" w:charSpace="0"/>
        </w:sectPr>
      </w:pPr>
      <w:r>
        <w:rPr>
          <w:rFonts w:hint="eastAsia" w:ascii="Times New Roman" w:hAnsi="Times New Roman" w:eastAsia="仿宋_GB2312" w:cs="Times New Roman"/>
          <w:kern w:val="0"/>
          <w:szCs w:val="21"/>
          <w:lang w:val="en-US" w:eastAsia="zh-CN"/>
        </w:rPr>
        <w:t>2.本</w:t>
      </w:r>
      <w:r>
        <w:rPr>
          <w:rFonts w:hint="eastAsia" w:ascii="Times New Roman" w:hAnsi="Times New Roman" w:eastAsia="仿宋_GB2312" w:cs="Times New Roman"/>
          <w:kern w:val="0"/>
          <w:szCs w:val="21"/>
        </w:rPr>
        <w:t>单位没有政府性基金收入，也没有使用政府性基金安排的支出，故本表无数据</w:t>
      </w:r>
      <w:r>
        <w:rPr>
          <w:rFonts w:hint="eastAsia" w:ascii="Times New Roman" w:hAnsi="Times New Roman" w:eastAsia="仿宋_GB2312" w:cs="Times New Roman"/>
          <w:kern w:val="0"/>
          <w:szCs w:val="21"/>
          <w:lang w:eastAsia="zh-CN"/>
        </w:rPr>
        <w:t>。</w:t>
      </w:r>
    </w:p>
    <w:p>
      <w:pPr>
        <w:pStyle w:val="7"/>
        <w:rPr>
          <w:rFonts w:hint="eastAsia"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48E6220"/>
    <w:rsid w:val="05696D0A"/>
    <w:rsid w:val="0A571248"/>
    <w:rsid w:val="0C107C50"/>
    <w:rsid w:val="0EFC4A92"/>
    <w:rsid w:val="13A962D9"/>
    <w:rsid w:val="1909149F"/>
    <w:rsid w:val="1A285251"/>
    <w:rsid w:val="1C6A4297"/>
    <w:rsid w:val="1DCF2465"/>
    <w:rsid w:val="204771FA"/>
    <w:rsid w:val="2394692C"/>
    <w:rsid w:val="25BC4F19"/>
    <w:rsid w:val="2B1B0254"/>
    <w:rsid w:val="2B260179"/>
    <w:rsid w:val="3012453F"/>
    <w:rsid w:val="37E05D8B"/>
    <w:rsid w:val="39B66828"/>
    <w:rsid w:val="3CB94DA3"/>
    <w:rsid w:val="3D9B5FC5"/>
    <w:rsid w:val="3DC40CD9"/>
    <w:rsid w:val="43610D1A"/>
    <w:rsid w:val="49805EC3"/>
    <w:rsid w:val="4F7041FE"/>
    <w:rsid w:val="4FBE009F"/>
    <w:rsid w:val="50ED06A2"/>
    <w:rsid w:val="52FD3098"/>
    <w:rsid w:val="54E85755"/>
    <w:rsid w:val="58AC67AD"/>
    <w:rsid w:val="5A1F2FBD"/>
    <w:rsid w:val="679E76D8"/>
    <w:rsid w:val="69A81C99"/>
    <w:rsid w:val="6A0B5C56"/>
    <w:rsid w:val="733B68E2"/>
    <w:rsid w:val="759E2EAA"/>
    <w:rsid w:val="76864F1B"/>
    <w:rsid w:val="78A027B6"/>
    <w:rsid w:val="7CF15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2021-05-08T17:10:05Z</dcterms:modified>
  <dc:title>收入支出决算总表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64620A57207F4384B89461D27C2F68FD</vt:lpwstr>
  </property>
</Properties>
</file>