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部门：株洲市芦淞区机关事务服务中心</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bl>
      <w:tblPr>
        <w:tblStyle w:val="6"/>
        <w:tblW w:w="14061" w:type="dxa"/>
        <w:jc w:val="center"/>
        <w:tblInd w:w="0" w:type="dxa"/>
        <w:tblLayout w:type="fixed"/>
        <w:tblCellMar>
          <w:top w:w="0" w:type="dxa"/>
          <w:left w:w="108" w:type="dxa"/>
          <w:bottom w:w="0" w:type="dxa"/>
          <w:right w:w="108" w:type="dxa"/>
        </w:tblCellMar>
      </w:tblPr>
      <w:tblGrid>
        <w:gridCol w:w="3656"/>
        <w:gridCol w:w="495"/>
        <w:gridCol w:w="2707"/>
        <w:gridCol w:w="3366"/>
        <w:gridCol w:w="469"/>
        <w:gridCol w:w="3368"/>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收入</w:t>
            </w:r>
          </w:p>
        </w:tc>
        <w:tc>
          <w:tcPr>
            <w:tcW w:w="7203"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支出</w:t>
            </w: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项    目</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行次</w:t>
            </w:r>
          </w:p>
        </w:tc>
        <w:tc>
          <w:tcPr>
            <w:tcW w:w="270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决算数</w:t>
            </w:r>
          </w:p>
        </w:tc>
        <w:tc>
          <w:tcPr>
            <w:tcW w:w="33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项    目</w:t>
            </w:r>
          </w:p>
        </w:tc>
        <w:tc>
          <w:tcPr>
            <w:tcW w:w="4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行次</w:t>
            </w:r>
          </w:p>
        </w:tc>
        <w:tc>
          <w:tcPr>
            <w:tcW w:w="336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决算数</w:t>
            </w: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栏    次</w:t>
            </w:r>
          </w:p>
        </w:tc>
        <w:tc>
          <w:tcPr>
            <w:tcW w:w="495" w:type="dxa"/>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270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w:t>
            </w:r>
          </w:p>
        </w:tc>
        <w:tc>
          <w:tcPr>
            <w:tcW w:w="33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栏    次</w:t>
            </w:r>
          </w:p>
        </w:tc>
        <w:tc>
          <w:tcPr>
            <w:tcW w:w="469"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1"/>
                <w:szCs w:val="21"/>
              </w:rPr>
            </w:pPr>
          </w:p>
        </w:tc>
        <w:tc>
          <w:tcPr>
            <w:tcW w:w="336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w:t>
            </w: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一、一般公共预算财政拨款收入</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27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2,773.54 </w:t>
            </w:r>
          </w:p>
        </w:tc>
        <w:tc>
          <w:tcPr>
            <w:tcW w:w="3366"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一、一般公共服务支出</w:t>
            </w:r>
          </w:p>
        </w:tc>
        <w:tc>
          <w:tcPr>
            <w:tcW w:w="469"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15</w:t>
            </w:r>
          </w:p>
        </w:tc>
        <w:tc>
          <w:tcPr>
            <w:tcW w:w="336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 2,574.39 </w:t>
            </w: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二、政府性基金预算财政拨款收入</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2707"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bidi="ar-SA"/>
              </w:rPr>
            </w:pPr>
          </w:p>
        </w:tc>
        <w:tc>
          <w:tcPr>
            <w:tcW w:w="3366"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二、外交支出</w:t>
            </w:r>
          </w:p>
        </w:tc>
        <w:tc>
          <w:tcPr>
            <w:tcW w:w="469"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16</w:t>
            </w:r>
          </w:p>
        </w:tc>
        <w:tc>
          <w:tcPr>
            <w:tcW w:w="3368"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rPr>
            </w:pP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三、上级补助收入</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3</w:t>
            </w:r>
          </w:p>
        </w:tc>
        <w:tc>
          <w:tcPr>
            <w:tcW w:w="2707"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bidi="ar-SA"/>
              </w:rPr>
            </w:pPr>
          </w:p>
        </w:tc>
        <w:tc>
          <w:tcPr>
            <w:tcW w:w="3366"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三、国防支出</w:t>
            </w:r>
          </w:p>
        </w:tc>
        <w:tc>
          <w:tcPr>
            <w:tcW w:w="469"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17</w:t>
            </w:r>
          </w:p>
        </w:tc>
        <w:tc>
          <w:tcPr>
            <w:tcW w:w="3368"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rPr>
            </w:pP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四、事业收入</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4</w:t>
            </w:r>
          </w:p>
        </w:tc>
        <w:tc>
          <w:tcPr>
            <w:tcW w:w="2707"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bidi="ar-SA"/>
              </w:rPr>
            </w:pPr>
          </w:p>
        </w:tc>
        <w:tc>
          <w:tcPr>
            <w:tcW w:w="3366"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四、公共安全支出</w:t>
            </w:r>
          </w:p>
        </w:tc>
        <w:tc>
          <w:tcPr>
            <w:tcW w:w="469"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18</w:t>
            </w:r>
          </w:p>
        </w:tc>
        <w:tc>
          <w:tcPr>
            <w:tcW w:w="3368"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rPr>
            </w:pP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五、经营收入</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5</w:t>
            </w:r>
          </w:p>
        </w:tc>
        <w:tc>
          <w:tcPr>
            <w:tcW w:w="2707"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bidi="ar-SA"/>
              </w:rPr>
            </w:pPr>
          </w:p>
        </w:tc>
        <w:tc>
          <w:tcPr>
            <w:tcW w:w="3366"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五、教育支出</w:t>
            </w:r>
          </w:p>
        </w:tc>
        <w:tc>
          <w:tcPr>
            <w:tcW w:w="469"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19</w:t>
            </w:r>
          </w:p>
        </w:tc>
        <w:tc>
          <w:tcPr>
            <w:tcW w:w="3368"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rPr>
            </w:pP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六、附属单位上缴收入</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6</w:t>
            </w:r>
          </w:p>
        </w:tc>
        <w:tc>
          <w:tcPr>
            <w:tcW w:w="27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 </w:t>
            </w:r>
          </w:p>
        </w:tc>
        <w:tc>
          <w:tcPr>
            <w:tcW w:w="3366"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六、科学技术支出</w:t>
            </w:r>
          </w:p>
        </w:tc>
        <w:tc>
          <w:tcPr>
            <w:tcW w:w="469"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20</w:t>
            </w:r>
          </w:p>
        </w:tc>
        <w:tc>
          <w:tcPr>
            <w:tcW w:w="336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 279.00 </w:t>
            </w: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七、其他收入</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7</w:t>
            </w:r>
          </w:p>
        </w:tc>
        <w:tc>
          <w:tcPr>
            <w:tcW w:w="2707"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73.06</w:t>
            </w:r>
          </w:p>
        </w:tc>
        <w:tc>
          <w:tcPr>
            <w:tcW w:w="3366"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七、文化旅游体育与传媒支出</w:t>
            </w:r>
          </w:p>
        </w:tc>
        <w:tc>
          <w:tcPr>
            <w:tcW w:w="469"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21</w:t>
            </w:r>
          </w:p>
        </w:tc>
        <w:tc>
          <w:tcPr>
            <w:tcW w:w="3368"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rPr>
            </w:pP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jc w:val="left"/>
              <w:rPr>
                <w:rFonts w:hint="eastAsia" w:ascii="仿宋" w:hAnsi="仿宋" w:eastAsia="仿宋" w:cs="仿宋"/>
                <w:kern w:val="0"/>
                <w:sz w:val="21"/>
                <w:szCs w:val="21"/>
              </w:rPr>
            </w:pP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8</w:t>
            </w:r>
          </w:p>
        </w:tc>
        <w:tc>
          <w:tcPr>
            <w:tcW w:w="2707"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c>
          <w:tcPr>
            <w:tcW w:w="33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八、社会保障和就业支出</w:t>
            </w:r>
          </w:p>
        </w:tc>
        <w:tc>
          <w:tcPr>
            <w:tcW w:w="4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22</w:t>
            </w:r>
          </w:p>
        </w:tc>
        <w:tc>
          <w:tcPr>
            <w:tcW w:w="3368"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rPr>
            </w:pP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jc w:val="left"/>
              <w:rPr>
                <w:rFonts w:hint="eastAsia" w:ascii="仿宋" w:hAnsi="仿宋" w:eastAsia="仿宋" w:cs="仿宋"/>
                <w:b/>
                <w:bCs/>
                <w:kern w:val="0"/>
                <w:sz w:val="21"/>
                <w:szCs w:val="21"/>
              </w:rPr>
            </w:pP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9</w:t>
            </w:r>
          </w:p>
        </w:tc>
        <w:tc>
          <w:tcPr>
            <w:tcW w:w="2707"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rPr>
            </w:pPr>
          </w:p>
        </w:tc>
        <w:tc>
          <w:tcPr>
            <w:tcW w:w="33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九、卫生健康支出</w:t>
            </w:r>
          </w:p>
        </w:tc>
        <w:tc>
          <w:tcPr>
            <w:tcW w:w="4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23</w:t>
            </w:r>
          </w:p>
        </w:tc>
        <w:tc>
          <w:tcPr>
            <w:tcW w:w="3368" w:type="dxa"/>
            <w:tcBorders>
              <w:top w:val="nil"/>
              <w:left w:val="nil"/>
              <w:bottom w:val="single" w:color="auto" w:sz="4" w:space="0"/>
              <w:right w:val="single" w:color="auto" w:sz="4" w:space="0"/>
            </w:tcBorders>
            <w:vAlign w:val="center"/>
          </w:tcPr>
          <w:p>
            <w:pPr>
              <w:jc w:val="right"/>
              <w:rPr>
                <w:rFonts w:hint="eastAsia" w:ascii="仿宋" w:hAnsi="仿宋" w:eastAsia="仿宋" w:cs="仿宋"/>
                <w:b/>
                <w:bCs/>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jc w:val="left"/>
              <w:rPr>
                <w:rFonts w:hint="eastAsia" w:ascii="仿宋" w:hAnsi="仿宋" w:eastAsia="仿宋" w:cs="仿宋"/>
                <w:kern w:val="0"/>
                <w:sz w:val="21"/>
                <w:szCs w:val="21"/>
              </w:rPr>
            </w:pP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10</w:t>
            </w:r>
          </w:p>
        </w:tc>
        <w:tc>
          <w:tcPr>
            <w:tcW w:w="2707"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rPr>
            </w:pPr>
          </w:p>
        </w:tc>
        <w:tc>
          <w:tcPr>
            <w:tcW w:w="33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十、节能环保支出</w:t>
            </w:r>
          </w:p>
        </w:tc>
        <w:tc>
          <w:tcPr>
            <w:tcW w:w="4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24</w:t>
            </w:r>
          </w:p>
        </w:tc>
        <w:tc>
          <w:tcPr>
            <w:tcW w:w="336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本年收入合计</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11</w:t>
            </w:r>
          </w:p>
        </w:tc>
        <w:tc>
          <w:tcPr>
            <w:tcW w:w="27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lang w:val="en-US" w:eastAsia="zh-CN"/>
              </w:rPr>
            </w:pPr>
            <w:r>
              <w:rPr>
                <w:rFonts w:hint="eastAsia" w:ascii="仿宋" w:hAnsi="仿宋" w:eastAsia="仿宋" w:cs="仿宋"/>
                <w:b/>
                <w:i w:val="0"/>
                <w:color w:val="000000"/>
                <w:kern w:val="0"/>
                <w:sz w:val="21"/>
                <w:szCs w:val="21"/>
                <w:u w:val="none"/>
                <w:lang w:val="en-US" w:eastAsia="zh-CN" w:bidi="ar"/>
              </w:rPr>
              <w:t xml:space="preserve"> 2,846.60 </w:t>
            </w:r>
          </w:p>
        </w:tc>
        <w:tc>
          <w:tcPr>
            <w:tcW w:w="33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本年支出合计</w:t>
            </w:r>
          </w:p>
        </w:tc>
        <w:tc>
          <w:tcPr>
            <w:tcW w:w="4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25</w:t>
            </w:r>
          </w:p>
        </w:tc>
        <w:tc>
          <w:tcPr>
            <w:tcW w:w="336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 xml:space="preserve"> 2,860.87 </w:t>
            </w: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用事业基金弥补收支差额</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12</w:t>
            </w:r>
          </w:p>
        </w:tc>
        <w:tc>
          <w:tcPr>
            <w:tcW w:w="2707"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lang w:val="en-US" w:eastAsia="zh-CN"/>
              </w:rPr>
            </w:pPr>
          </w:p>
        </w:tc>
        <w:tc>
          <w:tcPr>
            <w:tcW w:w="33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结余分配</w:t>
            </w:r>
          </w:p>
        </w:tc>
        <w:tc>
          <w:tcPr>
            <w:tcW w:w="4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26</w:t>
            </w:r>
          </w:p>
        </w:tc>
        <w:tc>
          <w:tcPr>
            <w:tcW w:w="3368"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年初结转和结余</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w:t>
            </w:r>
          </w:p>
        </w:tc>
        <w:tc>
          <w:tcPr>
            <w:tcW w:w="27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 341.76 </w:t>
            </w:r>
          </w:p>
        </w:tc>
        <w:tc>
          <w:tcPr>
            <w:tcW w:w="33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年末结转和结余</w:t>
            </w:r>
          </w:p>
        </w:tc>
        <w:tc>
          <w:tcPr>
            <w:tcW w:w="4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27</w:t>
            </w:r>
          </w:p>
        </w:tc>
        <w:tc>
          <w:tcPr>
            <w:tcW w:w="336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327.49 </w:t>
            </w:r>
          </w:p>
        </w:tc>
      </w:tr>
      <w:tr>
        <w:tblPrEx>
          <w:tblLayout w:type="fixed"/>
          <w:tblCellMar>
            <w:top w:w="0" w:type="dxa"/>
            <w:left w:w="108" w:type="dxa"/>
            <w:bottom w:w="0" w:type="dxa"/>
            <w:right w:w="108" w:type="dxa"/>
          </w:tblCellMar>
        </w:tblPrEx>
        <w:trPr>
          <w:trHeight w:val="340" w:hRule="atLeast"/>
          <w:jc w:val="center"/>
        </w:trPr>
        <w:tc>
          <w:tcPr>
            <w:tcW w:w="365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bCs/>
                <w:kern w:val="0"/>
                <w:sz w:val="21"/>
                <w:szCs w:val="21"/>
              </w:rPr>
            </w:pPr>
            <w:r>
              <w:rPr>
                <w:rFonts w:hint="eastAsia" w:ascii="仿宋" w:hAnsi="仿宋" w:eastAsia="仿宋" w:cs="仿宋"/>
                <w:b/>
                <w:i w:val="0"/>
                <w:color w:val="000000"/>
                <w:kern w:val="0"/>
                <w:sz w:val="21"/>
                <w:szCs w:val="21"/>
                <w:u w:val="none"/>
                <w:lang w:val="en-US" w:eastAsia="zh-CN" w:bidi="ar"/>
              </w:rPr>
              <w:t>总计</w:t>
            </w:r>
          </w:p>
        </w:tc>
        <w:tc>
          <w:tcPr>
            <w:tcW w:w="4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14</w:t>
            </w:r>
          </w:p>
        </w:tc>
        <w:tc>
          <w:tcPr>
            <w:tcW w:w="27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lang w:val="en-US" w:eastAsia="zh-CN"/>
              </w:rPr>
            </w:pPr>
            <w:r>
              <w:rPr>
                <w:rFonts w:hint="eastAsia" w:ascii="仿宋" w:hAnsi="仿宋" w:eastAsia="仿宋" w:cs="仿宋"/>
                <w:b/>
                <w:i w:val="0"/>
                <w:color w:val="000000"/>
                <w:kern w:val="0"/>
                <w:sz w:val="21"/>
                <w:szCs w:val="21"/>
                <w:u w:val="none"/>
                <w:lang w:val="en-US" w:eastAsia="zh-CN" w:bidi="ar"/>
              </w:rPr>
              <w:t xml:space="preserve"> 3,188.36 </w:t>
            </w:r>
          </w:p>
        </w:tc>
        <w:tc>
          <w:tcPr>
            <w:tcW w:w="33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bCs/>
                <w:kern w:val="0"/>
                <w:sz w:val="21"/>
                <w:szCs w:val="21"/>
              </w:rPr>
            </w:pPr>
            <w:r>
              <w:rPr>
                <w:rFonts w:hint="eastAsia" w:ascii="仿宋" w:hAnsi="仿宋" w:eastAsia="仿宋" w:cs="仿宋"/>
                <w:b/>
                <w:i w:val="0"/>
                <w:color w:val="000000"/>
                <w:kern w:val="0"/>
                <w:sz w:val="21"/>
                <w:szCs w:val="21"/>
                <w:u w:val="none"/>
                <w:lang w:val="en-US" w:eastAsia="zh-CN" w:bidi="ar"/>
              </w:rPr>
              <w:t>总计</w:t>
            </w:r>
          </w:p>
        </w:tc>
        <w:tc>
          <w:tcPr>
            <w:tcW w:w="46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28</w:t>
            </w:r>
          </w:p>
        </w:tc>
        <w:tc>
          <w:tcPr>
            <w:tcW w:w="336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b/>
                <w:i w:val="0"/>
                <w:color w:val="000000"/>
                <w:kern w:val="0"/>
                <w:sz w:val="21"/>
                <w:szCs w:val="21"/>
                <w:u w:val="none"/>
                <w:lang w:val="en-US" w:eastAsia="zh-CN" w:bidi="ar"/>
              </w:rPr>
              <w:t xml:space="preserve"> 3,188.36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株洲市芦淞区机关事务服务中心</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3813" w:type="dxa"/>
        <w:jc w:val="center"/>
        <w:tblInd w:w="0" w:type="dxa"/>
        <w:tblLayout w:type="fixed"/>
        <w:tblCellMar>
          <w:top w:w="0" w:type="dxa"/>
          <w:left w:w="108" w:type="dxa"/>
          <w:bottom w:w="0" w:type="dxa"/>
          <w:right w:w="108" w:type="dxa"/>
        </w:tblCellMar>
      </w:tblPr>
      <w:tblGrid>
        <w:gridCol w:w="1222"/>
        <w:gridCol w:w="2599"/>
        <w:gridCol w:w="1391"/>
        <w:gridCol w:w="1350"/>
        <w:gridCol w:w="1125"/>
        <w:gridCol w:w="1027"/>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3821" w:type="dxa"/>
            <w:gridSpan w:val="2"/>
            <w:tcBorders>
              <w:top w:val="single" w:color="auto" w:sz="8" w:space="0"/>
              <w:left w:val="single" w:color="auto" w:sz="8"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项    目</w:t>
            </w:r>
          </w:p>
        </w:tc>
        <w:tc>
          <w:tcPr>
            <w:tcW w:w="1391"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本年收入合计</w:t>
            </w:r>
          </w:p>
        </w:tc>
        <w:tc>
          <w:tcPr>
            <w:tcW w:w="135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财政拨款收入</w:t>
            </w:r>
          </w:p>
        </w:tc>
        <w:tc>
          <w:tcPr>
            <w:tcW w:w="11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上级补助收入</w:t>
            </w:r>
          </w:p>
        </w:tc>
        <w:tc>
          <w:tcPr>
            <w:tcW w:w="102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其他收入</w:t>
            </w:r>
          </w:p>
        </w:tc>
      </w:tr>
      <w:tr>
        <w:tblPrEx>
          <w:tblLayout w:type="fixed"/>
          <w:tblCellMar>
            <w:top w:w="0" w:type="dxa"/>
            <w:left w:w="108" w:type="dxa"/>
            <w:bottom w:w="0" w:type="dxa"/>
            <w:right w:w="108" w:type="dxa"/>
          </w:tblCellMar>
        </w:tblPrEx>
        <w:trPr>
          <w:trHeight w:val="450" w:hRule="atLeast"/>
          <w:jc w:val="center"/>
        </w:trPr>
        <w:tc>
          <w:tcPr>
            <w:tcW w:w="1222" w:type="dxa"/>
            <w:vMerge w:val="restart"/>
            <w:tcBorders>
              <w:top w:val="single" w:color="auto" w:sz="4" w:space="0"/>
              <w:left w:val="single" w:color="auto" w:sz="8"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功能分类科目编码</w:t>
            </w:r>
          </w:p>
        </w:tc>
        <w:tc>
          <w:tcPr>
            <w:tcW w:w="259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科目名称</w:t>
            </w:r>
          </w:p>
        </w:tc>
        <w:tc>
          <w:tcPr>
            <w:tcW w:w="1391" w:type="dxa"/>
            <w:vMerge w:val="continue"/>
            <w:tcBorders>
              <w:top w:val="single" w:color="auto" w:sz="8" w:space="0"/>
              <w:left w:val="single" w:color="auto" w:sz="4" w:space="0"/>
              <w:bottom w:val="single" w:color="000000" w:sz="4" w:space="0"/>
              <w:right w:val="single" w:color="auto" w:sz="4" w:space="0"/>
            </w:tcBorders>
            <w:vAlign w:val="center"/>
          </w:tcPr>
          <w:p>
            <w:pPr>
              <w:jc w:val="center"/>
              <w:rPr>
                <w:rFonts w:hint="eastAsia" w:ascii="仿宋" w:hAnsi="仿宋" w:eastAsia="仿宋" w:cs="仿宋"/>
                <w:kern w:val="0"/>
                <w:sz w:val="21"/>
                <w:szCs w:val="21"/>
              </w:rPr>
            </w:pPr>
          </w:p>
        </w:tc>
        <w:tc>
          <w:tcPr>
            <w:tcW w:w="1350" w:type="dxa"/>
            <w:vMerge w:val="continue"/>
            <w:tcBorders>
              <w:top w:val="single" w:color="auto" w:sz="8" w:space="0"/>
              <w:left w:val="single" w:color="auto" w:sz="4" w:space="0"/>
              <w:bottom w:val="single" w:color="000000" w:sz="4" w:space="0"/>
              <w:right w:val="single" w:color="auto" w:sz="4" w:space="0"/>
            </w:tcBorders>
            <w:vAlign w:val="center"/>
          </w:tcPr>
          <w:p>
            <w:pPr>
              <w:jc w:val="center"/>
              <w:rPr>
                <w:rFonts w:hint="eastAsia" w:ascii="仿宋" w:hAnsi="仿宋" w:eastAsia="仿宋" w:cs="仿宋"/>
                <w:kern w:val="0"/>
                <w:sz w:val="21"/>
                <w:szCs w:val="21"/>
              </w:rPr>
            </w:pPr>
          </w:p>
        </w:tc>
        <w:tc>
          <w:tcPr>
            <w:tcW w:w="1125" w:type="dxa"/>
            <w:vMerge w:val="continue"/>
            <w:tcBorders>
              <w:top w:val="single" w:color="auto" w:sz="8" w:space="0"/>
              <w:left w:val="single" w:color="auto" w:sz="4" w:space="0"/>
              <w:bottom w:val="single" w:color="000000" w:sz="4" w:space="0"/>
              <w:right w:val="single" w:color="auto" w:sz="4" w:space="0"/>
            </w:tcBorders>
            <w:vAlign w:val="center"/>
          </w:tcPr>
          <w:p>
            <w:pPr>
              <w:jc w:val="center"/>
              <w:rPr>
                <w:rFonts w:hint="eastAsia" w:ascii="仿宋" w:hAnsi="仿宋" w:eastAsia="仿宋" w:cs="仿宋"/>
                <w:kern w:val="0"/>
                <w:sz w:val="21"/>
                <w:szCs w:val="21"/>
              </w:rPr>
            </w:pPr>
          </w:p>
        </w:tc>
        <w:tc>
          <w:tcPr>
            <w:tcW w:w="1027" w:type="dxa"/>
            <w:vMerge w:val="continue"/>
            <w:tcBorders>
              <w:top w:val="single" w:color="auto" w:sz="8" w:space="0"/>
              <w:left w:val="single" w:color="auto" w:sz="4" w:space="0"/>
              <w:bottom w:val="single" w:color="000000" w:sz="4" w:space="0"/>
              <w:right w:val="single" w:color="auto" w:sz="4" w:space="0"/>
            </w:tcBorders>
            <w:vAlign w:val="center"/>
          </w:tcPr>
          <w:p>
            <w:pPr>
              <w:jc w:val="center"/>
              <w:rPr>
                <w:rFonts w:hint="eastAsia" w:ascii="仿宋" w:hAnsi="仿宋" w:eastAsia="仿宋" w:cs="仿宋"/>
                <w:kern w:val="0"/>
                <w:sz w:val="21"/>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jc w:val="center"/>
              <w:rPr>
                <w:rFonts w:hint="eastAsia" w:ascii="仿宋" w:hAnsi="仿宋" w:eastAsia="仿宋" w:cs="仿宋"/>
                <w:kern w:val="0"/>
                <w:sz w:val="21"/>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jc w:val="center"/>
              <w:rPr>
                <w:rFonts w:hint="eastAsia" w:ascii="仿宋" w:hAnsi="仿宋" w:eastAsia="仿宋" w:cs="仿宋"/>
                <w:kern w:val="0"/>
                <w:sz w:val="21"/>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vMerge w:val="continue"/>
            <w:tcBorders>
              <w:top w:val="single" w:color="auto" w:sz="4" w:space="0"/>
              <w:left w:val="single" w:color="auto" w:sz="8" w:space="0"/>
              <w:bottom w:val="single" w:color="000000" w:sz="4" w:space="0"/>
              <w:right w:val="nil"/>
            </w:tcBorders>
            <w:vAlign w:val="center"/>
          </w:tcPr>
          <w:p>
            <w:pPr>
              <w:widowControl/>
              <w:jc w:val="left"/>
              <w:rPr>
                <w:rFonts w:hint="eastAsia" w:ascii="仿宋" w:hAnsi="仿宋" w:eastAsia="仿宋" w:cs="仿宋"/>
                <w:kern w:val="0"/>
                <w:sz w:val="21"/>
                <w:szCs w:val="21"/>
              </w:rPr>
            </w:pPr>
          </w:p>
        </w:tc>
        <w:tc>
          <w:tcPr>
            <w:tcW w:w="259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1"/>
                <w:szCs w:val="21"/>
              </w:rPr>
            </w:pPr>
          </w:p>
        </w:tc>
        <w:tc>
          <w:tcPr>
            <w:tcW w:w="139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1"/>
                <w:szCs w:val="21"/>
              </w:rPr>
            </w:pPr>
          </w:p>
        </w:tc>
        <w:tc>
          <w:tcPr>
            <w:tcW w:w="135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1"/>
                <w:szCs w:val="21"/>
              </w:rPr>
            </w:pPr>
          </w:p>
        </w:tc>
        <w:tc>
          <w:tcPr>
            <w:tcW w:w="11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1"/>
                <w:szCs w:val="21"/>
              </w:rPr>
            </w:pPr>
          </w:p>
        </w:tc>
        <w:tc>
          <w:tcPr>
            <w:tcW w:w="10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1"/>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1"/>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kern w:val="0"/>
                <w:sz w:val="21"/>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3821"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栏次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w:t>
            </w:r>
          </w:p>
        </w:tc>
        <w:tc>
          <w:tcPr>
            <w:tcW w:w="10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w:t>
            </w:r>
          </w:p>
        </w:tc>
        <w:tc>
          <w:tcPr>
            <w:tcW w:w="1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w:t>
            </w:r>
          </w:p>
        </w:tc>
        <w:tc>
          <w:tcPr>
            <w:tcW w:w="201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w:t>
            </w:r>
          </w:p>
        </w:tc>
      </w:tr>
      <w:tr>
        <w:tblPrEx>
          <w:tblLayout w:type="fixed"/>
          <w:tblCellMar>
            <w:top w:w="0" w:type="dxa"/>
            <w:left w:w="108" w:type="dxa"/>
            <w:bottom w:w="0" w:type="dxa"/>
            <w:right w:w="108" w:type="dxa"/>
          </w:tblCellMar>
        </w:tblPrEx>
        <w:trPr>
          <w:trHeight w:val="450" w:hRule="atLeast"/>
          <w:jc w:val="center"/>
        </w:trPr>
        <w:tc>
          <w:tcPr>
            <w:tcW w:w="3821" w:type="dxa"/>
            <w:gridSpan w:val="2"/>
            <w:tcBorders>
              <w:top w:val="nil"/>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2,846.60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2,773.54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73.06 </w:t>
            </w: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2,560.12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2,487.06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73.06 </w:t>
            </w: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2,533.49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2,460.43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73.06 </w:t>
            </w: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377.14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377.14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34.65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34.65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2010303</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机关服务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6.11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6.11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2,115.59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2,042.53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73.06 </w:t>
            </w: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2.20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2.20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2.20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2.20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20111</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纪检监察事务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24.43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24.43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2011199</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其他纪检监察事务支出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24.43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24.43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279.00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279.00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49.00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49.00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2060199</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其他科学技术管理事务支出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49.00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49.00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科技重大项目</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230.00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230.00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2060901</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科技重大专项</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230.00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230.00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211</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节能环保支出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21101</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环境保护管理事务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2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2110199</w:t>
            </w:r>
          </w:p>
        </w:tc>
        <w:tc>
          <w:tcPr>
            <w:tcW w:w="25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其他环境保护管理事务支出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1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株洲市芦淞区机关事务服务中心</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6"/>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255"/>
        <w:gridCol w:w="2790"/>
        <w:gridCol w:w="1395"/>
        <w:gridCol w:w="1470"/>
        <w:gridCol w:w="1290"/>
        <w:gridCol w:w="1905"/>
        <w:gridCol w:w="1965"/>
        <w:gridCol w:w="20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450" w:hRule="atLeast"/>
          <w:jc w:val="center"/>
        </w:trPr>
        <w:tc>
          <w:tcPr>
            <w:tcW w:w="4045"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项    目</w:t>
            </w:r>
          </w:p>
        </w:tc>
        <w:tc>
          <w:tcPr>
            <w:tcW w:w="139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本年支出合计</w:t>
            </w:r>
          </w:p>
        </w:tc>
        <w:tc>
          <w:tcPr>
            <w:tcW w:w="1470"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基本支出</w:t>
            </w:r>
          </w:p>
        </w:tc>
        <w:tc>
          <w:tcPr>
            <w:tcW w:w="1290"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项目支出</w:t>
            </w:r>
          </w:p>
        </w:tc>
        <w:tc>
          <w:tcPr>
            <w:tcW w:w="190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上缴上级支出</w:t>
            </w:r>
          </w:p>
        </w:tc>
        <w:tc>
          <w:tcPr>
            <w:tcW w:w="196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经营支出</w:t>
            </w:r>
          </w:p>
        </w:tc>
        <w:tc>
          <w:tcPr>
            <w:tcW w:w="2019"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450" w:hRule="atLeast"/>
          <w:jc w:val="center"/>
        </w:trPr>
        <w:tc>
          <w:tcPr>
            <w:tcW w:w="125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功能分类科目编码</w:t>
            </w:r>
          </w:p>
        </w:tc>
        <w:tc>
          <w:tcPr>
            <w:tcW w:w="2790"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科目名称</w:t>
            </w:r>
          </w:p>
        </w:tc>
        <w:tc>
          <w:tcPr>
            <w:tcW w:w="1395" w:type="dxa"/>
            <w:vMerge w:val="continue"/>
            <w:shd w:val="clear" w:color="auto" w:fill="auto"/>
            <w:vAlign w:val="center"/>
          </w:tcPr>
          <w:p>
            <w:pPr>
              <w:jc w:val="center"/>
              <w:rPr>
                <w:rFonts w:hint="eastAsia" w:ascii="仿宋" w:hAnsi="仿宋" w:eastAsia="仿宋" w:cs="仿宋"/>
                <w:kern w:val="0"/>
                <w:sz w:val="21"/>
                <w:szCs w:val="21"/>
              </w:rPr>
            </w:pPr>
          </w:p>
        </w:tc>
        <w:tc>
          <w:tcPr>
            <w:tcW w:w="1470" w:type="dxa"/>
            <w:vMerge w:val="continue"/>
            <w:shd w:val="clear" w:color="auto" w:fill="auto"/>
            <w:vAlign w:val="center"/>
          </w:tcPr>
          <w:p>
            <w:pPr>
              <w:jc w:val="center"/>
              <w:rPr>
                <w:rFonts w:hint="eastAsia" w:ascii="仿宋" w:hAnsi="仿宋" w:eastAsia="仿宋" w:cs="仿宋"/>
                <w:kern w:val="0"/>
                <w:sz w:val="21"/>
                <w:szCs w:val="21"/>
              </w:rPr>
            </w:pPr>
          </w:p>
        </w:tc>
        <w:tc>
          <w:tcPr>
            <w:tcW w:w="1290" w:type="dxa"/>
            <w:vMerge w:val="continue"/>
            <w:shd w:val="clear" w:color="auto" w:fill="auto"/>
            <w:vAlign w:val="center"/>
          </w:tcPr>
          <w:p>
            <w:pPr>
              <w:jc w:val="center"/>
              <w:rPr>
                <w:rFonts w:hint="eastAsia" w:ascii="仿宋" w:hAnsi="仿宋" w:eastAsia="仿宋" w:cs="仿宋"/>
                <w:kern w:val="0"/>
                <w:sz w:val="21"/>
                <w:szCs w:val="21"/>
              </w:rPr>
            </w:pPr>
          </w:p>
        </w:tc>
        <w:tc>
          <w:tcPr>
            <w:tcW w:w="1905" w:type="dxa"/>
            <w:vMerge w:val="continue"/>
            <w:shd w:val="clear" w:color="auto" w:fill="auto"/>
            <w:vAlign w:val="center"/>
          </w:tcPr>
          <w:p>
            <w:pPr>
              <w:jc w:val="center"/>
              <w:rPr>
                <w:rFonts w:hint="eastAsia" w:ascii="仿宋" w:hAnsi="仿宋" w:eastAsia="仿宋" w:cs="仿宋"/>
                <w:kern w:val="0"/>
                <w:sz w:val="21"/>
                <w:szCs w:val="21"/>
              </w:rPr>
            </w:pPr>
          </w:p>
        </w:tc>
        <w:tc>
          <w:tcPr>
            <w:tcW w:w="1965" w:type="dxa"/>
            <w:vMerge w:val="continue"/>
            <w:shd w:val="clear" w:color="auto" w:fill="auto"/>
            <w:vAlign w:val="center"/>
          </w:tcPr>
          <w:p>
            <w:pPr>
              <w:jc w:val="center"/>
              <w:rPr>
                <w:rFonts w:hint="eastAsia" w:ascii="仿宋" w:hAnsi="仿宋" w:eastAsia="仿宋" w:cs="仿宋"/>
                <w:kern w:val="0"/>
                <w:sz w:val="21"/>
                <w:szCs w:val="21"/>
              </w:rPr>
            </w:pPr>
          </w:p>
        </w:tc>
        <w:tc>
          <w:tcPr>
            <w:tcW w:w="2019" w:type="dxa"/>
            <w:vMerge w:val="continue"/>
            <w:shd w:val="clear" w:color="auto" w:fill="auto"/>
            <w:vAlign w:val="center"/>
          </w:tcPr>
          <w:p>
            <w:pPr>
              <w:jc w:val="center"/>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vMerge w:val="continue"/>
            <w:shd w:val="clear" w:color="auto" w:fill="auto"/>
            <w:vAlign w:val="center"/>
          </w:tcPr>
          <w:p>
            <w:pPr>
              <w:widowControl/>
              <w:jc w:val="left"/>
              <w:rPr>
                <w:rFonts w:hint="eastAsia" w:ascii="仿宋" w:hAnsi="仿宋" w:eastAsia="仿宋" w:cs="仿宋"/>
                <w:kern w:val="0"/>
                <w:sz w:val="21"/>
                <w:szCs w:val="21"/>
              </w:rPr>
            </w:pPr>
          </w:p>
        </w:tc>
        <w:tc>
          <w:tcPr>
            <w:tcW w:w="2790" w:type="dxa"/>
            <w:vMerge w:val="continue"/>
            <w:shd w:val="clear" w:color="auto" w:fill="auto"/>
            <w:vAlign w:val="center"/>
          </w:tcPr>
          <w:p>
            <w:pPr>
              <w:widowControl/>
              <w:jc w:val="left"/>
              <w:rPr>
                <w:rFonts w:hint="eastAsia" w:ascii="仿宋" w:hAnsi="仿宋" w:eastAsia="仿宋" w:cs="仿宋"/>
                <w:kern w:val="0"/>
                <w:sz w:val="21"/>
                <w:szCs w:val="21"/>
              </w:rPr>
            </w:pPr>
          </w:p>
        </w:tc>
        <w:tc>
          <w:tcPr>
            <w:tcW w:w="1395" w:type="dxa"/>
            <w:vMerge w:val="continue"/>
            <w:shd w:val="clear" w:color="auto" w:fill="auto"/>
            <w:vAlign w:val="center"/>
          </w:tcPr>
          <w:p>
            <w:pPr>
              <w:widowControl/>
              <w:jc w:val="left"/>
              <w:rPr>
                <w:rFonts w:hint="eastAsia" w:ascii="仿宋" w:hAnsi="仿宋" w:eastAsia="仿宋" w:cs="仿宋"/>
                <w:kern w:val="0"/>
                <w:sz w:val="21"/>
                <w:szCs w:val="21"/>
              </w:rPr>
            </w:pPr>
          </w:p>
        </w:tc>
        <w:tc>
          <w:tcPr>
            <w:tcW w:w="1470" w:type="dxa"/>
            <w:vMerge w:val="continue"/>
            <w:shd w:val="clear" w:color="auto" w:fill="auto"/>
            <w:vAlign w:val="center"/>
          </w:tcPr>
          <w:p>
            <w:pPr>
              <w:widowControl/>
              <w:jc w:val="left"/>
              <w:rPr>
                <w:rFonts w:hint="eastAsia" w:ascii="仿宋" w:hAnsi="仿宋" w:eastAsia="仿宋" w:cs="仿宋"/>
                <w:kern w:val="0"/>
                <w:sz w:val="21"/>
                <w:szCs w:val="21"/>
              </w:rPr>
            </w:pPr>
          </w:p>
        </w:tc>
        <w:tc>
          <w:tcPr>
            <w:tcW w:w="1290" w:type="dxa"/>
            <w:vMerge w:val="continue"/>
            <w:shd w:val="clear" w:color="auto" w:fill="auto"/>
            <w:vAlign w:val="center"/>
          </w:tcPr>
          <w:p>
            <w:pPr>
              <w:widowControl/>
              <w:jc w:val="left"/>
              <w:rPr>
                <w:rFonts w:hint="eastAsia" w:ascii="仿宋" w:hAnsi="仿宋" w:eastAsia="仿宋" w:cs="仿宋"/>
                <w:kern w:val="0"/>
                <w:sz w:val="21"/>
                <w:szCs w:val="21"/>
              </w:rPr>
            </w:pPr>
          </w:p>
        </w:tc>
        <w:tc>
          <w:tcPr>
            <w:tcW w:w="1905" w:type="dxa"/>
            <w:vMerge w:val="continue"/>
            <w:shd w:val="clear" w:color="auto" w:fill="auto"/>
            <w:vAlign w:val="center"/>
          </w:tcPr>
          <w:p>
            <w:pPr>
              <w:widowControl/>
              <w:jc w:val="left"/>
              <w:rPr>
                <w:rFonts w:hint="eastAsia" w:ascii="仿宋" w:hAnsi="仿宋" w:eastAsia="仿宋" w:cs="仿宋"/>
                <w:kern w:val="0"/>
                <w:sz w:val="21"/>
                <w:szCs w:val="21"/>
              </w:rPr>
            </w:pPr>
          </w:p>
        </w:tc>
        <w:tc>
          <w:tcPr>
            <w:tcW w:w="1965" w:type="dxa"/>
            <w:vMerge w:val="continue"/>
            <w:shd w:val="clear" w:color="auto" w:fill="auto"/>
            <w:vAlign w:val="center"/>
          </w:tcPr>
          <w:p>
            <w:pPr>
              <w:widowControl/>
              <w:jc w:val="left"/>
              <w:rPr>
                <w:rFonts w:hint="eastAsia" w:ascii="仿宋" w:hAnsi="仿宋" w:eastAsia="仿宋" w:cs="仿宋"/>
                <w:kern w:val="0"/>
                <w:sz w:val="21"/>
                <w:szCs w:val="21"/>
              </w:rPr>
            </w:pPr>
          </w:p>
        </w:tc>
        <w:tc>
          <w:tcPr>
            <w:tcW w:w="2019" w:type="dxa"/>
            <w:vMerge w:val="continue"/>
            <w:shd w:val="clear" w:color="auto" w:fill="auto"/>
            <w:vAlign w:val="center"/>
          </w:tcPr>
          <w:p>
            <w:pPr>
              <w:widowControl/>
              <w:jc w:val="lef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4045"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栏次</w:t>
            </w:r>
          </w:p>
        </w:tc>
        <w:tc>
          <w:tcPr>
            <w:tcW w:w="1395"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w:t>
            </w:r>
          </w:p>
        </w:tc>
        <w:tc>
          <w:tcPr>
            <w:tcW w:w="1470"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w:t>
            </w:r>
          </w:p>
        </w:tc>
        <w:tc>
          <w:tcPr>
            <w:tcW w:w="1290"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w:t>
            </w:r>
          </w:p>
        </w:tc>
        <w:tc>
          <w:tcPr>
            <w:tcW w:w="1905"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w:t>
            </w:r>
          </w:p>
        </w:tc>
        <w:tc>
          <w:tcPr>
            <w:tcW w:w="1965"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w:t>
            </w:r>
          </w:p>
        </w:tc>
        <w:tc>
          <w:tcPr>
            <w:tcW w:w="2019" w:type="dxa"/>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4045"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2,860.87 </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381.67 </w:t>
            </w: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2,479.20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2,574.39 </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381.67 </w:t>
            </w: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2,192.72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2,547.75 </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379.47 </w:t>
            </w: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2,168.28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374.14 </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371.77 </w:t>
            </w: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2.36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34.65 </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0.21 </w:t>
            </w: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34.45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2010303</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机关服务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6.11 </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6.11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2,132.86 </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7.49 </w:t>
            </w: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2,125.36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2.20 </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2.20 </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2.20 </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2.20 </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20111</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纪检监察事务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24.43 </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24.43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2011199</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其他纪检监察事务支出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24.43 </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24.43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279.00 </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279.00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49.00 </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49.00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2060199</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其他科学技术管理事务支出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49.00 </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49.00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科技重大项目</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230.00 </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230.00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2060901</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科技重大专项</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230.00 </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230.00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211</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节能环保支出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21101</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环境保护管理事务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55"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2110199</w:t>
            </w:r>
          </w:p>
        </w:tc>
        <w:tc>
          <w:tcPr>
            <w:tcW w:w="279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其他环境保护管理事务支出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7.48 </w:t>
            </w:r>
          </w:p>
        </w:tc>
        <w:tc>
          <w:tcPr>
            <w:tcW w:w="1905" w:type="dxa"/>
            <w:shd w:val="clear" w:color="auto" w:fill="auto"/>
            <w:vAlign w:val="center"/>
          </w:tcPr>
          <w:p>
            <w:pPr>
              <w:jc w:val="right"/>
              <w:rPr>
                <w:rFonts w:hint="eastAsia" w:ascii="仿宋" w:hAnsi="仿宋" w:eastAsia="仿宋" w:cs="仿宋"/>
                <w:kern w:val="0"/>
                <w:sz w:val="21"/>
                <w:szCs w:val="21"/>
              </w:rPr>
            </w:pPr>
          </w:p>
        </w:tc>
        <w:tc>
          <w:tcPr>
            <w:tcW w:w="1965" w:type="dxa"/>
            <w:shd w:val="clear" w:color="auto" w:fill="auto"/>
            <w:vAlign w:val="center"/>
          </w:tcPr>
          <w:p>
            <w:pPr>
              <w:jc w:val="right"/>
              <w:rPr>
                <w:rFonts w:hint="eastAsia" w:ascii="仿宋" w:hAnsi="仿宋" w:eastAsia="仿宋" w:cs="仿宋"/>
                <w:kern w:val="0"/>
                <w:sz w:val="21"/>
                <w:szCs w:val="21"/>
              </w:rPr>
            </w:pPr>
          </w:p>
        </w:tc>
        <w:tc>
          <w:tcPr>
            <w:tcW w:w="2019" w:type="dxa"/>
            <w:shd w:val="clear" w:color="auto" w:fill="auto"/>
            <w:vAlign w:val="center"/>
          </w:tcPr>
          <w:p>
            <w:pPr>
              <w:jc w:val="right"/>
              <w:rPr>
                <w:rFonts w:hint="eastAsia" w:ascii="仿宋" w:hAnsi="仿宋" w:eastAsia="仿宋" w:cs="仿宋"/>
                <w:kern w:val="0"/>
                <w:sz w:val="21"/>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株洲市芦淞区机关事务服务中心</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6"/>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2"/>
                <w:szCs w:val="22"/>
                <w:u w:val="none"/>
                <w:lang w:val="en-US" w:eastAsia="zh-CN" w:bidi="ar"/>
              </w:rPr>
              <w:t xml:space="preserve"> 2,773.54 </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2,502.43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2,502.43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660" w:type="dxa"/>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660" w:type="dxa"/>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660" w:type="dxa"/>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660" w:type="dxa"/>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279.00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279.00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七、文化旅游体育与传媒支出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十、节能环保支出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7.48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7.48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2"/>
                <w:szCs w:val="22"/>
                <w:u w:val="none"/>
                <w:lang w:val="en-US" w:eastAsia="zh-CN" w:bidi="ar"/>
              </w:rPr>
              <w:t xml:space="preserve"> 2,773.54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2,788.91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2,788.91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2"/>
                <w:szCs w:val="22"/>
                <w:u w:val="none"/>
                <w:lang w:val="en-US" w:eastAsia="zh-CN" w:bidi="ar"/>
              </w:rPr>
              <w:t xml:space="preserve"> 43.60 </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28.23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28.23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2"/>
                <w:szCs w:val="22"/>
                <w:u w:val="none"/>
                <w:lang w:val="en-US" w:eastAsia="zh-CN" w:bidi="ar"/>
              </w:rPr>
              <w:t xml:space="preserve"> 43.60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2"/>
                <w:szCs w:val="22"/>
                <w:u w:val="none"/>
                <w:lang w:val="en-US" w:eastAsia="zh-CN" w:bidi="ar"/>
              </w:rPr>
              <w:t xml:space="preserve"> 2,817.14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2,817.14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2,817.14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株洲市芦淞区机关事务服务中心</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FFFFFF"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2,788.91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381.51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2,407.40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2,502.43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381.51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2,120.92</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2,475.80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379.31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2,096.49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374.14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371.77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34.65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0.21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34.45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机关服务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6.11</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6.11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7.33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2,053.57</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纪检监察事务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24.43</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24.43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其他纪检监察事务支出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24.43</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24.43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279.00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科技重大项目</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230.00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科技重大专项</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230.00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环境保护管理事务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2110199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其他环境保护管理事务支出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7.48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3527"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仿宋"/>
                <w:kern w:val="0"/>
                <w:sz w:val="21"/>
                <w:szCs w:val="21"/>
              </w:rPr>
            </w:pPr>
          </w:p>
        </w:tc>
        <w:tc>
          <w:tcPr>
            <w:tcW w:w="3000"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仿宋"/>
                <w:kern w:val="0"/>
                <w:sz w:val="21"/>
                <w:szCs w:val="21"/>
              </w:rPr>
            </w:pPr>
          </w:p>
        </w:tc>
        <w:tc>
          <w:tcPr>
            <w:tcW w:w="3492"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株洲市芦淞区机关事务服务中心</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314.68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38.02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91.82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3.74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80.46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74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0.4</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0.4</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23.56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0.73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13.34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6.84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0.79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0.27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23.87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0.81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28.41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0.64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1.94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23.78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9.83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0.65</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4.53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0.19</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2.04</w:t>
            </w: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5.91</w:t>
            </w: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bottom"/>
          </w:tcPr>
          <w:p>
            <w:pP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5.67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宋体" w:hAnsi="宋体" w:eastAsia="宋体" w:cs="宋体"/>
                <w:i w:val="0"/>
                <w:color w:val="000000"/>
                <w:kern w:val="0"/>
                <w:sz w:val="18"/>
                <w:szCs w:val="18"/>
                <w:u w:val="none"/>
                <w:lang w:val="en-US" w:eastAsia="zh-CN" w:bidi="ar"/>
              </w:rPr>
              <w:t>38.42</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株洲市芦淞区机关事务服务中心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Ind w:w="0" w:type="dxa"/>
        <w:tblLayout w:type="fixed"/>
        <w:tblCellMar>
          <w:top w:w="0" w:type="dxa"/>
          <w:left w:w="108" w:type="dxa"/>
          <w:bottom w:w="0" w:type="dxa"/>
          <w:right w:w="108" w:type="dxa"/>
        </w:tblCellMar>
      </w:tblPr>
      <w:tblGrid>
        <w:gridCol w:w="827"/>
        <w:gridCol w:w="788"/>
        <w:gridCol w:w="1616"/>
        <w:gridCol w:w="986"/>
        <w:gridCol w:w="1946"/>
        <w:gridCol w:w="1157"/>
        <w:gridCol w:w="1009"/>
        <w:gridCol w:w="1009"/>
        <w:gridCol w:w="1009"/>
        <w:gridCol w:w="1009"/>
        <w:gridCol w:w="1642"/>
        <w:gridCol w:w="1642"/>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决算数</w:t>
            </w:r>
          </w:p>
        </w:tc>
      </w:tr>
      <w:tr>
        <w:tblPrEx>
          <w:tblLayout w:type="fixed"/>
          <w:tblCellMar>
            <w:top w:w="0" w:type="dxa"/>
            <w:left w:w="108" w:type="dxa"/>
            <w:bottom w:w="0" w:type="dxa"/>
            <w:right w:w="108" w:type="dxa"/>
          </w:tblCellMar>
        </w:tblPrEx>
        <w:trPr>
          <w:trHeight w:val="397" w:hRule="atLeast"/>
          <w:jc w:val="center"/>
        </w:trPr>
        <w:tc>
          <w:tcPr>
            <w:tcW w:w="827" w:type="dxa"/>
            <w:vMerge w:val="restart"/>
            <w:tcBorders>
              <w:top w:val="nil"/>
              <w:left w:val="single" w:color="auto"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合计</w:t>
            </w:r>
          </w:p>
        </w:tc>
        <w:tc>
          <w:tcPr>
            <w:tcW w:w="788"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因公出国（境）费</w:t>
            </w:r>
          </w:p>
        </w:tc>
        <w:tc>
          <w:tcPr>
            <w:tcW w:w="4548"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公务用车购置及运行费</w:t>
            </w:r>
          </w:p>
        </w:tc>
        <w:tc>
          <w:tcPr>
            <w:tcW w:w="115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公务接待费</w:t>
            </w:r>
          </w:p>
        </w:tc>
        <w:tc>
          <w:tcPr>
            <w:tcW w:w="1009" w:type="dxa"/>
            <w:vMerge w:val="restart"/>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合计</w:t>
            </w:r>
          </w:p>
        </w:tc>
        <w:tc>
          <w:tcPr>
            <w:tcW w:w="100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公务用车购置及运行费</w:t>
            </w:r>
          </w:p>
        </w:tc>
        <w:tc>
          <w:tcPr>
            <w:tcW w:w="1642" w:type="dxa"/>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公务接待费</w:t>
            </w:r>
          </w:p>
        </w:tc>
      </w:tr>
      <w:tr>
        <w:tblPrEx>
          <w:tblLayout w:type="fixed"/>
          <w:tblCellMar>
            <w:top w:w="0" w:type="dxa"/>
            <w:left w:w="108" w:type="dxa"/>
            <w:bottom w:w="0" w:type="dxa"/>
            <w:right w:w="108" w:type="dxa"/>
          </w:tblCellMar>
        </w:tblPrEx>
        <w:trPr>
          <w:trHeight w:val="397" w:hRule="atLeast"/>
          <w:jc w:val="center"/>
        </w:trPr>
        <w:tc>
          <w:tcPr>
            <w:tcW w:w="827" w:type="dxa"/>
            <w:vMerge w:val="continue"/>
            <w:tcBorders>
              <w:top w:val="nil"/>
              <w:left w:val="single" w:color="auto" w:sz="8" w:space="0"/>
              <w:bottom w:val="single" w:color="000000" w:sz="4"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788"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小计</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公务用车购置费</w:t>
            </w:r>
          </w:p>
        </w:tc>
        <w:tc>
          <w:tcPr>
            <w:tcW w:w="19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公务用车运行费</w:t>
            </w:r>
          </w:p>
        </w:tc>
        <w:tc>
          <w:tcPr>
            <w:tcW w:w="1157"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009" w:type="dxa"/>
            <w:vMerge w:val="continue"/>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00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小计</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公务用车购置费</w:t>
            </w:r>
          </w:p>
        </w:tc>
        <w:tc>
          <w:tcPr>
            <w:tcW w:w="16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公务用车运行费</w:t>
            </w:r>
          </w:p>
        </w:tc>
        <w:tc>
          <w:tcPr>
            <w:tcW w:w="1642" w:type="dxa"/>
            <w:vMerge w:val="continue"/>
            <w:tcBorders>
              <w:top w:val="nil"/>
              <w:left w:val="single" w:color="auto" w:sz="4" w:space="0"/>
              <w:bottom w:val="single" w:color="000000" w:sz="4" w:space="0"/>
              <w:right w:val="single" w:color="auto" w:sz="8" w:space="0"/>
            </w:tcBorders>
            <w:shd w:val="clear" w:color="auto" w:fill="auto"/>
            <w:vAlign w:val="center"/>
          </w:tcPr>
          <w:p>
            <w:pPr>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97" w:hRule="atLeast"/>
          <w:jc w:val="center"/>
        </w:trPr>
        <w:tc>
          <w:tcPr>
            <w:tcW w:w="827"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w:t>
            </w:r>
          </w:p>
        </w:tc>
        <w:tc>
          <w:tcPr>
            <w:tcW w:w="7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w:t>
            </w: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w:t>
            </w:r>
          </w:p>
        </w:tc>
        <w:tc>
          <w:tcPr>
            <w:tcW w:w="19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w:t>
            </w:r>
          </w:p>
        </w:tc>
        <w:tc>
          <w:tcPr>
            <w:tcW w:w="11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w:t>
            </w:r>
          </w:p>
        </w:tc>
        <w:tc>
          <w:tcPr>
            <w:tcW w:w="16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w:t>
            </w:r>
          </w:p>
        </w:tc>
        <w:tc>
          <w:tcPr>
            <w:tcW w:w="164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w:t>
            </w:r>
          </w:p>
        </w:tc>
      </w:tr>
      <w:tr>
        <w:tblPrEx>
          <w:tblLayout w:type="fixed"/>
          <w:tblCellMar>
            <w:top w:w="0" w:type="dxa"/>
            <w:left w:w="108" w:type="dxa"/>
            <w:bottom w:w="0" w:type="dxa"/>
            <w:right w:w="108" w:type="dxa"/>
          </w:tblCellMar>
        </w:tblPrEx>
        <w:trPr>
          <w:trHeight w:val="397" w:hRule="atLeast"/>
          <w:jc w:val="center"/>
        </w:trPr>
        <w:tc>
          <w:tcPr>
            <w:tcW w:w="827"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181.8</w:t>
            </w:r>
          </w:p>
        </w:tc>
        <w:tc>
          <w:tcPr>
            <w:tcW w:w="788"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61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173</w:t>
            </w:r>
          </w:p>
        </w:tc>
        <w:tc>
          <w:tcPr>
            <w:tcW w:w="98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70</w:t>
            </w:r>
          </w:p>
        </w:tc>
        <w:tc>
          <w:tcPr>
            <w:tcW w:w="194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103</w:t>
            </w:r>
          </w:p>
        </w:tc>
        <w:tc>
          <w:tcPr>
            <w:tcW w:w="115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8.8</w:t>
            </w:r>
          </w:p>
        </w:tc>
        <w:tc>
          <w:tcPr>
            <w:tcW w:w="100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109.47</w:t>
            </w:r>
          </w:p>
        </w:tc>
        <w:tc>
          <w:tcPr>
            <w:tcW w:w="1009"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00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106.42</w:t>
            </w:r>
          </w:p>
        </w:tc>
        <w:tc>
          <w:tcPr>
            <w:tcW w:w="100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52.18</w:t>
            </w:r>
          </w:p>
        </w:tc>
        <w:tc>
          <w:tcPr>
            <w:tcW w:w="1642" w:type="dxa"/>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54.24</w:t>
            </w:r>
          </w:p>
        </w:tc>
        <w:tc>
          <w:tcPr>
            <w:tcW w:w="1642"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3.05</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株洲市芦淞区机关事务服务中心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bookmarkStart w:id="2" w:name="_GoBack"/>
            <w:bookmarkEnd w:id="2"/>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仿宋_GB2312" w:cs="Times New Roman"/>
          <w:kern w:val="0"/>
          <w:szCs w:val="21"/>
        </w:rPr>
        <w:t>本单位无政府性基金收支</w:t>
      </w:r>
      <w:r>
        <w:rPr>
          <w:rFonts w:hint="eastAsia" w:ascii="Times New Roman" w:hAnsi="Times New Roman" w:eastAsia="仿宋_GB2312" w:cs="Times New Roman"/>
          <w:kern w:val="0"/>
          <w:szCs w:val="21"/>
        </w:rPr>
        <w:t>,</w:t>
      </w:r>
      <w:r>
        <w:rPr>
          <w:rFonts w:hint="eastAsia" w:ascii="Times New Roman" w:hAnsi="Times New Roman" w:eastAsia="仿宋_GB2312" w:cs="Times New Roman"/>
          <w:color w:val="000000"/>
          <w:kern w:val="0"/>
          <w:szCs w:val="21"/>
        </w:rPr>
        <w:t>株洲市芦淞区机关事务服务中心</w:t>
      </w:r>
      <w:r>
        <w:rPr>
          <w:rFonts w:hint="eastAsia" w:ascii="Times New Roman" w:hAnsi="Times New Roman" w:eastAsia="仿宋_GB2312" w:cs="Times New Roman"/>
          <w:kern w:val="0"/>
          <w:szCs w:val="21"/>
        </w:rPr>
        <w:t>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2B841EE"/>
    <w:rsid w:val="04A02207"/>
    <w:rsid w:val="16A94A03"/>
    <w:rsid w:val="1B6962FD"/>
    <w:rsid w:val="21A27C76"/>
    <w:rsid w:val="22464743"/>
    <w:rsid w:val="23786927"/>
    <w:rsid w:val="24A142DC"/>
    <w:rsid w:val="29703B21"/>
    <w:rsid w:val="33DF638A"/>
    <w:rsid w:val="38B1159C"/>
    <w:rsid w:val="3E25386F"/>
    <w:rsid w:val="5522178F"/>
    <w:rsid w:val="589B2C80"/>
    <w:rsid w:val="639E6CDE"/>
    <w:rsid w:val="67706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ScaleCrop>false</ScaleCrop>
  <LinksUpToDate>false</LinksUpToDate>
  <CharactersWithSpaces>4864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2021-05-08T01:05:36Z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