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bookmarkStart w:id="2" w:name="_GoBack" w:colFirst="3" w:colLast="3"/>
            <w:r>
              <w:rPr>
                <w:rFonts w:hint="eastAsia" w:ascii="仿宋" w:hAnsi="仿宋" w:eastAsia="仿宋" w:cs="仿宋"/>
                <w:i w:val="0"/>
                <w:color w:val="000000"/>
                <w:kern w:val="0"/>
                <w:sz w:val="21"/>
                <w:szCs w:val="21"/>
                <w:u w:val="none"/>
                <w:lang w:val="en-US" w:eastAsia="zh-CN" w:bidi="ar"/>
              </w:rPr>
              <w:t>一、财政拨款收入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2,559.70</w:t>
            </w: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2,501.07</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仿宋" w:hAnsi="仿宋" w:eastAsia="仿宋" w:cs="仿宋"/>
                <w:i w:val="0"/>
                <w:color w:val="000000"/>
                <w:kern w:val="0"/>
                <w:sz w:val="21"/>
                <w:szCs w:val="21"/>
                <w:u w:val="none"/>
                <w:lang w:val="en-US" w:eastAsia="zh-CN" w:bidi="ar"/>
              </w:rPr>
              <w:t>二、上级补助收入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仿宋" w:hAnsi="仿宋" w:eastAsia="仿宋" w:cs="仿宋"/>
                <w:i w:val="0"/>
                <w:color w:val="000000"/>
                <w:kern w:val="0"/>
                <w:sz w:val="21"/>
                <w:szCs w:val="21"/>
                <w:u w:val="none"/>
                <w:lang w:val="en-US" w:eastAsia="zh-CN" w:bidi="ar"/>
              </w:rPr>
              <w:t>三、事业收入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仿宋" w:hAnsi="仿宋" w:eastAsia="仿宋" w:cs="仿宋"/>
                <w:i w:val="0"/>
                <w:color w:val="000000"/>
                <w:kern w:val="0"/>
                <w:sz w:val="21"/>
                <w:szCs w:val="21"/>
                <w:u w:val="none"/>
                <w:lang w:val="en-US" w:eastAsia="zh-CN" w:bidi="ar"/>
              </w:rPr>
              <w:t>四、经营收入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仿宋" w:hAnsi="仿宋" w:eastAsia="仿宋" w:cs="仿宋"/>
                <w:i w:val="0"/>
                <w:color w:val="000000"/>
                <w:kern w:val="0"/>
                <w:sz w:val="21"/>
                <w:szCs w:val="21"/>
                <w:u w:val="none"/>
                <w:lang w:val="en-US" w:eastAsia="zh-CN" w:bidi="ar"/>
              </w:rPr>
              <w:t>五、附属单位上缴收入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仿宋" w:hAnsi="仿宋" w:eastAsia="仿宋" w:cs="仿宋"/>
                <w:i w:val="0"/>
                <w:color w:val="000000"/>
                <w:kern w:val="0"/>
                <w:sz w:val="21"/>
                <w:szCs w:val="21"/>
                <w:u w:val="none"/>
                <w:lang w:val="en-US" w:eastAsia="zh-CN" w:bidi="ar"/>
              </w:rPr>
              <w:t>六、其他收入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0.51</w:t>
            </w: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49.00</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shd w:val="clear" w:color="FFFFFF"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十二、农林水支出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10.14</w:t>
            </w:r>
          </w:p>
        </w:tc>
      </w:tr>
      <w:bookmarkEnd w:id="2"/>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2,560.21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2,560.21</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 xml:space="preserve"> </w:t>
            </w:r>
            <w:r>
              <w:rPr>
                <w:rFonts w:hint="eastAsia" w:ascii="Times New Roman" w:hAnsi="Times New Roman" w:eastAsia="仿宋_GB2312" w:cs="Times New Roman"/>
                <w:kern w:val="0"/>
                <w:szCs w:val="21"/>
                <w:lang w:val="en-US" w:eastAsia="zh-CN"/>
              </w:rPr>
              <w:t xml:space="preserve">341.76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2,560.21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2,560.21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13" w:type="dxa"/>
        <w:jc w:val="center"/>
        <w:tblInd w:w="0" w:type="dxa"/>
        <w:tblLayout w:type="fixed"/>
        <w:tblCellMar>
          <w:top w:w="0" w:type="dxa"/>
          <w:left w:w="108" w:type="dxa"/>
          <w:bottom w:w="0" w:type="dxa"/>
          <w:right w:w="108" w:type="dxa"/>
        </w:tblCellMar>
      </w:tblPr>
      <w:tblGrid>
        <w:gridCol w:w="1197"/>
        <w:gridCol w:w="2624"/>
        <w:gridCol w:w="1391"/>
        <w:gridCol w:w="1350"/>
        <w:gridCol w:w="1125"/>
        <w:gridCol w:w="1027"/>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3821"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9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5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0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2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9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62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9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5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3821"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0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3821"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2,560.21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2,559.70</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0.51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2,501.07</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2,500.56</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2,009.65</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2,009.14</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115.62</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115.11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0.51</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2010302</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2010303</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机关服务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其他政府办公厅（室）及相关机构事务支出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财政事务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2010601</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其他一般公共服务支出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2019999</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其他一般公共服务支出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科学技术支出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20601</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科学技术管理事务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2060199</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其他科学技术管理事务支出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农林水支出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10.14</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10.14</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农业</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4.83</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4.83</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2130102</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一般行政管理事务</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2130199</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其他农业支出</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w:t>
            </w:r>
          </w:p>
        </w:tc>
        <w:tc>
          <w:tcPr>
            <w:tcW w:w="26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扶贫</w:t>
            </w:r>
          </w:p>
        </w:tc>
        <w:tc>
          <w:tcPr>
            <w:tcW w:w="13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3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125"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2130599</w:t>
            </w:r>
          </w:p>
        </w:tc>
        <w:tc>
          <w:tcPr>
            <w:tcW w:w="2624"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其他扶贫支出</w:t>
            </w:r>
          </w:p>
        </w:tc>
        <w:tc>
          <w:tcPr>
            <w:tcW w:w="13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35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125" w:type="dxa"/>
            <w:tcBorders>
              <w:top w:val="nil"/>
              <w:left w:val="nil"/>
              <w:bottom w:val="single" w:color="auto" w:sz="8"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27" w:type="dxa"/>
            <w:tcBorders>
              <w:top w:val="nil"/>
              <w:left w:val="nil"/>
              <w:bottom w:val="single" w:color="auto" w:sz="8"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102"/>
        <w:gridCol w:w="2943"/>
        <w:gridCol w:w="1395"/>
        <w:gridCol w:w="1470"/>
        <w:gridCol w:w="1290"/>
        <w:gridCol w:w="1905"/>
        <w:gridCol w:w="1965"/>
        <w:gridCol w:w="20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9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7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2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90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6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01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9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6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19"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9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7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0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6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019"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9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7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90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6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19"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4045" w:type="dxa"/>
            <w:gridSpan w:val="2"/>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合  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2,560.21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2,434.62</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125.59</w:t>
            </w: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2,501.07</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2,376.61</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2,009.65</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1,885.20</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115.61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115.61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2010303</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农林水支出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10.14</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9.00</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905" w:type="dxa"/>
            <w:shd w:val="clear" w:color="auto" w:fill="auto"/>
            <w:vAlign w:val="center"/>
          </w:tcPr>
          <w:p>
            <w:pPr>
              <w:widowControl/>
              <w:jc w:val="right"/>
              <w:rPr>
                <w:rFonts w:ascii="Times New Roman" w:hAnsi="Times New Roman" w:eastAsia="仿宋_GB2312" w:cs="Times New Roman"/>
                <w:kern w:val="0"/>
                <w:szCs w:val="21"/>
              </w:rPr>
            </w:pPr>
          </w:p>
        </w:tc>
        <w:tc>
          <w:tcPr>
            <w:tcW w:w="1965" w:type="dxa"/>
            <w:shd w:val="clear" w:color="auto" w:fill="auto"/>
            <w:vAlign w:val="center"/>
          </w:tcPr>
          <w:p>
            <w:pPr>
              <w:widowControl/>
              <w:jc w:val="right"/>
              <w:rPr>
                <w:rFonts w:ascii="Times New Roman" w:hAnsi="Times New Roman" w:eastAsia="仿宋_GB2312" w:cs="Times New Roman"/>
                <w:kern w:val="0"/>
                <w:szCs w:val="21"/>
              </w:rPr>
            </w:pPr>
          </w:p>
        </w:tc>
        <w:tc>
          <w:tcPr>
            <w:tcW w:w="2019"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农业</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4.83</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2130102</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470" w:type="dxa"/>
            <w:shd w:val="clear" w:color="auto" w:fill="auto"/>
            <w:vAlign w:val="center"/>
          </w:tcPr>
          <w:p>
            <w:pPr>
              <w:jc w:val="right"/>
              <w:rPr>
                <w:rFonts w:hint="eastAsia" w:ascii="仿宋" w:hAnsi="仿宋" w:eastAsia="仿宋" w:cs="仿宋"/>
                <w:kern w:val="0"/>
                <w:sz w:val="21"/>
                <w:szCs w:val="21"/>
              </w:rPr>
            </w:pPr>
          </w:p>
        </w:tc>
        <w:tc>
          <w:tcPr>
            <w:tcW w:w="129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其他农业支出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扶贫</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2130599</w:t>
            </w:r>
          </w:p>
        </w:tc>
        <w:tc>
          <w:tcPr>
            <w:tcW w:w="2943" w:type="dxa"/>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其他扶贫支出</w:t>
            </w:r>
          </w:p>
        </w:tc>
        <w:tc>
          <w:tcPr>
            <w:tcW w:w="1395"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47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1290" w:type="dxa"/>
            <w:shd w:val="clear" w:color="auto" w:fill="auto"/>
            <w:vAlign w:val="center"/>
          </w:tcPr>
          <w:p>
            <w:pPr>
              <w:jc w:val="right"/>
              <w:rPr>
                <w:rFonts w:hint="eastAsia" w:ascii="仿宋" w:hAnsi="仿宋" w:eastAsia="仿宋" w:cs="仿宋"/>
                <w:kern w:val="0"/>
                <w:sz w:val="21"/>
                <w:szCs w:val="21"/>
              </w:rPr>
            </w:pPr>
          </w:p>
        </w:tc>
        <w:tc>
          <w:tcPr>
            <w:tcW w:w="190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6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9"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2,559.70</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2,500.56</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2,500.56</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49.00</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49.00</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10.14</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10.14</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2,559.70</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2,559.70</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2,559.70</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2,559.70</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2,559.70</w:t>
            </w:r>
          </w:p>
        </w:tc>
        <w:tc>
          <w:tcPr>
            <w:tcW w:w="1660"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2,559.70</w:t>
            </w:r>
          </w:p>
        </w:tc>
        <w:tc>
          <w:tcPr>
            <w:tcW w:w="1572"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Ind w:w="0" w:type="dxa"/>
        <w:tblLayout w:type="fixed"/>
        <w:tblCellMar>
          <w:top w:w="0" w:type="dxa"/>
          <w:left w:w="108" w:type="dxa"/>
          <w:bottom w:w="0" w:type="dxa"/>
          <w:right w:w="108" w:type="dxa"/>
        </w:tblCellMar>
      </w:tblPr>
      <w:tblGrid>
        <w:gridCol w:w="999"/>
        <w:gridCol w:w="201"/>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3"/>
            <w:tcBorders>
              <w:top w:val="single" w:color="auto" w:sz="4" w:space="0"/>
              <w:left w:val="single" w:color="auto" w:sz="8" w:space="0"/>
              <w:bottom w:val="single" w:color="auto" w:sz="4" w:space="0"/>
              <w:right w:val="single" w:color="auto" w:sz="4" w:space="0"/>
            </w:tcBorders>
            <w:shd w:val="clear" w:color="FFFFFF"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  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2,559.70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2,434.11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b/>
                <w:i w:val="0"/>
                <w:color w:val="000000"/>
                <w:kern w:val="0"/>
                <w:sz w:val="21"/>
                <w:szCs w:val="21"/>
                <w:u w:val="none"/>
                <w:lang w:val="en-US" w:eastAsia="zh-CN" w:bidi="ar"/>
              </w:rPr>
              <w:t>125.59</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2,500.56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2,376.11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2,009.14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1,884.69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2010301</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115.11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2010302</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124.45</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2010303</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1,759.58</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2010399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2010601</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228.41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2019999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263.01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科学技术管理事务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2060199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其他科学技术管理事务支出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49.00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农业</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4.83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2130102</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仿宋" w:hAnsi="仿宋" w:eastAsia="仿宋" w:cs="仿宋"/>
                <w:kern w:val="0"/>
                <w:sz w:val="21"/>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1.14</w:t>
            </w: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2130199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其他农业支出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3.69</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450" w:hRule="atLeast"/>
          <w:jc w:val="center"/>
        </w:trPr>
        <w:tc>
          <w:tcPr>
            <w:tcW w:w="999"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2130599</w:t>
            </w:r>
          </w:p>
        </w:tc>
        <w:tc>
          <w:tcPr>
            <w:tcW w:w="372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5.31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b/>
                <w:i w:val="0"/>
                <w:color w:val="000000"/>
                <w:kern w:val="0"/>
                <w:sz w:val="18"/>
                <w:szCs w:val="18"/>
                <w:u w:val="none"/>
                <w:lang w:val="en-US" w:eastAsia="zh-CN" w:bidi="ar"/>
              </w:rPr>
              <w:t>245.68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b/>
                <w:i w:val="0"/>
                <w:color w:val="000000"/>
                <w:kern w:val="0"/>
                <w:sz w:val="18"/>
                <w:szCs w:val="18"/>
                <w:u w:val="none"/>
                <w:lang w:val="en-US" w:eastAsia="zh-CN" w:bidi="ar"/>
              </w:rPr>
              <w:t>1,948.92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b/>
                <w:i w:val="0"/>
                <w:color w:val="000000"/>
                <w:kern w:val="0"/>
                <w:sz w:val="18"/>
                <w:szCs w:val="18"/>
                <w:u w:val="none"/>
                <w:lang w:val="en-US" w:eastAsia="zh-CN" w:bidi="ar"/>
              </w:rPr>
              <w:t>150.96</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85.61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21.71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57.27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1.52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70.29</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28.68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3.60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80.68</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60.03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29.67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237.66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1.24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241.88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20.92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23.52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370.64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80.27</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b/>
                <w:i w:val="0"/>
                <w:color w:val="000000"/>
                <w:kern w:val="0"/>
                <w:sz w:val="18"/>
                <w:szCs w:val="18"/>
                <w:u w:val="none"/>
                <w:lang w:val="en-US" w:eastAsia="zh-CN" w:bidi="ar"/>
              </w:rPr>
              <w:t>88.55</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11.30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0.43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50.04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2.98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180.13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10.42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28.09</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66.63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57.89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498.79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10.28</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4.20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78.12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1.73</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bottom"/>
          </w:tcPr>
          <w:p>
            <w:pPr>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15.50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jc w:val="right"/>
              <w:rPr>
                <w:rFonts w:hint="eastAsia" w:ascii="仿宋" w:hAnsi="仿宋" w:eastAsia="仿宋" w:cs="仿宋"/>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334.23</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2,099.88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Ind w:w="0" w:type="dxa"/>
        <w:tblLayout w:type="fixed"/>
        <w:tblCellMar>
          <w:top w:w="0" w:type="dxa"/>
          <w:left w:w="108" w:type="dxa"/>
          <w:bottom w:w="0" w:type="dxa"/>
          <w:right w:w="108" w:type="dxa"/>
        </w:tblCellMar>
      </w:tblPr>
      <w:tblGrid>
        <w:gridCol w:w="827"/>
        <w:gridCol w:w="788"/>
        <w:gridCol w:w="1616"/>
        <w:gridCol w:w="986"/>
        <w:gridCol w:w="1946"/>
        <w:gridCol w:w="1157"/>
        <w:gridCol w:w="1009"/>
        <w:gridCol w:w="1009"/>
        <w:gridCol w:w="1009"/>
        <w:gridCol w:w="1009"/>
        <w:gridCol w:w="1642"/>
        <w:gridCol w:w="1642"/>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决算数</w:t>
            </w:r>
          </w:p>
        </w:tc>
      </w:tr>
      <w:tr>
        <w:tblPrEx>
          <w:tblLayout w:type="fixed"/>
          <w:tblCellMar>
            <w:top w:w="0" w:type="dxa"/>
            <w:left w:w="108" w:type="dxa"/>
            <w:bottom w:w="0" w:type="dxa"/>
            <w:right w:w="108" w:type="dxa"/>
          </w:tblCellMar>
        </w:tblPrEx>
        <w:trPr>
          <w:trHeight w:val="397" w:hRule="atLeast"/>
          <w:jc w:val="center"/>
        </w:trPr>
        <w:tc>
          <w:tcPr>
            <w:tcW w:w="827"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788"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因公出国（境）费</w:t>
            </w:r>
          </w:p>
        </w:tc>
        <w:tc>
          <w:tcPr>
            <w:tcW w:w="4548"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公务用车购置及运行费</w:t>
            </w:r>
          </w:p>
        </w:tc>
        <w:tc>
          <w:tcPr>
            <w:tcW w:w="115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公务接待费</w:t>
            </w:r>
          </w:p>
        </w:tc>
        <w:tc>
          <w:tcPr>
            <w:tcW w:w="1009" w:type="dxa"/>
            <w:vMerge w:val="restart"/>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合计</w:t>
            </w:r>
          </w:p>
        </w:tc>
        <w:tc>
          <w:tcPr>
            <w:tcW w:w="100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公务用车购置及运行费</w:t>
            </w:r>
          </w:p>
        </w:tc>
        <w:tc>
          <w:tcPr>
            <w:tcW w:w="1642"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公务接待费</w:t>
            </w:r>
          </w:p>
        </w:tc>
      </w:tr>
      <w:tr>
        <w:tblPrEx>
          <w:tblLayout w:type="fixed"/>
          <w:tblCellMar>
            <w:top w:w="0" w:type="dxa"/>
            <w:left w:w="108" w:type="dxa"/>
            <w:bottom w:w="0" w:type="dxa"/>
            <w:right w:w="108" w:type="dxa"/>
          </w:tblCellMar>
        </w:tblPrEx>
        <w:trPr>
          <w:trHeight w:val="397" w:hRule="atLeast"/>
          <w:jc w:val="center"/>
        </w:trPr>
        <w:tc>
          <w:tcPr>
            <w:tcW w:w="827" w:type="dxa"/>
            <w:vMerge w:val="continue"/>
            <w:tcBorders>
              <w:top w:val="nil"/>
              <w:left w:val="single" w:color="auto" w:sz="8"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788"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小计</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公务用车购置费</w:t>
            </w:r>
          </w:p>
        </w:tc>
        <w:tc>
          <w:tcPr>
            <w:tcW w:w="19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公务用车运行费</w:t>
            </w:r>
          </w:p>
        </w:tc>
        <w:tc>
          <w:tcPr>
            <w:tcW w:w="1157"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vMerge w:val="continue"/>
            <w:tcBorders>
              <w:top w:val="nil"/>
              <w:left w:val="nil"/>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小计</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公务用车购置费</w:t>
            </w:r>
          </w:p>
        </w:tc>
        <w:tc>
          <w:tcPr>
            <w:tcW w:w="16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公务用车运行费</w:t>
            </w:r>
          </w:p>
        </w:tc>
        <w:tc>
          <w:tcPr>
            <w:tcW w:w="1642" w:type="dxa"/>
            <w:vMerge w:val="continue"/>
            <w:tcBorders>
              <w:top w:val="nil"/>
              <w:left w:val="single" w:color="auto" w:sz="4" w:space="0"/>
              <w:bottom w:val="single" w:color="000000" w:sz="4" w:space="0"/>
              <w:right w:val="single" w:color="auto" w:sz="8" w:space="0"/>
            </w:tcBorders>
            <w:shd w:val="clear" w:color="auto" w:fill="auto"/>
            <w:vAlign w:val="center"/>
          </w:tcPr>
          <w:p>
            <w:pPr>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397" w:hRule="atLeast"/>
          <w:jc w:val="center"/>
        </w:trPr>
        <w:tc>
          <w:tcPr>
            <w:tcW w:w="827"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w:t>
            </w:r>
          </w:p>
        </w:tc>
        <w:tc>
          <w:tcPr>
            <w:tcW w:w="7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w:t>
            </w:r>
          </w:p>
        </w:tc>
        <w:tc>
          <w:tcPr>
            <w:tcW w:w="16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3</w:t>
            </w:r>
          </w:p>
        </w:tc>
        <w:tc>
          <w:tcPr>
            <w:tcW w:w="98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4</w:t>
            </w:r>
          </w:p>
        </w:tc>
        <w:tc>
          <w:tcPr>
            <w:tcW w:w="194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5</w:t>
            </w:r>
          </w:p>
        </w:tc>
        <w:tc>
          <w:tcPr>
            <w:tcW w:w="11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6</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8</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9</w:t>
            </w:r>
          </w:p>
        </w:tc>
        <w:tc>
          <w:tcPr>
            <w:tcW w:w="100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10</w:t>
            </w:r>
          </w:p>
        </w:tc>
        <w:tc>
          <w:tcPr>
            <w:tcW w:w="16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w:t>
            </w:r>
          </w:p>
        </w:tc>
        <w:tc>
          <w:tcPr>
            <w:tcW w:w="1642"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12</w:t>
            </w:r>
          </w:p>
        </w:tc>
      </w:tr>
      <w:tr>
        <w:tblPrEx>
          <w:tblLayout w:type="fixed"/>
          <w:tblCellMar>
            <w:top w:w="0" w:type="dxa"/>
            <w:left w:w="108" w:type="dxa"/>
            <w:bottom w:w="0" w:type="dxa"/>
            <w:right w:w="108" w:type="dxa"/>
          </w:tblCellMar>
        </w:tblPrEx>
        <w:trPr>
          <w:trHeight w:val="397" w:hRule="atLeast"/>
          <w:jc w:val="center"/>
        </w:trPr>
        <w:tc>
          <w:tcPr>
            <w:tcW w:w="827"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179</w:t>
            </w:r>
          </w:p>
        </w:tc>
        <w:tc>
          <w:tcPr>
            <w:tcW w:w="788"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61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168</w:t>
            </w:r>
          </w:p>
        </w:tc>
        <w:tc>
          <w:tcPr>
            <w:tcW w:w="986"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94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168.00</w:t>
            </w:r>
          </w:p>
        </w:tc>
        <w:tc>
          <w:tcPr>
            <w:tcW w:w="115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11.00</w:t>
            </w:r>
          </w:p>
        </w:tc>
        <w:tc>
          <w:tcPr>
            <w:tcW w:w="100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 xml:space="preserve">81.10 </w:t>
            </w:r>
          </w:p>
        </w:tc>
        <w:tc>
          <w:tcPr>
            <w:tcW w:w="1009"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00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78.12</w:t>
            </w:r>
          </w:p>
        </w:tc>
        <w:tc>
          <w:tcPr>
            <w:tcW w:w="1009" w:type="dxa"/>
            <w:tcBorders>
              <w:top w:val="nil"/>
              <w:left w:val="nil"/>
              <w:bottom w:val="single" w:color="auto" w:sz="8" w:space="0"/>
              <w:right w:val="single" w:color="auto" w:sz="4" w:space="0"/>
            </w:tcBorders>
            <w:shd w:val="clear" w:color="auto" w:fill="auto"/>
            <w:vAlign w:val="center"/>
          </w:tcPr>
          <w:p>
            <w:pPr>
              <w:jc w:val="center"/>
              <w:rPr>
                <w:rFonts w:hint="eastAsia" w:ascii="仿宋" w:hAnsi="仿宋" w:eastAsia="仿宋" w:cs="仿宋"/>
                <w:kern w:val="0"/>
                <w:sz w:val="21"/>
                <w:szCs w:val="21"/>
              </w:rPr>
            </w:pPr>
          </w:p>
        </w:tc>
        <w:tc>
          <w:tcPr>
            <w:tcW w:w="1642"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78.12</w:t>
            </w:r>
          </w:p>
        </w:tc>
        <w:tc>
          <w:tcPr>
            <w:tcW w:w="1642"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color w:val="000000"/>
                <w:kern w:val="0"/>
                <w:sz w:val="21"/>
                <w:szCs w:val="21"/>
                <w:u w:val="none"/>
                <w:lang w:val="en-US" w:eastAsia="zh-CN" w:bidi="ar"/>
              </w:rPr>
              <w:t>2.98</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株洲市芦淞区机关事务服务中心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仿宋_GB2312" w:cs="Times New Roman"/>
          <w:kern w:val="0"/>
          <w:szCs w:val="21"/>
        </w:rPr>
        <w:t>本单位无政府性基金收支</w:t>
      </w:r>
      <w:r>
        <w:rPr>
          <w:rFonts w:hint="eastAsia"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rPr>
        <w:t>株洲市芦淞区机关事务服务中心</w:t>
      </w:r>
      <w:r>
        <w:rPr>
          <w:rFonts w:hint="eastAsia" w:ascii="Times New Roman" w:hAnsi="Times New Roman" w:eastAsia="仿宋_GB2312" w:cs="Times New Roman"/>
          <w:kern w:val="0"/>
          <w:szCs w:val="21"/>
        </w:rPr>
        <w:t>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52D4E"/>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2B841EE"/>
    <w:rsid w:val="078357E2"/>
    <w:rsid w:val="16A94A03"/>
    <w:rsid w:val="33DF638A"/>
    <w:rsid w:val="3E25386F"/>
    <w:rsid w:val="589B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ScaleCrop>false</ScaleCrop>
  <LinksUpToDate>false</LinksUpToDate>
  <CharactersWithSpaces>4864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2021-05-07T13:20:48Z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