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部门：株洲市芦淞区大京风景名胜区管理中心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164.57</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158.11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2.99</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jc w:val="right"/>
              <w:rPr>
                <w:rFonts w:hint="default"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jc w:val="right"/>
              <w:rPr>
                <w:rFonts w:hint="default"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jc w:val="right"/>
              <w:rPr>
                <w:rFonts w:hint="default"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jc w:val="righ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七、城乡社区支出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7.50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10.68</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八、交通运输支出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2.99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8.45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178.24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Times New Roman" w:hAnsi="Times New Roman" w:eastAsia="仿宋_GB2312" w:cs="Times New Roman"/>
                <w:b/>
                <w:bCs/>
                <w:kern w:val="0"/>
                <w:szCs w:val="21"/>
              </w:rPr>
            </w:pPr>
            <w:r>
              <w:rPr>
                <w:rFonts w:hint="default" w:ascii="Times New Roman" w:hAnsi="Times New Roman" w:eastAsia="宋体" w:cs="Times New Roman"/>
                <w:i w:val="0"/>
                <w:color w:val="000000"/>
                <w:kern w:val="0"/>
                <w:sz w:val="22"/>
                <w:szCs w:val="22"/>
                <w:u w:val="none"/>
                <w:lang w:val="en-US" w:eastAsia="zh-CN" w:bidi="ar"/>
              </w:rPr>
              <w:t>177.05</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1.18</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rPr>
                <w:rFonts w:hint="eastAsia" w:ascii="仿宋" w:hAnsi="仿宋" w:eastAsia="仿宋" w:cs="仿宋"/>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178.24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b/>
                <w:bCs/>
                <w:kern w:val="0"/>
                <w:szCs w:val="21"/>
              </w:rPr>
            </w:pPr>
            <w:r>
              <w:rPr>
                <w:rFonts w:hint="eastAsia" w:ascii="仿宋" w:hAnsi="仿宋" w:eastAsia="仿宋" w:cs="仿宋"/>
                <w:i w:val="0"/>
                <w:color w:val="000000"/>
                <w:kern w:val="0"/>
                <w:sz w:val="22"/>
                <w:szCs w:val="22"/>
                <w:u w:val="none"/>
                <w:lang w:val="en-US" w:eastAsia="zh-CN" w:bidi="ar"/>
              </w:rPr>
              <w:t xml:space="preserve">178.24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株洲市芦淞区大京风景名胜区管理中心</w:t>
      </w:r>
      <w:r>
        <w:rPr>
          <w:rFonts w:ascii="Times New Roman" w:hAnsi="Times New Roman" w:eastAsia="仿宋_GB2312" w:cs="Times New Roman"/>
          <w:color w:val="000000"/>
          <w:kern w:val="0"/>
          <w:szCs w:val="21"/>
        </w:rPr>
        <w:t xml:space="preserve">                                                                                    公开02表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Ind w:w="0" w:type="dxa"/>
        <w:tblLayout w:type="fixed"/>
        <w:tblCellMar>
          <w:top w:w="0" w:type="dxa"/>
          <w:left w:w="108" w:type="dxa"/>
          <w:bottom w:w="0" w:type="dxa"/>
          <w:right w:w="108" w:type="dxa"/>
        </w:tblCellMar>
      </w:tblPr>
      <w:tblGrid>
        <w:gridCol w:w="1197"/>
        <w:gridCol w:w="1555"/>
        <w:gridCol w:w="1309"/>
        <w:gridCol w:w="1595"/>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2752"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30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5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30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55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0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2752"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2752"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3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178.24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167.55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10.68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201</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一般公共服务支出</w:t>
            </w:r>
          </w:p>
        </w:tc>
        <w:tc>
          <w:tcPr>
            <w:tcW w:w="13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159.30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148.61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10.68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20103</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政府办公厅（室）及相关机构事务</w:t>
            </w:r>
          </w:p>
        </w:tc>
        <w:tc>
          <w:tcPr>
            <w:tcW w:w="13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华文中宋" w:cs="Times New Roman"/>
                <w:i w:val="0"/>
                <w:color w:val="000000"/>
                <w:kern w:val="0"/>
                <w:sz w:val="22"/>
                <w:szCs w:val="22"/>
                <w:u w:val="none"/>
                <w:lang w:val="en-US" w:eastAsia="zh-CN" w:bidi="ar"/>
              </w:rPr>
              <w:t xml:space="preserve">159.30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148.61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10.68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2010301</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行政运行</w:t>
            </w:r>
          </w:p>
        </w:tc>
        <w:tc>
          <w:tcPr>
            <w:tcW w:w="13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119.10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108.41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10.68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2010302</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一般行政管理事务</w:t>
            </w:r>
          </w:p>
        </w:tc>
        <w:tc>
          <w:tcPr>
            <w:tcW w:w="13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30.85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30.85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2010399</w:t>
            </w:r>
          </w:p>
        </w:tc>
        <w:tc>
          <w:tcPr>
            <w:tcW w:w="15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其他政府办公厅（室）及相关机构事务支出</w:t>
            </w:r>
          </w:p>
        </w:tc>
        <w:tc>
          <w:tcPr>
            <w:tcW w:w="13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9.35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9.35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207</w:t>
            </w:r>
          </w:p>
        </w:tc>
        <w:tc>
          <w:tcPr>
            <w:tcW w:w="155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文化旅游体育与传媒支出</w:t>
            </w:r>
          </w:p>
        </w:tc>
        <w:tc>
          <w:tcPr>
            <w:tcW w:w="130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7.50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7.50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20701</w:t>
            </w:r>
          </w:p>
        </w:tc>
        <w:tc>
          <w:tcPr>
            <w:tcW w:w="155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文化和旅游</w:t>
            </w:r>
          </w:p>
        </w:tc>
        <w:tc>
          <w:tcPr>
            <w:tcW w:w="130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7.50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7.50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2070114</w:t>
            </w:r>
          </w:p>
        </w:tc>
        <w:tc>
          <w:tcPr>
            <w:tcW w:w="155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旅游行业业务管理</w:t>
            </w:r>
          </w:p>
        </w:tc>
        <w:tc>
          <w:tcPr>
            <w:tcW w:w="130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7.50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7.50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212</w:t>
            </w:r>
          </w:p>
        </w:tc>
        <w:tc>
          <w:tcPr>
            <w:tcW w:w="155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城乡社区支出</w:t>
            </w:r>
          </w:p>
        </w:tc>
        <w:tc>
          <w:tcPr>
            <w:tcW w:w="130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2.99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2.99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21208</w:t>
            </w:r>
          </w:p>
        </w:tc>
        <w:tc>
          <w:tcPr>
            <w:tcW w:w="155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国有土地使用权出让收入及对应专项债务收入安排的支出</w:t>
            </w:r>
          </w:p>
        </w:tc>
        <w:tc>
          <w:tcPr>
            <w:tcW w:w="130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2.99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2.99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2120899</w:t>
            </w:r>
          </w:p>
        </w:tc>
        <w:tc>
          <w:tcPr>
            <w:tcW w:w="155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其他国有土地使用权出让收入安排的支出</w:t>
            </w:r>
          </w:p>
        </w:tc>
        <w:tc>
          <w:tcPr>
            <w:tcW w:w="130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2.99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2.99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214</w:t>
            </w:r>
          </w:p>
        </w:tc>
        <w:tc>
          <w:tcPr>
            <w:tcW w:w="155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交通运输支出</w:t>
            </w:r>
          </w:p>
        </w:tc>
        <w:tc>
          <w:tcPr>
            <w:tcW w:w="130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8.45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8.45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21401</w:t>
            </w:r>
          </w:p>
        </w:tc>
        <w:tc>
          <w:tcPr>
            <w:tcW w:w="155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公路水路运输</w:t>
            </w:r>
          </w:p>
        </w:tc>
        <w:tc>
          <w:tcPr>
            <w:tcW w:w="130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8.45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8.45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2140199</w:t>
            </w:r>
          </w:p>
        </w:tc>
        <w:tc>
          <w:tcPr>
            <w:tcW w:w="155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其他公路水路运输支出</w:t>
            </w:r>
          </w:p>
        </w:tc>
        <w:tc>
          <w:tcPr>
            <w:tcW w:w="130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8.45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8.45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株洲市芦淞区大京风景名胜区管理中心</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177.05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177.05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201</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一般公共服务支出</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158.11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158.11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20103</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政府办公厅（室）及相关机构事务</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158.11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158.11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2010301</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 xml:space="preserve">  行政运行</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117.91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117.91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2010302</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 xml:space="preserve">  一般行政管理事务</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30.85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30.85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2010399</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 xml:space="preserve">  其他政府办公厅（室）及相关机构事务支出</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9.35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9.35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207</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文化旅游体育与传媒支出</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7.50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7.50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20701</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文化和旅游</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7.50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7.50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2070114</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 xml:space="preserve">  旅游行业业务管理</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7.50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7.50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212</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城乡社区支出</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2.99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2.99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21208</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国有土地使用权出让收入及对应专项债务收入安排的支出</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2.99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2.99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2120899</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 xml:space="preserve">  其他国有土地使用权出让收入安排的支出</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2.99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2.99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214</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交通运输支出</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8.45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8.45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21401</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公路水路运输</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8.45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8.45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2140199</w:t>
            </w:r>
          </w:p>
        </w:tc>
        <w:tc>
          <w:tcPr>
            <w:tcW w:w="12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 xml:space="preserve">  其他公路水路运输支出</w:t>
            </w:r>
          </w:p>
        </w:tc>
        <w:tc>
          <w:tcPr>
            <w:tcW w:w="177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8.45 </w:t>
            </w:r>
          </w:p>
        </w:tc>
        <w:tc>
          <w:tcPr>
            <w:tcW w:w="1985"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8.45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株洲市芦淞区大京风景名胜区管理中心</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 164.57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 148.11 </w:t>
            </w:r>
          </w:p>
        </w:tc>
        <w:tc>
          <w:tcPr>
            <w:tcW w:w="166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 148.11 </w:t>
            </w:r>
          </w:p>
        </w:tc>
        <w:tc>
          <w:tcPr>
            <w:tcW w:w="1572"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 2.99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jc w:val="center"/>
              <w:rPr>
                <w:rFonts w:hint="default" w:ascii="Times New Roman" w:hAnsi="Times New Roman" w:eastAsia="仿宋_GB2312" w:cs="Times New Roman"/>
                <w:kern w:val="0"/>
                <w:szCs w:val="21"/>
              </w:rPr>
            </w:pPr>
          </w:p>
        </w:tc>
        <w:tc>
          <w:tcPr>
            <w:tcW w:w="1660" w:type="dxa"/>
            <w:shd w:val="clear" w:color="auto" w:fill="auto"/>
            <w:noWrap/>
            <w:vAlign w:val="center"/>
          </w:tcPr>
          <w:p>
            <w:pPr>
              <w:jc w:val="center"/>
              <w:rPr>
                <w:rFonts w:hint="default" w:ascii="Times New Roman" w:hAnsi="Times New Roman" w:eastAsia="仿宋_GB2312" w:cs="Times New Roman"/>
                <w:kern w:val="0"/>
                <w:szCs w:val="21"/>
              </w:rPr>
            </w:pPr>
          </w:p>
        </w:tc>
        <w:tc>
          <w:tcPr>
            <w:tcW w:w="1572" w:type="dxa"/>
            <w:shd w:val="clear" w:color="auto" w:fill="auto"/>
            <w:noWrap/>
            <w:vAlign w:val="center"/>
          </w:tcPr>
          <w:p>
            <w:pPr>
              <w:jc w:val="righ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jc w:val="center"/>
              <w:rPr>
                <w:rFonts w:hint="default" w:ascii="Times New Roman" w:hAnsi="Times New Roman" w:eastAsia="仿宋_GB2312" w:cs="Times New Roman"/>
                <w:kern w:val="0"/>
                <w:szCs w:val="21"/>
              </w:rPr>
            </w:pPr>
          </w:p>
        </w:tc>
        <w:tc>
          <w:tcPr>
            <w:tcW w:w="1660" w:type="dxa"/>
            <w:shd w:val="clear" w:color="auto" w:fill="auto"/>
            <w:noWrap/>
            <w:vAlign w:val="center"/>
          </w:tcPr>
          <w:p>
            <w:pPr>
              <w:jc w:val="center"/>
              <w:rPr>
                <w:rFonts w:hint="default" w:ascii="Times New Roman" w:hAnsi="Times New Roman" w:eastAsia="仿宋_GB2312" w:cs="Times New Roman"/>
                <w:kern w:val="0"/>
                <w:szCs w:val="21"/>
              </w:rPr>
            </w:pPr>
          </w:p>
        </w:tc>
        <w:tc>
          <w:tcPr>
            <w:tcW w:w="1572" w:type="dxa"/>
            <w:shd w:val="clear" w:color="auto" w:fill="auto"/>
            <w:noWrap/>
            <w:vAlign w:val="center"/>
          </w:tcPr>
          <w:p>
            <w:pPr>
              <w:jc w:val="righ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jc w:val="center"/>
              <w:rPr>
                <w:rFonts w:hint="default" w:ascii="Times New Roman" w:hAnsi="Times New Roman" w:eastAsia="仿宋_GB2312" w:cs="Times New Roman"/>
                <w:kern w:val="0"/>
                <w:szCs w:val="21"/>
              </w:rPr>
            </w:pPr>
          </w:p>
        </w:tc>
        <w:tc>
          <w:tcPr>
            <w:tcW w:w="1660" w:type="dxa"/>
            <w:shd w:val="clear" w:color="auto" w:fill="auto"/>
            <w:noWrap/>
            <w:vAlign w:val="center"/>
          </w:tcPr>
          <w:p>
            <w:pPr>
              <w:jc w:val="center"/>
              <w:rPr>
                <w:rFonts w:hint="default" w:ascii="Times New Roman" w:hAnsi="Times New Roman" w:eastAsia="仿宋_GB2312" w:cs="Times New Roman"/>
                <w:kern w:val="0"/>
                <w:szCs w:val="21"/>
              </w:rPr>
            </w:pPr>
          </w:p>
        </w:tc>
        <w:tc>
          <w:tcPr>
            <w:tcW w:w="1572" w:type="dxa"/>
            <w:shd w:val="clear" w:color="auto" w:fill="auto"/>
            <w:noWrap/>
            <w:vAlign w:val="center"/>
          </w:tcPr>
          <w:p>
            <w:pPr>
              <w:jc w:val="righ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jc w:val="center"/>
              <w:rPr>
                <w:rFonts w:hint="default" w:ascii="Times New Roman" w:hAnsi="Times New Roman" w:eastAsia="仿宋_GB2312" w:cs="Times New Roman"/>
                <w:kern w:val="0"/>
                <w:szCs w:val="21"/>
              </w:rPr>
            </w:pPr>
          </w:p>
        </w:tc>
        <w:tc>
          <w:tcPr>
            <w:tcW w:w="1660" w:type="dxa"/>
            <w:shd w:val="clear" w:color="auto" w:fill="auto"/>
            <w:noWrap/>
            <w:vAlign w:val="center"/>
          </w:tcPr>
          <w:p>
            <w:pPr>
              <w:jc w:val="center"/>
              <w:rPr>
                <w:rFonts w:hint="default" w:ascii="Times New Roman" w:hAnsi="Times New Roman" w:eastAsia="仿宋_GB2312" w:cs="Times New Roman"/>
                <w:kern w:val="0"/>
                <w:szCs w:val="21"/>
              </w:rPr>
            </w:pPr>
          </w:p>
        </w:tc>
        <w:tc>
          <w:tcPr>
            <w:tcW w:w="1572" w:type="dxa"/>
            <w:shd w:val="clear" w:color="auto" w:fill="auto"/>
            <w:noWrap/>
            <w:vAlign w:val="center"/>
          </w:tcPr>
          <w:p>
            <w:pPr>
              <w:jc w:val="righ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w:t>
            </w:r>
            <w:r>
              <w:rPr>
                <w:rFonts w:hint="eastAsia" w:ascii="Times New Roman" w:hAnsi="Times New Roman" w:eastAsia="仿宋_GB2312" w:cs="Times New Roman"/>
                <w:kern w:val="0"/>
                <w:szCs w:val="21"/>
              </w:rPr>
              <w:t>文化旅游体育与传媒支出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 7.50 </w:t>
            </w:r>
          </w:p>
        </w:tc>
        <w:tc>
          <w:tcPr>
            <w:tcW w:w="166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 7.50 </w:t>
            </w:r>
          </w:p>
        </w:tc>
        <w:tc>
          <w:tcPr>
            <w:tcW w:w="1572" w:type="dxa"/>
            <w:shd w:val="clear" w:color="auto" w:fill="auto"/>
            <w:noWrap/>
            <w:vAlign w:val="center"/>
          </w:tcPr>
          <w:p>
            <w:pPr>
              <w:jc w:val="righ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七、城乡社区支出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2.99</w:t>
            </w:r>
          </w:p>
        </w:tc>
        <w:tc>
          <w:tcPr>
            <w:tcW w:w="1660" w:type="dxa"/>
            <w:shd w:val="clear" w:color="auto" w:fill="auto"/>
            <w:noWrap/>
            <w:vAlign w:val="center"/>
          </w:tcPr>
          <w:p>
            <w:pPr>
              <w:jc w:val="right"/>
              <w:rPr>
                <w:rFonts w:hint="default" w:ascii="Times New Roman" w:hAnsi="Times New Roman" w:eastAsia="仿宋_GB2312" w:cs="Times New Roman"/>
                <w:kern w:val="0"/>
                <w:szCs w:val="21"/>
              </w:rPr>
            </w:pPr>
          </w:p>
        </w:tc>
        <w:tc>
          <w:tcPr>
            <w:tcW w:w="1572"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 2.99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八、交通运输支出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8.45</w:t>
            </w:r>
          </w:p>
        </w:tc>
        <w:tc>
          <w:tcPr>
            <w:tcW w:w="166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8.45</w:t>
            </w:r>
          </w:p>
        </w:tc>
        <w:tc>
          <w:tcPr>
            <w:tcW w:w="1572" w:type="dxa"/>
            <w:shd w:val="clear" w:color="auto" w:fill="auto"/>
            <w:noWrap/>
            <w:vAlign w:val="center"/>
          </w:tcPr>
          <w:p>
            <w:pPr>
              <w:jc w:val="righ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 167.55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167.05</w:t>
            </w:r>
          </w:p>
        </w:tc>
        <w:tc>
          <w:tcPr>
            <w:tcW w:w="166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164.07</w:t>
            </w:r>
          </w:p>
        </w:tc>
        <w:tc>
          <w:tcPr>
            <w:tcW w:w="1572"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b/>
                <w:bCs/>
                <w:kern w:val="0"/>
                <w:szCs w:val="21"/>
              </w:rPr>
            </w:pPr>
            <w:r>
              <w:rPr>
                <w:rFonts w:hint="default" w:ascii="Times New Roman" w:hAnsi="Times New Roman" w:eastAsia="宋体" w:cs="Times New Roman"/>
                <w:i w:val="0"/>
                <w:color w:val="000000"/>
                <w:kern w:val="0"/>
                <w:sz w:val="22"/>
                <w:szCs w:val="22"/>
                <w:u w:val="none"/>
                <w:lang w:val="en-US" w:eastAsia="zh-CN" w:bidi="ar"/>
              </w:rPr>
              <w:t>2.99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jc w:val="right"/>
              <w:rPr>
                <w:rFonts w:hint="default" w:ascii="Times New Roman" w:hAnsi="Times New Roman" w:eastAsia="仿宋_GB2312" w:cs="Times New Roman"/>
                <w:kern w:val="0"/>
                <w:szCs w:val="21"/>
              </w:rPr>
            </w:pP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0.50</w:t>
            </w:r>
          </w:p>
        </w:tc>
        <w:tc>
          <w:tcPr>
            <w:tcW w:w="166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0.50</w:t>
            </w:r>
          </w:p>
        </w:tc>
        <w:tc>
          <w:tcPr>
            <w:tcW w:w="1572" w:type="dxa"/>
            <w:shd w:val="clear" w:color="auto" w:fill="auto"/>
            <w:noWrap/>
            <w:vAlign w:val="center"/>
          </w:tcPr>
          <w:p>
            <w:pPr>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jc w:val="right"/>
              <w:rPr>
                <w:rFonts w:hint="default"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jc w:val="center"/>
              <w:rPr>
                <w:rFonts w:hint="default" w:ascii="Times New Roman" w:hAnsi="Times New Roman" w:eastAsia="仿宋_GB2312" w:cs="Times New Roman"/>
                <w:kern w:val="0"/>
                <w:szCs w:val="21"/>
              </w:rPr>
            </w:pPr>
          </w:p>
        </w:tc>
        <w:tc>
          <w:tcPr>
            <w:tcW w:w="1660" w:type="dxa"/>
            <w:shd w:val="clear" w:color="auto" w:fill="auto"/>
            <w:noWrap/>
            <w:vAlign w:val="center"/>
          </w:tcPr>
          <w:p>
            <w:pPr>
              <w:jc w:val="center"/>
              <w:rPr>
                <w:rFonts w:hint="default" w:ascii="Times New Roman" w:hAnsi="Times New Roman" w:eastAsia="仿宋_GB2312" w:cs="Times New Roman"/>
                <w:kern w:val="0"/>
                <w:szCs w:val="21"/>
              </w:rPr>
            </w:pPr>
          </w:p>
        </w:tc>
        <w:tc>
          <w:tcPr>
            <w:tcW w:w="1572" w:type="dxa"/>
            <w:shd w:val="clear" w:color="auto" w:fill="auto"/>
            <w:noWrap/>
            <w:vAlign w:val="center"/>
          </w:tcPr>
          <w:p>
            <w:pPr>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jc w:val="right"/>
              <w:rPr>
                <w:rFonts w:hint="default"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jc w:val="center"/>
              <w:rPr>
                <w:rFonts w:hint="default" w:ascii="Times New Roman" w:hAnsi="Times New Roman" w:eastAsia="仿宋_GB2312" w:cs="Times New Roman"/>
                <w:kern w:val="0"/>
                <w:szCs w:val="21"/>
              </w:rPr>
            </w:pPr>
          </w:p>
        </w:tc>
        <w:tc>
          <w:tcPr>
            <w:tcW w:w="1660" w:type="dxa"/>
            <w:shd w:val="clear" w:color="auto" w:fill="auto"/>
            <w:noWrap/>
            <w:vAlign w:val="center"/>
          </w:tcPr>
          <w:p>
            <w:pPr>
              <w:jc w:val="center"/>
              <w:rPr>
                <w:rFonts w:hint="default" w:ascii="Times New Roman" w:hAnsi="Times New Roman" w:eastAsia="仿宋_GB2312" w:cs="Times New Roman"/>
                <w:kern w:val="0"/>
                <w:szCs w:val="21"/>
              </w:rPr>
            </w:pPr>
          </w:p>
        </w:tc>
        <w:tc>
          <w:tcPr>
            <w:tcW w:w="1572" w:type="dxa"/>
            <w:shd w:val="clear" w:color="auto" w:fill="auto"/>
            <w:noWrap/>
            <w:vAlign w:val="center"/>
          </w:tcPr>
          <w:p>
            <w:pPr>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jc w:val="right"/>
              <w:rPr>
                <w:rFonts w:hint="default"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jc w:val="center"/>
              <w:rPr>
                <w:rFonts w:hint="default" w:ascii="Times New Roman" w:hAnsi="Times New Roman" w:eastAsia="仿宋_GB2312" w:cs="Times New Roman"/>
                <w:kern w:val="0"/>
                <w:szCs w:val="21"/>
              </w:rPr>
            </w:pPr>
          </w:p>
        </w:tc>
        <w:tc>
          <w:tcPr>
            <w:tcW w:w="1660" w:type="dxa"/>
            <w:shd w:val="clear" w:color="auto" w:fill="auto"/>
            <w:noWrap/>
            <w:vAlign w:val="center"/>
          </w:tcPr>
          <w:p>
            <w:pPr>
              <w:jc w:val="center"/>
              <w:rPr>
                <w:rFonts w:hint="default" w:ascii="Times New Roman" w:hAnsi="Times New Roman" w:eastAsia="仿宋_GB2312" w:cs="Times New Roman"/>
                <w:kern w:val="0"/>
                <w:szCs w:val="21"/>
              </w:rPr>
            </w:pPr>
          </w:p>
        </w:tc>
        <w:tc>
          <w:tcPr>
            <w:tcW w:w="1572" w:type="dxa"/>
            <w:shd w:val="clear" w:color="auto" w:fill="auto"/>
            <w:noWrap/>
            <w:vAlign w:val="center"/>
          </w:tcPr>
          <w:p>
            <w:pPr>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 167.55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 167.55 </w:t>
            </w:r>
          </w:p>
        </w:tc>
        <w:tc>
          <w:tcPr>
            <w:tcW w:w="166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 164.57 </w:t>
            </w:r>
          </w:p>
        </w:tc>
        <w:tc>
          <w:tcPr>
            <w:tcW w:w="1572" w:type="dxa"/>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b/>
                <w:bCs/>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 2.99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株洲市芦淞区大京风景名胜区管理中心</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164.07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164.07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0"/>
                <w:szCs w:val="20"/>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148.11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148.11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148.11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148.11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107.91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107.91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30.85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30.85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9.35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9.35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207</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文化旅游体育与传媒支出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7.50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7.50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20701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文化和旅游</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7.50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7.50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2070114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 xml:space="preserve">  旅游行业业务管理</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7.50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7.50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214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交通运输支出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8.45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8.45</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21401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0"/>
                <w:szCs w:val="20"/>
                <w:u w:val="none"/>
                <w:lang w:val="en-US" w:eastAsia="zh-CN" w:bidi="ar"/>
              </w:rPr>
              <w:t>公路水路运输</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8.45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8.45</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2140199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 xml:space="preserve">  其他公路水路运输支出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8.45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8.45</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株洲市芦淞区大京风景名胜区管理中心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91.62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72.17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25.88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1.61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26.62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18.48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0.40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0.13</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7.10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0.50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0.20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3.72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2.21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0.25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0.28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7.36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32.51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1.66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0.15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default" w:ascii="Times New Roman" w:hAnsi="Times New Roman" w:eastAsia="宋体" w:cs="Times New Roman"/>
                <w:i w:val="0"/>
                <w:color w:val="000000"/>
                <w:kern w:val="0"/>
                <w:sz w:val="20"/>
                <w:szCs w:val="20"/>
                <w:u w:val="none"/>
                <w:lang w:val="en-US" w:eastAsia="zh-CN" w:bidi="ar"/>
              </w:rPr>
              <w:t xml:space="preserve"> 0.15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仿宋_GB2312"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8.46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4.39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3.35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3.44 </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color w:val="000000"/>
                <w:kern w:val="0"/>
                <w:sz w:val="20"/>
                <w:szCs w:val="20"/>
                <w:u w:val="none"/>
                <w:lang w:val="en-US" w:eastAsia="zh-CN" w:bidi="ar"/>
              </w:rPr>
              <w:t xml:space="preserve"> 15.36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91.77</w:t>
            </w:r>
            <w:r>
              <w:rPr>
                <w:rFonts w:hint="eastAsia" w:ascii="Times New Roman" w:hAnsi="Times New Roman" w:eastAsia="宋体" w:cs="Times New Roman"/>
                <w:color w:val="000000"/>
                <w:kern w:val="0"/>
                <w:sz w:val="18"/>
                <w:szCs w:val="18"/>
              </w:rPr>
              <w:t xml:space="preserve"> </w:t>
            </w:r>
            <w:r>
              <w:rPr>
                <w:rFonts w:hint="eastAsia" w:ascii="Times New Roman" w:hAnsi="Times New Roman" w:eastAsia="宋体" w:cs="Times New Roman"/>
                <w:color w:val="000000"/>
                <w:kern w:val="0"/>
                <w:sz w:val="18"/>
                <w:szCs w:val="18"/>
                <w:lang w:val="en-US" w:eastAsia="zh-CN"/>
              </w:rPr>
              <w:t>111199991.77</w:t>
            </w:r>
            <w:r>
              <w:rPr>
                <w:rFonts w:hint="eastAsia" w:ascii="Times New Roman" w:hAnsi="Times New Roman" w:eastAsia="宋体" w:cs="Times New Roman"/>
                <w:color w:val="000000"/>
                <w:kern w:val="0"/>
                <w:sz w:val="18"/>
                <w:szCs w:val="18"/>
              </w:rPr>
              <w:t xml:space="preserve">91.77 </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72.29</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株洲市芦淞区大京风景名胜区管理中心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 xml:space="preserve">0.00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株洲市芦淞区大京风景名胜区管理中心</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4"/>
                <w:szCs w:val="24"/>
                <w:u w:val="none"/>
                <w:lang w:val="en-US" w:eastAsia="zh-CN" w:bidi="ar"/>
              </w:rPr>
              <w:t>2.99</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4"/>
                <w:szCs w:val="24"/>
                <w:u w:val="none"/>
                <w:lang w:val="en-US" w:eastAsia="zh-CN" w:bidi="ar"/>
              </w:rPr>
              <w:t>2.99</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4"/>
                <w:szCs w:val="24"/>
                <w:u w:val="none"/>
                <w:lang w:val="en-US" w:eastAsia="zh-CN" w:bidi="ar"/>
              </w:rPr>
              <w:t>2.99</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212</w:t>
            </w:r>
          </w:p>
        </w:tc>
        <w:tc>
          <w:tcPr>
            <w:tcW w:w="132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城乡社区支出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4"/>
                <w:szCs w:val="24"/>
                <w:u w:val="none"/>
                <w:lang w:val="en-US" w:eastAsia="zh-CN" w:bidi="ar"/>
              </w:rPr>
              <w:t>2.99</w:t>
            </w:r>
          </w:p>
        </w:tc>
        <w:tc>
          <w:tcPr>
            <w:tcW w:w="2000"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4"/>
                <w:szCs w:val="24"/>
                <w:u w:val="none"/>
                <w:lang w:val="en-US" w:eastAsia="zh-CN" w:bidi="ar"/>
              </w:rPr>
              <w:t>2.99</w:t>
            </w:r>
          </w:p>
        </w:tc>
        <w:tc>
          <w:tcPr>
            <w:tcW w:w="2000"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4"/>
                <w:szCs w:val="24"/>
                <w:u w:val="none"/>
                <w:lang w:val="en-US" w:eastAsia="zh-CN" w:bidi="ar"/>
              </w:rPr>
              <w:t>2.99</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21208</w:t>
            </w:r>
          </w:p>
        </w:tc>
        <w:tc>
          <w:tcPr>
            <w:tcW w:w="132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国有土地使用权出让收入及对应专项债务收入安排的支出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4"/>
                <w:szCs w:val="24"/>
                <w:u w:val="none"/>
                <w:lang w:val="en-US" w:eastAsia="zh-CN" w:bidi="ar"/>
              </w:rPr>
              <w:t>2.99</w:t>
            </w:r>
          </w:p>
        </w:tc>
        <w:tc>
          <w:tcPr>
            <w:tcW w:w="2000"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4"/>
                <w:szCs w:val="24"/>
                <w:u w:val="none"/>
                <w:lang w:val="en-US" w:eastAsia="zh-CN" w:bidi="ar"/>
              </w:rPr>
              <w:t>2.99</w:t>
            </w:r>
          </w:p>
        </w:tc>
        <w:tc>
          <w:tcPr>
            <w:tcW w:w="2000"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4"/>
                <w:szCs w:val="24"/>
                <w:u w:val="none"/>
                <w:lang w:val="en-US" w:eastAsia="zh-CN" w:bidi="ar"/>
              </w:rPr>
              <w:t>2.99</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bookmarkStart w:id="2" w:name="_GoBack"/>
            <w:bookmarkEnd w:id="2"/>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4"/>
                <w:szCs w:val="24"/>
                <w:u w:val="none"/>
                <w:lang w:val="en-US" w:eastAsia="zh-CN" w:bidi="ar"/>
              </w:rPr>
              <w:t>2120899</w:t>
            </w:r>
          </w:p>
        </w:tc>
        <w:tc>
          <w:tcPr>
            <w:tcW w:w="132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Cs w:val="21"/>
              </w:rPr>
            </w:pPr>
            <w:r>
              <w:rPr>
                <w:rFonts w:hint="eastAsia" w:ascii="仿宋" w:hAnsi="仿宋" w:eastAsia="仿宋" w:cs="仿宋"/>
                <w:i w:val="0"/>
                <w:color w:val="000000"/>
                <w:kern w:val="0"/>
                <w:sz w:val="22"/>
                <w:szCs w:val="22"/>
                <w:u w:val="none"/>
                <w:lang w:val="en-US" w:eastAsia="zh-CN" w:bidi="ar"/>
              </w:rPr>
              <w:t>其他国有土地使用权出让收入安排的支出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4"/>
                <w:szCs w:val="24"/>
                <w:u w:val="none"/>
                <w:lang w:val="en-US" w:eastAsia="zh-CN" w:bidi="ar"/>
              </w:rPr>
              <w:t>2.99</w:t>
            </w:r>
          </w:p>
        </w:tc>
        <w:tc>
          <w:tcPr>
            <w:tcW w:w="2000"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4"/>
                <w:szCs w:val="24"/>
                <w:u w:val="none"/>
                <w:lang w:val="en-US" w:eastAsia="zh-CN" w:bidi="ar"/>
              </w:rPr>
              <w:t>2.99</w:t>
            </w:r>
          </w:p>
        </w:tc>
        <w:tc>
          <w:tcPr>
            <w:tcW w:w="2000"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4"/>
                <w:szCs w:val="24"/>
                <w:u w:val="none"/>
                <w:lang w:val="en-US" w:eastAsia="zh-CN" w:bidi="ar"/>
              </w:rPr>
              <w:t>2.99</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BB84E41"/>
    <w:rsid w:val="15346AA9"/>
    <w:rsid w:val="297C191A"/>
    <w:rsid w:val="314D2DC0"/>
    <w:rsid w:val="5FDA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0</TotalTime>
  <ScaleCrop>false</ScaleCrop>
  <LinksUpToDate>false</LinksUpToDate>
  <CharactersWithSpaces>4864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2021-05-08T01:09:15Z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