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9869E8" w:rsidRPr="009869E8">
        <w:rPr>
          <w:rFonts w:ascii="Times New Roman" w:eastAsia="仿宋_GB2312" w:hAnsi="Times New Roman" w:cs="Times New Roman" w:hint="eastAsia"/>
          <w:color w:val="000000"/>
          <w:kern w:val="0"/>
          <w:szCs w:val="21"/>
        </w:rPr>
        <w:t>株洲市芦淞区归国华侨联合会</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3479BD" w:rsidP="006A35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hideMark/>
          </w:tcPr>
          <w:p w:rsidR="006A351B" w:rsidRPr="006A351B" w:rsidRDefault="00EF5311" w:rsidP="006A351B">
            <w:pPr>
              <w:widowControl/>
              <w:jc w:val="right"/>
              <w:rPr>
                <w:rFonts w:ascii="Times New Roman" w:eastAsia="仿宋_GB2312" w:hAnsi="Times New Roman" w:cs="Times New Roman"/>
                <w:kern w:val="0"/>
                <w:szCs w:val="21"/>
              </w:rPr>
            </w:pPr>
            <w:r w:rsidRPr="00EF5311">
              <w:rPr>
                <w:rFonts w:ascii="Times New Roman" w:eastAsia="仿宋_GB2312" w:hAnsi="Times New Roman" w:cs="Times New Roman"/>
                <w:kern w:val="0"/>
                <w:szCs w:val="21"/>
              </w:rPr>
              <w:t>15.7</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hideMark/>
          </w:tcPr>
          <w:p w:rsidR="006A351B" w:rsidRPr="006A351B" w:rsidRDefault="00EF5311" w:rsidP="006A351B">
            <w:pPr>
              <w:widowControl/>
              <w:jc w:val="right"/>
              <w:rPr>
                <w:rFonts w:ascii="Times New Roman" w:eastAsia="仿宋_GB2312" w:hAnsi="Times New Roman" w:cs="Times New Roman"/>
                <w:kern w:val="0"/>
                <w:szCs w:val="21"/>
              </w:rPr>
            </w:pPr>
            <w:r w:rsidRPr="00EF5311">
              <w:rPr>
                <w:rFonts w:ascii="Times New Roman" w:eastAsia="仿宋_GB2312" w:hAnsi="Times New Roman" w:cs="Times New Roman"/>
                <w:kern w:val="0"/>
                <w:szCs w:val="21"/>
              </w:rPr>
              <w:t>18.2</w:t>
            </w:r>
            <w:r w:rsidR="006A351B" w:rsidRPr="006A351B">
              <w:rPr>
                <w:rFonts w:ascii="Times New Roman" w:eastAsia="仿宋_GB2312" w:hAnsi="Times New Roman" w:cs="Times New Roman" w:hint="eastAsia"/>
                <w:kern w:val="0"/>
                <w:szCs w:val="21"/>
              </w:rPr>
              <w:t xml:space="preserve">　</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3479BD">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w:t>
            </w:r>
            <w:r w:rsidR="003479BD">
              <w:rPr>
                <w:rFonts w:ascii="Times New Roman" w:eastAsia="仿宋_GB2312" w:hAnsi="Times New Roman" w:cs="Times New Roman" w:hint="eastAsia"/>
                <w:kern w:val="0"/>
                <w:szCs w:val="21"/>
              </w:rPr>
              <w:t>政府性基金预算财政拨款收入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Pr="006A351B">
              <w:rPr>
                <w:rFonts w:ascii="Times New Roman" w:eastAsia="仿宋_GB2312" w:hAnsi="Times New Roman" w:cs="Times New Roman" w:hint="eastAsia"/>
                <w:kern w:val="0"/>
                <w:szCs w:val="21"/>
              </w:rPr>
              <w:t>、上级补助收入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Pr="006A351B">
              <w:rPr>
                <w:rFonts w:ascii="Times New Roman" w:eastAsia="仿宋_GB2312" w:hAnsi="Times New Roman" w:cs="Times New Roman" w:hint="eastAsia"/>
                <w:kern w:val="0"/>
                <w:szCs w:val="21"/>
              </w:rPr>
              <w:t>、事业收入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w:t>
            </w:r>
            <w:r w:rsidRPr="006A351B">
              <w:rPr>
                <w:rFonts w:ascii="Times New Roman" w:eastAsia="仿宋_GB2312" w:hAnsi="Times New Roman" w:cs="Times New Roman" w:hint="eastAsia"/>
                <w:kern w:val="0"/>
                <w:szCs w:val="21"/>
              </w:rPr>
              <w:t>、经营收入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Pr="006A351B">
              <w:rPr>
                <w:rFonts w:ascii="Times New Roman" w:eastAsia="仿宋_GB2312" w:hAnsi="Times New Roman" w:cs="Times New Roman" w:hint="eastAsia"/>
                <w:kern w:val="0"/>
                <w:szCs w:val="21"/>
              </w:rPr>
              <w:t>、附属单位上缴收入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hint="eastAsia"/>
                <w:kern w:val="0"/>
                <w:szCs w:val="21"/>
              </w:rPr>
              <w:t>、其他收入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hideMark/>
          </w:tcPr>
          <w:p w:rsidR="003479BD" w:rsidRPr="006A351B" w:rsidRDefault="00EF5311" w:rsidP="006A351B">
            <w:pPr>
              <w:widowControl/>
              <w:jc w:val="right"/>
              <w:rPr>
                <w:rFonts w:ascii="Times New Roman" w:eastAsia="仿宋_GB2312" w:hAnsi="Times New Roman" w:cs="Times New Roman"/>
                <w:kern w:val="0"/>
                <w:szCs w:val="21"/>
              </w:rPr>
            </w:pPr>
            <w:r w:rsidRPr="00EF5311">
              <w:rPr>
                <w:rFonts w:ascii="Times New Roman" w:eastAsia="仿宋_GB2312" w:hAnsi="Times New Roman" w:cs="Times New Roman"/>
                <w:kern w:val="0"/>
                <w:szCs w:val="21"/>
              </w:rPr>
              <w:t>2.5</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kern w:val="0"/>
                <w:szCs w:val="21"/>
              </w:rPr>
              <w:t>……</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hideMark/>
          </w:tcPr>
          <w:p w:rsidR="003479BD" w:rsidRPr="006A351B" w:rsidRDefault="00EF5311" w:rsidP="006A351B">
            <w:pPr>
              <w:widowControl/>
              <w:jc w:val="right"/>
              <w:rPr>
                <w:rFonts w:ascii="Times New Roman" w:eastAsia="仿宋_GB2312" w:hAnsi="Times New Roman" w:cs="Times New Roman"/>
                <w:kern w:val="0"/>
                <w:szCs w:val="21"/>
              </w:rPr>
            </w:pPr>
            <w:r w:rsidRPr="00EF5311">
              <w:rPr>
                <w:rFonts w:ascii="Times New Roman" w:eastAsia="仿宋_GB2312" w:hAnsi="Times New Roman" w:cs="Times New Roman"/>
                <w:kern w:val="0"/>
                <w:szCs w:val="21"/>
              </w:rPr>
              <w:t>18.2</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r w:rsidR="00EF5311" w:rsidRPr="00EF5311">
              <w:rPr>
                <w:rFonts w:ascii="Times New Roman" w:eastAsia="仿宋_GB2312" w:hAnsi="Times New Roman" w:cs="Times New Roman"/>
                <w:b/>
                <w:bCs/>
                <w:kern w:val="0"/>
                <w:szCs w:val="21"/>
              </w:rPr>
              <w:t>18.2</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hideMark/>
          </w:tcPr>
          <w:p w:rsidR="003479BD" w:rsidRPr="006A351B" w:rsidRDefault="00EF5311" w:rsidP="006A351B">
            <w:pPr>
              <w:widowControl/>
              <w:jc w:val="right"/>
              <w:rPr>
                <w:rFonts w:ascii="Times New Roman" w:eastAsia="仿宋_GB2312" w:hAnsi="Times New Roman" w:cs="Times New Roman"/>
                <w:kern w:val="0"/>
                <w:szCs w:val="21"/>
              </w:rPr>
            </w:pPr>
            <w:r w:rsidRPr="00EF5311">
              <w:rPr>
                <w:rFonts w:ascii="Times New Roman" w:eastAsia="仿宋_GB2312" w:hAnsi="Times New Roman" w:cs="Times New Roman"/>
                <w:kern w:val="0"/>
                <w:szCs w:val="21"/>
              </w:rPr>
              <w:t>18.2</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r w:rsidR="00EF5311" w:rsidRPr="00EF5311">
              <w:rPr>
                <w:rFonts w:ascii="Times New Roman" w:eastAsia="仿宋_GB2312" w:hAnsi="Times New Roman" w:cs="Times New Roman"/>
                <w:b/>
                <w:bCs/>
                <w:kern w:val="0"/>
                <w:szCs w:val="21"/>
              </w:rPr>
              <w:t>18.2</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9869E8" w:rsidRPr="009869E8">
        <w:rPr>
          <w:rFonts w:ascii="Times New Roman" w:eastAsia="仿宋_GB2312" w:hAnsi="Times New Roman" w:cs="Times New Roman" w:hint="eastAsia"/>
          <w:color w:val="000000"/>
          <w:kern w:val="0"/>
          <w:szCs w:val="21"/>
        </w:rPr>
        <w:t>株洲市芦淞区归国华侨联合会</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P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3813" w:type="dxa"/>
        <w:jc w:val="center"/>
        <w:tblLook w:val="04A0"/>
      </w:tblPr>
      <w:tblGrid>
        <w:gridCol w:w="1197"/>
        <w:gridCol w:w="1188"/>
        <w:gridCol w:w="1676"/>
        <w:gridCol w:w="1595"/>
        <w:gridCol w:w="1676"/>
        <w:gridCol w:w="1382"/>
        <w:gridCol w:w="1412"/>
        <w:gridCol w:w="1676"/>
        <w:gridCol w:w="2011"/>
      </w:tblGrid>
      <w:tr w:rsidR="000A3F69" w:rsidRPr="000A3F69" w:rsidTr="003479BD">
        <w:trPr>
          <w:trHeight w:val="450"/>
          <w:jc w:val="center"/>
        </w:trPr>
        <w:tc>
          <w:tcPr>
            <w:tcW w:w="2385"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0A3F69" w:rsidRPr="000A3F69" w:rsidTr="003479BD">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88"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238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0A3F69" w:rsidRPr="000A3F69" w:rsidTr="009869E8">
        <w:trPr>
          <w:trHeight w:val="450"/>
          <w:jc w:val="center"/>
        </w:trPr>
        <w:tc>
          <w:tcPr>
            <w:tcW w:w="2385" w:type="dxa"/>
            <w:gridSpan w:val="2"/>
            <w:tcBorders>
              <w:top w:val="nil"/>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18.2</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15.7</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2.5</w:t>
            </w:r>
          </w:p>
        </w:tc>
      </w:tr>
      <w:tr w:rsidR="000A3F69" w:rsidRPr="000A3F69" w:rsidTr="009869E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9869E8" w:rsidRDefault="009869E8"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一般公共服务支出</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18.2</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15.7</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2.5</w:t>
            </w:r>
          </w:p>
        </w:tc>
      </w:tr>
      <w:tr w:rsidR="000A3F69" w:rsidRPr="000A3F69" w:rsidTr="009869E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20103</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9869E8" w:rsidRDefault="009869E8"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政府办公厅（室）及相关机构事务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7.77</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5.27</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2.5</w:t>
            </w:r>
          </w:p>
        </w:tc>
      </w:tr>
      <w:tr w:rsidR="000A3F69" w:rsidRPr="000A3F69" w:rsidTr="009869E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2010301</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9869E8" w:rsidRDefault="000A3F69"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009869E8" w:rsidRPr="009869E8">
              <w:rPr>
                <w:rFonts w:ascii="Times New Roman" w:eastAsia="仿宋_GB2312" w:hAnsi="Times New Roman" w:cs="Times New Roman" w:hint="eastAsia"/>
                <w:kern w:val="0"/>
                <w:sz w:val="18"/>
                <w:szCs w:val="18"/>
              </w:rPr>
              <w:t>行政运行</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2.02</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2.02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r>
      <w:tr w:rsidR="000A3F69" w:rsidRPr="000A3F69" w:rsidTr="009869E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2010399</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9869E8" w:rsidRDefault="009869E8"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其他政府办公厅（室）及相关机构事务支出</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5.75</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3.25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2.5</w:t>
            </w:r>
          </w:p>
        </w:tc>
      </w:tr>
      <w:tr w:rsidR="000A3F69" w:rsidRPr="000A3F69" w:rsidTr="009869E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20134</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9869E8" w:rsidRDefault="000A3F69"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009869E8" w:rsidRPr="009869E8">
              <w:rPr>
                <w:rFonts w:ascii="Times New Roman" w:eastAsia="仿宋_GB2312" w:hAnsi="Times New Roman" w:cs="Times New Roman" w:hint="eastAsia"/>
                <w:kern w:val="0"/>
                <w:sz w:val="18"/>
                <w:szCs w:val="18"/>
              </w:rPr>
              <w:t>统战事务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10.43</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10.43</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r>
      <w:tr w:rsidR="000A3F69" w:rsidRPr="000A3F69" w:rsidTr="009869E8">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869E8" w:rsidRPr="009869E8">
              <w:rPr>
                <w:rFonts w:ascii="Times New Roman" w:eastAsia="仿宋_GB2312" w:hAnsi="Times New Roman" w:cs="Times New Roman"/>
                <w:kern w:val="0"/>
                <w:szCs w:val="21"/>
              </w:rPr>
              <w:t>2013401</w:t>
            </w:r>
          </w:p>
        </w:tc>
        <w:tc>
          <w:tcPr>
            <w:tcW w:w="1188" w:type="dxa"/>
            <w:tcBorders>
              <w:top w:val="nil"/>
              <w:left w:val="nil"/>
              <w:bottom w:val="single" w:sz="8" w:space="0" w:color="auto"/>
              <w:right w:val="single" w:sz="4" w:space="0" w:color="auto"/>
            </w:tcBorders>
            <w:shd w:val="clear" w:color="auto" w:fill="auto"/>
            <w:noWrap/>
            <w:vAlign w:val="center"/>
            <w:hideMark/>
          </w:tcPr>
          <w:p w:rsidR="000A3F69" w:rsidRPr="009869E8" w:rsidRDefault="000A3F69" w:rsidP="000A3F69">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009869E8" w:rsidRPr="009869E8">
              <w:rPr>
                <w:rFonts w:ascii="Times New Roman" w:eastAsia="仿宋_GB2312" w:hAnsi="Times New Roman" w:cs="Times New Roman" w:hint="eastAsia"/>
                <w:kern w:val="0"/>
                <w:sz w:val="18"/>
                <w:szCs w:val="18"/>
              </w:rPr>
              <w:t>行政运行</w:t>
            </w: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10.43</w:t>
            </w:r>
          </w:p>
        </w:tc>
        <w:tc>
          <w:tcPr>
            <w:tcW w:w="1595" w:type="dxa"/>
            <w:tcBorders>
              <w:top w:val="nil"/>
              <w:left w:val="nil"/>
              <w:bottom w:val="single" w:sz="8" w:space="0" w:color="auto"/>
              <w:right w:val="single" w:sz="4" w:space="0" w:color="auto"/>
            </w:tcBorders>
            <w:shd w:val="clear" w:color="auto" w:fill="auto"/>
            <w:noWrap/>
            <w:vAlign w:val="center"/>
            <w:hideMark/>
          </w:tcPr>
          <w:p w:rsidR="000A3F69" w:rsidRPr="000A3F69" w:rsidRDefault="009869E8" w:rsidP="009869E8">
            <w:pPr>
              <w:widowControl/>
              <w:jc w:val="center"/>
              <w:rPr>
                <w:rFonts w:ascii="Times New Roman" w:eastAsia="仿宋_GB2312" w:hAnsi="Times New Roman" w:cs="Times New Roman"/>
                <w:kern w:val="0"/>
                <w:szCs w:val="21"/>
              </w:rPr>
            </w:pPr>
            <w:r w:rsidRPr="009869E8">
              <w:rPr>
                <w:rFonts w:ascii="Times New Roman" w:eastAsia="仿宋_GB2312" w:hAnsi="Times New Roman" w:cs="Times New Roman"/>
                <w:kern w:val="0"/>
                <w:szCs w:val="21"/>
              </w:rPr>
              <w:t>10.43</w:t>
            </w: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hideMark/>
          </w:tcPr>
          <w:p w:rsidR="000A3F69" w:rsidRPr="000A3F69" w:rsidRDefault="000A3F69" w:rsidP="009869E8">
            <w:pPr>
              <w:widowControl/>
              <w:jc w:val="center"/>
              <w:rPr>
                <w:rFonts w:ascii="Times New Roman" w:eastAsia="仿宋_GB2312" w:hAnsi="Times New Roman" w:cs="Times New Roman"/>
                <w:kern w:val="0"/>
                <w:szCs w:val="21"/>
              </w:rPr>
            </w:pPr>
          </w:p>
        </w:tc>
      </w:tr>
      <w:tr w:rsidR="000A3F69"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Default="000A3F69" w:rsidP="000A3F69">
      <w:pPr>
        <w:widowControl/>
        <w:jc w:val="left"/>
        <w:rPr>
          <w:rFonts w:ascii="Times New Roman" w:eastAsia="黑体" w:hAnsi="Times New Roman" w:cs="Times New Roman"/>
          <w:bCs/>
          <w:kern w:val="0"/>
          <w:sz w:val="32"/>
          <w:szCs w:val="32"/>
        </w:rPr>
      </w:pPr>
    </w:p>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00D94D1D" w:rsidRPr="009869E8">
        <w:rPr>
          <w:rFonts w:ascii="Times New Roman" w:eastAsia="仿宋_GB2312" w:hAnsi="Times New Roman" w:cs="Times New Roman" w:hint="eastAsia"/>
          <w:color w:val="000000"/>
          <w:kern w:val="0"/>
          <w:szCs w:val="21"/>
        </w:rPr>
        <w:t>株洲市芦淞区归国华侨联合会</w:t>
      </w:r>
      <w:r w:rsidR="00D94D1D"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02"/>
        <w:gridCol w:w="1249"/>
        <w:gridCol w:w="1775"/>
        <w:gridCol w:w="1985"/>
        <w:gridCol w:w="1842"/>
        <w:gridCol w:w="1843"/>
        <w:gridCol w:w="1985"/>
        <w:gridCol w:w="2308"/>
      </w:tblGrid>
      <w:tr w:rsidR="000A3F69" w:rsidRPr="000A3F69" w:rsidTr="000A3F69">
        <w:trPr>
          <w:trHeight w:val="450"/>
          <w:jc w:val="center"/>
        </w:trPr>
        <w:tc>
          <w:tcPr>
            <w:tcW w:w="2351"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w:t>
            </w:r>
          </w:p>
        </w:tc>
        <w:tc>
          <w:tcPr>
            <w:tcW w:w="177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84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843"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230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0A3F69">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24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4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2351"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77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4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43"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230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643C5E" w:rsidRPr="000A3F69" w:rsidTr="00643C5E">
        <w:trPr>
          <w:trHeight w:val="450"/>
          <w:jc w:val="center"/>
        </w:trPr>
        <w:tc>
          <w:tcPr>
            <w:tcW w:w="2351" w:type="dxa"/>
            <w:gridSpan w:val="2"/>
            <w:shd w:val="clear" w:color="auto" w:fill="auto"/>
            <w:noWrap/>
            <w:vAlign w:val="center"/>
            <w:hideMark/>
          </w:tcPr>
          <w:p w:rsidR="00643C5E" w:rsidRPr="000A3F69" w:rsidRDefault="00643C5E"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77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r w:rsidRPr="00643C5E">
              <w:rPr>
                <w:rFonts w:ascii="Times New Roman" w:eastAsia="仿宋_GB2312" w:hAnsi="Times New Roman" w:cs="Times New Roman"/>
                <w:kern w:val="0"/>
                <w:szCs w:val="21"/>
              </w:rPr>
              <w:t>18.2</w:t>
            </w: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r w:rsidRPr="00643C5E">
              <w:rPr>
                <w:rFonts w:ascii="Times New Roman" w:eastAsia="仿宋_GB2312" w:hAnsi="Times New Roman" w:cs="Times New Roman"/>
                <w:kern w:val="0"/>
                <w:szCs w:val="21"/>
              </w:rPr>
              <w:t>17.95</w:t>
            </w:r>
          </w:p>
        </w:tc>
        <w:tc>
          <w:tcPr>
            <w:tcW w:w="1842" w:type="dxa"/>
            <w:shd w:val="clear" w:color="auto" w:fill="auto"/>
            <w:noWrap/>
            <w:vAlign w:val="center"/>
            <w:hideMark/>
          </w:tcPr>
          <w:p w:rsidR="00643C5E" w:rsidRDefault="00643C5E" w:rsidP="00643C5E">
            <w:pPr>
              <w:jc w:val="center"/>
            </w:pPr>
            <w:r w:rsidRPr="00FC3AED">
              <w:t>0.25</w:t>
            </w:r>
          </w:p>
        </w:tc>
        <w:tc>
          <w:tcPr>
            <w:tcW w:w="1843" w:type="dxa"/>
            <w:shd w:val="clear" w:color="auto" w:fill="auto"/>
            <w:noWrap/>
            <w:vAlign w:val="center"/>
            <w:hideMark/>
          </w:tcPr>
          <w:p w:rsidR="00643C5E" w:rsidRDefault="00643C5E" w:rsidP="00643C5E">
            <w:pPr>
              <w:jc w:val="cente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一般公共服务支出</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18.20</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17.95</w:t>
            </w:r>
          </w:p>
        </w:tc>
        <w:tc>
          <w:tcPr>
            <w:tcW w:w="1842"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0.25</w:t>
            </w: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20103</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政府办公厅（室）及相关机构事务</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7.77</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7.77</w:t>
            </w:r>
          </w:p>
        </w:tc>
        <w:tc>
          <w:tcPr>
            <w:tcW w:w="1842"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2010301</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Pr="009869E8">
              <w:rPr>
                <w:rFonts w:ascii="Times New Roman" w:eastAsia="仿宋_GB2312" w:hAnsi="Times New Roman" w:cs="Times New Roman" w:hint="eastAsia"/>
                <w:kern w:val="0"/>
                <w:sz w:val="18"/>
                <w:szCs w:val="18"/>
              </w:rPr>
              <w:t>行政运行</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2.02</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2.02</w:t>
            </w:r>
          </w:p>
        </w:tc>
        <w:tc>
          <w:tcPr>
            <w:tcW w:w="1842"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2010399</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hint="eastAsia"/>
                <w:kern w:val="0"/>
                <w:sz w:val="18"/>
                <w:szCs w:val="18"/>
              </w:rPr>
              <w:t>其他政府办公厅（室）及相关机构事务支出</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5.75</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5.75</w:t>
            </w:r>
          </w:p>
        </w:tc>
        <w:tc>
          <w:tcPr>
            <w:tcW w:w="1842"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20134</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Pr="009869E8">
              <w:rPr>
                <w:rFonts w:ascii="Times New Roman" w:eastAsia="仿宋_GB2312" w:hAnsi="Times New Roman" w:cs="Times New Roman" w:hint="eastAsia"/>
                <w:kern w:val="0"/>
                <w:sz w:val="18"/>
                <w:szCs w:val="18"/>
              </w:rPr>
              <w:t>统战事务</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10.43</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10.18</w:t>
            </w:r>
          </w:p>
        </w:tc>
        <w:tc>
          <w:tcPr>
            <w:tcW w:w="1842"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0.25</w:t>
            </w: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r w:rsidR="00643C5E" w:rsidRPr="000A3F69" w:rsidTr="00643C5E">
        <w:trPr>
          <w:trHeight w:val="450"/>
          <w:jc w:val="center"/>
        </w:trPr>
        <w:tc>
          <w:tcPr>
            <w:tcW w:w="1102" w:type="dxa"/>
            <w:shd w:val="clear" w:color="auto" w:fill="auto"/>
            <w:noWrap/>
            <w:vAlign w:val="center"/>
            <w:hideMark/>
          </w:tcPr>
          <w:p w:rsidR="00643C5E" w:rsidRPr="000A3F69" w:rsidRDefault="00643C5E" w:rsidP="00C0675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Pr="009869E8">
              <w:rPr>
                <w:rFonts w:ascii="Times New Roman" w:eastAsia="仿宋_GB2312" w:hAnsi="Times New Roman" w:cs="Times New Roman"/>
                <w:kern w:val="0"/>
                <w:szCs w:val="21"/>
              </w:rPr>
              <w:t>2013401</w:t>
            </w:r>
          </w:p>
        </w:tc>
        <w:tc>
          <w:tcPr>
            <w:tcW w:w="1249" w:type="dxa"/>
            <w:shd w:val="clear" w:color="auto" w:fill="auto"/>
            <w:noWrap/>
            <w:vAlign w:val="center"/>
            <w:hideMark/>
          </w:tcPr>
          <w:p w:rsidR="00643C5E" w:rsidRPr="009869E8" w:rsidRDefault="00643C5E" w:rsidP="00C0675E">
            <w:pPr>
              <w:widowControl/>
              <w:jc w:val="left"/>
              <w:rPr>
                <w:rFonts w:ascii="Times New Roman" w:eastAsia="仿宋_GB2312" w:hAnsi="Times New Roman" w:cs="Times New Roman"/>
                <w:kern w:val="0"/>
                <w:sz w:val="18"/>
                <w:szCs w:val="18"/>
              </w:rPr>
            </w:pPr>
            <w:r w:rsidRPr="009869E8">
              <w:rPr>
                <w:rFonts w:ascii="Times New Roman" w:eastAsia="仿宋_GB2312" w:hAnsi="Times New Roman" w:cs="Times New Roman"/>
                <w:kern w:val="0"/>
                <w:sz w:val="18"/>
                <w:szCs w:val="18"/>
              </w:rPr>
              <w:t xml:space="preserve">　</w:t>
            </w:r>
            <w:r w:rsidRPr="009869E8">
              <w:rPr>
                <w:rFonts w:ascii="Times New Roman" w:eastAsia="仿宋_GB2312" w:hAnsi="Times New Roman" w:cs="Times New Roman" w:hint="eastAsia"/>
                <w:kern w:val="0"/>
                <w:sz w:val="18"/>
                <w:szCs w:val="18"/>
              </w:rPr>
              <w:t>行政运行</w:t>
            </w:r>
          </w:p>
        </w:tc>
        <w:tc>
          <w:tcPr>
            <w:tcW w:w="177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10.43</w:t>
            </w:r>
          </w:p>
        </w:tc>
        <w:tc>
          <w:tcPr>
            <w:tcW w:w="1985"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10.18</w:t>
            </w:r>
          </w:p>
        </w:tc>
        <w:tc>
          <w:tcPr>
            <w:tcW w:w="1842" w:type="dxa"/>
            <w:shd w:val="clear" w:color="auto" w:fill="auto"/>
            <w:noWrap/>
            <w:vAlign w:val="center"/>
            <w:hideMark/>
          </w:tcPr>
          <w:p w:rsidR="00643C5E" w:rsidRDefault="00643C5E" w:rsidP="00643C5E">
            <w:pPr>
              <w:jc w:val="center"/>
              <w:rPr>
                <w:rFonts w:ascii="宋体" w:eastAsia="宋体" w:hAnsi="宋体" w:cs="宋体"/>
                <w:sz w:val="24"/>
                <w:szCs w:val="24"/>
              </w:rPr>
            </w:pPr>
            <w:r>
              <w:rPr>
                <w:rFonts w:hint="eastAsia"/>
              </w:rPr>
              <w:t>0.25</w:t>
            </w:r>
          </w:p>
        </w:tc>
        <w:tc>
          <w:tcPr>
            <w:tcW w:w="1843"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1985"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c>
          <w:tcPr>
            <w:tcW w:w="2308" w:type="dxa"/>
            <w:shd w:val="clear" w:color="auto" w:fill="auto"/>
            <w:noWrap/>
            <w:vAlign w:val="center"/>
            <w:hideMark/>
          </w:tcPr>
          <w:p w:rsidR="00643C5E" w:rsidRPr="000A3F69" w:rsidRDefault="00643C5E" w:rsidP="00643C5E">
            <w:pPr>
              <w:widowControl/>
              <w:jc w:val="center"/>
              <w:rPr>
                <w:rFonts w:ascii="Times New Roman" w:eastAsia="仿宋_GB2312" w:hAnsi="Times New Roman" w:cs="Times New Roman"/>
                <w:kern w:val="0"/>
                <w:szCs w:val="21"/>
              </w:rPr>
            </w:pP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E82C4F" w:rsidRPr="009869E8">
        <w:rPr>
          <w:rFonts w:ascii="Times New Roman" w:eastAsia="仿宋_GB2312" w:hAnsi="Times New Roman" w:cs="Times New Roman" w:hint="eastAsia"/>
          <w:color w:val="000000"/>
          <w:kern w:val="0"/>
          <w:szCs w:val="21"/>
        </w:rPr>
        <w:t>株洲市芦淞区归国华侨联合会</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94"/>
        <w:gridCol w:w="480"/>
        <w:gridCol w:w="1880"/>
        <w:gridCol w:w="3761"/>
        <w:gridCol w:w="43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一、一般公共服务支出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15</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66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二、外交支出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16</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三、国防支出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17</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四、公共安全支出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18</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五、教育支出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19</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六、科学技术支出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20</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Pr>
                <w:rFonts w:ascii="Times New Roman" w:eastAsia="仿宋_GB2312" w:hAnsi="Times New Roman" w:cs="Times New Roman"/>
                <w:kern w:val="0"/>
                <w:szCs w:val="21"/>
              </w:rPr>
              <w:t>…</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21</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8</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22</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本年收入合计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9</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本年支出合计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23</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66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年初财政拨款结转和结余</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10</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年末财政拨款结转和结余</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24</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sidR="000A3F69" w:rsidRPr="000A3F69">
              <w:rPr>
                <w:rFonts w:ascii="Times New Roman" w:eastAsia="仿宋_GB2312" w:hAnsi="Times New Roman" w:cs="Times New Roman"/>
                <w:kern w:val="0"/>
                <w:szCs w:val="21"/>
              </w:rPr>
              <w:t>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11</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25</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000A3F69" w:rsidRPr="000A3F69">
              <w:rPr>
                <w:rFonts w:ascii="Times New Roman" w:eastAsia="仿宋_GB2312" w:hAnsi="Times New Roman" w:cs="Times New Roman"/>
                <w:kern w:val="0"/>
                <w:szCs w:val="21"/>
              </w:rPr>
              <w:t>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12</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26</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13</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27</w:t>
            </w:r>
          </w:p>
        </w:tc>
        <w:tc>
          <w:tcPr>
            <w:tcW w:w="188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0A3F69" w:rsidRPr="000A3F69" w:rsidRDefault="000A3F69" w:rsidP="00E82C4F">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E82C4F">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14</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28</w:t>
            </w:r>
          </w:p>
        </w:tc>
        <w:tc>
          <w:tcPr>
            <w:tcW w:w="188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660" w:type="dxa"/>
            <w:shd w:val="clear" w:color="auto" w:fill="auto"/>
            <w:noWrap/>
            <w:vAlign w:val="center"/>
            <w:hideMark/>
          </w:tcPr>
          <w:p w:rsidR="000A3F69" w:rsidRPr="000A3F69" w:rsidRDefault="00E82C4F" w:rsidP="00E82C4F">
            <w:pPr>
              <w:widowControl/>
              <w:jc w:val="center"/>
              <w:rPr>
                <w:rFonts w:ascii="Times New Roman" w:eastAsia="仿宋_GB2312" w:hAnsi="Times New Roman" w:cs="Times New Roman"/>
                <w:kern w:val="0"/>
                <w:szCs w:val="21"/>
              </w:rPr>
            </w:pPr>
            <w:r w:rsidRPr="00E82C4F">
              <w:rPr>
                <w:rFonts w:ascii="Times New Roman" w:eastAsia="仿宋_GB2312" w:hAnsi="Times New Roman" w:cs="Times New Roman"/>
                <w:kern w:val="0"/>
                <w:szCs w:val="21"/>
              </w:rPr>
              <w:t>15.7</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0" w:name="RANGE!A1:F16"/>
      <w:r w:rsidRPr="000A3F69">
        <w:rPr>
          <w:rFonts w:ascii="Times New Roman" w:eastAsia="方正小标宋_GBK" w:hAnsi="Times New Roman" w:cs="Times New Roman"/>
          <w:kern w:val="0"/>
          <w:sz w:val="36"/>
          <w:szCs w:val="36"/>
        </w:rPr>
        <w:lastRenderedPageBreak/>
        <w:t>一般公共预算财政拨款支出决算表</w:t>
      </w:r>
      <w:bookmarkEnd w:id="0"/>
    </w:p>
    <w:p w:rsidR="000A3F69" w:rsidRPr="000A3F69" w:rsidRDefault="000A3F69" w:rsidP="00EF5311">
      <w:pPr>
        <w:widowControl/>
        <w:spacing w:beforeLines="5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C947A9" w:rsidRPr="009869E8">
        <w:rPr>
          <w:rFonts w:ascii="Times New Roman" w:eastAsia="仿宋_GB2312" w:hAnsi="Times New Roman" w:cs="Times New Roman" w:hint="eastAsia"/>
          <w:color w:val="000000"/>
          <w:kern w:val="0"/>
          <w:szCs w:val="21"/>
        </w:rPr>
        <w:t>株洲市芦淞区归国华侨联合会</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9E4CC4" w:rsidRPr="009E4CC4">
              <w:rPr>
                <w:rFonts w:ascii="Times New Roman" w:eastAsia="仿宋_GB2312" w:hAnsi="Times New Roman" w:cs="Times New Roman"/>
                <w:kern w:val="0"/>
                <w:szCs w:val="21"/>
              </w:rPr>
              <w:t>15.7</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9E4CC4" w:rsidP="000A3F69">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15.45</w:t>
            </w:r>
            <w:r w:rsidR="000A3F69"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9E4CC4" w:rsidP="000A3F69">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0.25</w:t>
            </w:r>
            <w:r w:rsidR="000A3F69" w:rsidRPr="000A3F69">
              <w:rPr>
                <w:rFonts w:ascii="Times New Roman" w:eastAsia="仿宋_GB2312" w:hAnsi="Times New Roman" w:cs="Times New Roman"/>
                <w:kern w:val="0"/>
                <w:szCs w:val="21"/>
              </w:rPr>
              <w:t xml:space="preserve">　</w:t>
            </w:r>
          </w:p>
        </w:tc>
      </w:tr>
      <w:tr w:rsidR="009E4CC4" w:rsidRPr="000A3F69" w:rsidTr="009E4CC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w:t>
            </w:r>
          </w:p>
        </w:tc>
        <w:tc>
          <w:tcPr>
            <w:tcW w:w="3527" w:type="dxa"/>
            <w:tcBorders>
              <w:top w:val="nil"/>
              <w:left w:val="nil"/>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一般公共服务支出</w:t>
            </w:r>
          </w:p>
        </w:tc>
        <w:tc>
          <w:tcPr>
            <w:tcW w:w="3000"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15.7</w:t>
            </w:r>
          </w:p>
        </w:tc>
        <w:tc>
          <w:tcPr>
            <w:tcW w:w="3492"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15.45</w:t>
            </w:r>
          </w:p>
        </w:tc>
        <w:tc>
          <w:tcPr>
            <w:tcW w:w="3000" w:type="dxa"/>
            <w:tcBorders>
              <w:top w:val="nil"/>
              <w:left w:val="nil"/>
              <w:bottom w:val="single" w:sz="4"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0.25</w:t>
            </w:r>
          </w:p>
        </w:tc>
      </w:tr>
      <w:tr w:rsidR="009E4CC4" w:rsidRPr="000A3F69" w:rsidTr="009E4CC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20103</w:t>
            </w:r>
          </w:p>
        </w:tc>
        <w:tc>
          <w:tcPr>
            <w:tcW w:w="3527" w:type="dxa"/>
            <w:tcBorders>
              <w:top w:val="nil"/>
              <w:left w:val="nil"/>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5.27</w:t>
            </w:r>
          </w:p>
        </w:tc>
        <w:tc>
          <w:tcPr>
            <w:tcW w:w="3492"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5.27</w:t>
            </w:r>
          </w:p>
        </w:tc>
        <w:tc>
          <w:tcPr>
            <w:tcW w:w="3000" w:type="dxa"/>
            <w:tcBorders>
              <w:top w:val="nil"/>
              <w:left w:val="nil"/>
              <w:bottom w:val="single" w:sz="4"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p>
        </w:tc>
      </w:tr>
      <w:tr w:rsidR="009E4CC4" w:rsidRPr="000A3F69" w:rsidTr="009E4CC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2010301</w:t>
            </w:r>
          </w:p>
        </w:tc>
        <w:tc>
          <w:tcPr>
            <w:tcW w:w="3527" w:type="dxa"/>
            <w:tcBorders>
              <w:top w:val="nil"/>
              <w:left w:val="nil"/>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行政运行</w:t>
            </w:r>
          </w:p>
        </w:tc>
        <w:tc>
          <w:tcPr>
            <w:tcW w:w="3000"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2.02</w:t>
            </w:r>
          </w:p>
        </w:tc>
        <w:tc>
          <w:tcPr>
            <w:tcW w:w="3492"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2.02</w:t>
            </w:r>
          </w:p>
        </w:tc>
        <w:tc>
          <w:tcPr>
            <w:tcW w:w="3000" w:type="dxa"/>
            <w:tcBorders>
              <w:top w:val="nil"/>
              <w:left w:val="nil"/>
              <w:bottom w:val="single" w:sz="4"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p>
        </w:tc>
      </w:tr>
      <w:tr w:rsidR="009E4CC4" w:rsidRPr="000A3F69" w:rsidTr="009E4CC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2010399</w:t>
            </w:r>
          </w:p>
        </w:tc>
        <w:tc>
          <w:tcPr>
            <w:tcW w:w="3527" w:type="dxa"/>
            <w:tcBorders>
              <w:top w:val="nil"/>
              <w:left w:val="nil"/>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3.25</w:t>
            </w:r>
          </w:p>
        </w:tc>
        <w:tc>
          <w:tcPr>
            <w:tcW w:w="3492"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3.25</w:t>
            </w:r>
          </w:p>
        </w:tc>
        <w:tc>
          <w:tcPr>
            <w:tcW w:w="3000" w:type="dxa"/>
            <w:tcBorders>
              <w:top w:val="nil"/>
              <w:left w:val="nil"/>
              <w:bottom w:val="single" w:sz="4"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p>
        </w:tc>
      </w:tr>
      <w:tr w:rsidR="009E4CC4" w:rsidRPr="000A3F69" w:rsidTr="009E4CC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20134</w:t>
            </w:r>
          </w:p>
        </w:tc>
        <w:tc>
          <w:tcPr>
            <w:tcW w:w="3527" w:type="dxa"/>
            <w:tcBorders>
              <w:top w:val="nil"/>
              <w:left w:val="nil"/>
              <w:bottom w:val="single" w:sz="4"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统战事务</w:t>
            </w:r>
          </w:p>
        </w:tc>
        <w:tc>
          <w:tcPr>
            <w:tcW w:w="3000"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10.43</w:t>
            </w:r>
          </w:p>
        </w:tc>
        <w:tc>
          <w:tcPr>
            <w:tcW w:w="3492" w:type="dxa"/>
            <w:tcBorders>
              <w:top w:val="nil"/>
              <w:left w:val="nil"/>
              <w:bottom w:val="single" w:sz="4"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10.18</w:t>
            </w:r>
          </w:p>
        </w:tc>
        <w:tc>
          <w:tcPr>
            <w:tcW w:w="3000" w:type="dxa"/>
            <w:tcBorders>
              <w:top w:val="nil"/>
              <w:left w:val="nil"/>
              <w:bottom w:val="single" w:sz="4"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0.25</w:t>
            </w:r>
          </w:p>
        </w:tc>
      </w:tr>
      <w:tr w:rsidR="009E4CC4" w:rsidRPr="000A3F69" w:rsidTr="009E4CC4">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2013401</w:t>
            </w:r>
          </w:p>
        </w:tc>
        <w:tc>
          <w:tcPr>
            <w:tcW w:w="3527" w:type="dxa"/>
            <w:tcBorders>
              <w:top w:val="nil"/>
              <w:left w:val="nil"/>
              <w:bottom w:val="single" w:sz="8" w:space="0" w:color="auto"/>
              <w:right w:val="single" w:sz="4" w:space="0" w:color="auto"/>
            </w:tcBorders>
            <w:shd w:val="clear" w:color="auto" w:fill="auto"/>
            <w:vAlign w:val="center"/>
            <w:hideMark/>
          </w:tcPr>
          <w:p w:rsidR="009E4CC4" w:rsidRDefault="009E4CC4" w:rsidP="009E4CC4">
            <w:pPr>
              <w:jc w:val="center"/>
              <w:rPr>
                <w:rFonts w:ascii="宋体" w:eastAsia="宋体" w:hAnsi="宋体" w:cs="宋体"/>
                <w:sz w:val="24"/>
                <w:szCs w:val="24"/>
              </w:rPr>
            </w:pPr>
            <w:r>
              <w:rPr>
                <w:rFonts w:hint="eastAsia"/>
              </w:rPr>
              <w:t>行政运行</w:t>
            </w:r>
          </w:p>
        </w:tc>
        <w:tc>
          <w:tcPr>
            <w:tcW w:w="3000" w:type="dxa"/>
            <w:tcBorders>
              <w:top w:val="nil"/>
              <w:left w:val="nil"/>
              <w:bottom w:val="single" w:sz="8"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10.43</w:t>
            </w:r>
          </w:p>
        </w:tc>
        <w:tc>
          <w:tcPr>
            <w:tcW w:w="3492" w:type="dxa"/>
            <w:tcBorders>
              <w:top w:val="nil"/>
              <w:left w:val="nil"/>
              <w:bottom w:val="single" w:sz="8" w:space="0" w:color="auto"/>
              <w:right w:val="single" w:sz="4"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10.18</w:t>
            </w:r>
          </w:p>
        </w:tc>
        <w:tc>
          <w:tcPr>
            <w:tcW w:w="3000" w:type="dxa"/>
            <w:tcBorders>
              <w:top w:val="nil"/>
              <w:left w:val="nil"/>
              <w:bottom w:val="single" w:sz="8" w:space="0" w:color="auto"/>
              <w:right w:val="single" w:sz="8" w:space="0" w:color="auto"/>
            </w:tcBorders>
            <w:shd w:val="clear" w:color="auto" w:fill="auto"/>
            <w:vAlign w:val="center"/>
            <w:hideMark/>
          </w:tcPr>
          <w:p w:rsidR="009E4CC4" w:rsidRPr="000A3F69" w:rsidRDefault="009E4CC4" w:rsidP="009E4CC4">
            <w:pPr>
              <w:widowControl/>
              <w:jc w:val="center"/>
              <w:rPr>
                <w:rFonts w:ascii="Times New Roman" w:eastAsia="仿宋_GB2312" w:hAnsi="Times New Roman" w:cs="Times New Roman"/>
                <w:kern w:val="0"/>
                <w:szCs w:val="21"/>
              </w:rPr>
            </w:pPr>
            <w:r w:rsidRPr="009E4CC4">
              <w:rPr>
                <w:rFonts w:ascii="Times New Roman" w:eastAsia="仿宋_GB2312" w:hAnsi="Times New Roman" w:cs="Times New Roman"/>
                <w:kern w:val="0"/>
                <w:szCs w:val="21"/>
              </w:rPr>
              <w:t>0.25</w:t>
            </w:r>
          </w:p>
        </w:tc>
      </w:tr>
      <w:tr w:rsidR="000A3F69"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1"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1"/>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C947A9" w:rsidRPr="009869E8">
        <w:rPr>
          <w:rFonts w:ascii="Times New Roman" w:eastAsia="仿宋_GB2312" w:hAnsi="Times New Roman" w:cs="Times New Roman" w:hint="eastAsia"/>
          <w:color w:val="000000"/>
          <w:kern w:val="0"/>
          <w:szCs w:val="21"/>
        </w:rPr>
        <w:t>株洲市芦淞区归国华侨联合会</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0" w:type="auto"/>
        <w:tblInd w:w="93" w:type="dxa"/>
        <w:tblLayout w:type="fixed"/>
        <w:tblLook w:val="04A0"/>
      </w:tblPr>
      <w:tblGrid>
        <w:gridCol w:w="1149"/>
        <w:gridCol w:w="3306"/>
        <w:gridCol w:w="856"/>
        <w:gridCol w:w="1110"/>
        <w:gridCol w:w="2297"/>
        <w:gridCol w:w="856"/>
        <w:gridCol w:w="1076"/>
        <w:gridCol w:w="4394"/>
        <w:gridCol w:w="856"/>
      </w:tblGrid>
      <w:tr w:rsidR="00152C6D" w:rsidRPr="00152C6D" w:rsidTr="006E528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sidRPr="00652001">
              <w:rPr>
                <w:rFonts w:ascii="仿宋_GB2312" w:eastAsia="仿宋_GB2312" w:hAnsi="宋体" w:cs="宋体"/>
                <w:color w:val="000000"/>
                <w:kern w:val="0"/>
                <w:sz w:val="18"/>
                <w:szCs w:val="18"/>
              </w:rPr>
              <w:t>1.85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12.67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sidRPr="00652001">
              <w:rPr>
                <w:rFonts w:ascii="仿宋_GB2312" w:eastAsia="仿宋_GB2312" w:hAnsi="宋体" w:cs="宋体"/>
                <w:color w:val="000000"/>
                <w:kern w:val="0"/>
                <w:sz w:val="18"/>
                <w:szCs w:val="18"/>
              </w:rPr>
              <w:t>0.63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0.86</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sidRPr="00652001">
              <w:rPr>
                <w:rFonts w:ascii="仿宋_GB2312" w:eastAsia="仿宋_GB2312" w:hAnsi="宋体" w:cs="宋体"/>
                <w:color w:val="000000"/>
                <w:kern w:val="0"/>
                <w:sz w:val="18"/>
                <w:szCs w:val="18"/>
              </w:rPr>
              <w:t>0.97</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0.23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0.93</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0.93</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0.04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sidRPr="00652001">
              <w:rPr>
                <w:rFonts w:ascii="仿宋_GB2312" w:eastAsia="仿宋_GB2312" w:hAnsi="宋体" w:cs="宋体"/>
                <w:color w:val="000000"/>
                <w:kern w:val="0"/>
                <w:sz w:val="18"/>
                <w:szCs w:val="18"/>
              </w:rPr>
              <w:t>0.25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54069E" w:rsidP="006E528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公务接</w:t>
            </w:r>
            <w:r w:rsidR="00152C6D" w:rsidRPr="00152C6D">
              <w:rPr>
                <w:rFonts w:ascii="仿宋_GB2312" w:eastAsia="仿宋_GB2312" w:hAnsi="Times New Roman" w:cs="Times New Roman" w:hint="eastAsia"/>
                <w:color w:val="000000"/>
                <w:kern w:val="0"/>
                <w:sz w:val="18"/>
                <w:szCs w:val="18"/>
              </w:rPr>
              <w:t>待费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4.8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3.8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652001">
              <w:rPr>
                <w:rFonts w:ascii="仿宋_GB2312" w:eastAsia="仿宋_GB2312" w:hAnsi="宋体" w:cs="宋体" w:hint="eastAsia"/>
                <w:color w:val="000000"/>
                <w:kern w:val="0"/>
                <w:sz w:val="18"/>
                <w:szCs w:val="18"/>
              </w:rPr>
              <w:t>0.69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652001">
              <w:rPr>
                <w:rFonts w:ascii="Times New Roman" w:eastAsia="宋体" w:hAnsi="Times New Roman" w:cs="Times New Roman" w:hint="eastAsia"/>
                <w:color w:val="000000"/>
                <w:kern w:val="0"/>
                <w:sz w:val="18"/>
                <w:szCs w:val="18"/>
              </w:rPr>
              <w:t>0.6</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652001">
              <w:rPr>
                <w:rFonts w:ascii="Times New Roman" w:eastAsia="宋体" w:hAnsi="Times New Roman" w:cs="Times New Roman" w:hint="eastAsia"/>
                <w:color w:val="000000"/>
                <w:kern w:val="0"/>
                <w:sz w:val="18"/>
                <w:szCs w:val="18"/>
              </w:rPr>
              <w:t>0.17</w:t>
            </w:r>
          </w:p>
        </w:tc>
        <w:tc>
          <w:tcPr>
            <w:tcW w:w="107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652001">
              <w:rPr>
                <w:rFonts w:ascii="Times New Roman" w:eastAsia="宋体" w:hAnsi="Times New Roman" w:cs="Times New Roman" w:hint="eastAsia"/>
                <w:color w:val="000000"/>
                <w:kern w:val="0"/>
                <w:sz w:val="18"/>
                <w:szCs w:val="18"/>
              </w:rPr>
              <w:t>1.48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6E5284" w:rsidRPr="00152C6D" w:rsidTr="006E5284">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hideMark/>
          </w:tcPr>
          <w:p w:rsidR="006E5284" w:rsidRPr="0054069E"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hideMark/>
          </w:tcPr>
          <w:p w:rsidR="006E5284" w:rsidRPr="00152C6D" w:rsidRDefault="006E5284"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652001" w:rsidRPr="00652001">
              <w:rPr>
                <w:rFonts w:ascii="Times New Roman" w:eastAsia="宋体" w:hAnsi="Times New Roman" w:cs="Times New Roman"/>
                <w:color w:val="000000"/>
                <w:kern w:val="0"/>
                <w:sz w:val="18"/>
                <w:szCs w:val="18"/>
              </w:rPr>
              <w:t>1.85</w:t>
            </w:r>
          </w:p>
        </w:tc>
        <w:tc>
          <w:tcPr>
            <w:tcW w:w="9733" w:type="dxa"/>
            <w:gridSpan w:val="5"/>
            <w:tcBorders>
              <w:top w:val="nil"/>
              <w:left w:val="nil"/>
              <w:bottom w:val="single" w:sz="8" w:space="0" w:color="auto"/>
              <w:right w:val="single" w:sz="8" w:space="0" w:color="auto"/>
            </w:tcBorders>
            <w:shd w:val="clear" w:color="auto" w:fill="auto"/>
            <w:noWrap/>
            <w:hideMark/>
          </w:tcPr>
          <w:p w:rsidR="006E5284" w:rsidRPr="00152C6D"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6E5284" w:rsidRPr="00152C6D" w:rsidRDefault="0065200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13.60</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C947A9" w:rsidRPr="009869E8">
        <w:rPr>
          <w:rFonts w:ascii="Times New Roman" w:eastAsia="仿宋_GB2312" w:hAnsi="Times New Roman" w:cs="Times New Roman" w:hint="eastAsia"/>
          <w:color w:val="000000"/>
          <w:kern w:val="0"/>
          <w:szCs w:val="21"/>
        </w:rPr>
        <w:t>株洲市芦淞区归国华侨联合会</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C947A9"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single" w:sz="4"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nil"/>
              <w:bottom w:val="single" w:sz="8" w:space="0" w:color="auto"/>
              <w:right w:val="nil"/>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C947A9" w:rsidRDefault="00C947A9">
            <w:pPr>
              <w:jc w:val="right"/>
              <w:rPr>
                <w:rFonts w:ascii="宋体" w:eastAsia="宋体" w:hAnsi="宋体" w:cs="宋体"/>
                <w:sz w:val="22"/>
              </w:rPr>
            </w:pPr>
            <w:r>
              <w:rPr>
                <w:rFonts w:hint="eastAsia"/>
                <w:sz w:val="22"/>
              </w:rPr>
              <w:t xml:space="preserve">0.00 </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C947A9" w:rsidRPr="00152C6D" w:rsidTr="00DD5FE9">
        <w:trPr>
          <w:trHeight w:val="454"/>
          <w:jc w:val="center"/>
        </w:trPr>
        <w:tc>
          <w:tcPr>
            <w:tcW w:w="2440" w:type="dxa"/>
            <w:gridSpan w:val="2"/>
            <w:shd w:val="clear" w:color="auto" w:fill="auto"/>
            <w:vAlign w:val="center"/>
            <w:hideMark/>
          </w:tcPr>
          <w:p w:rsidR="00C947A9" w:rsidRPr="00152C6D" w:rsidRDefault="00C947A9"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C947A9" w:rsidRDefault="00C947A9">
            <w:pPr>
              <w:jc w:val="center"/>
              <w:rPr>
                <w:rFonts w:ascii="宋体" w:eastAsia="宋体" w:hAnsi="宋体" w:cs="宋体"/>
                <w:sz w:val="24"/>
                <w:szCs w:val="24"/>
              </w:rPr>
            </w:pPr>
            <w:r>
              <w:rPr>
                <w:rFonts w:hint="eastAsia"/>
              </w:rPr>
              <w:t>0.00</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152C6D"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bookmarkStart w:id="2" w:name="_GoBack"/>
      <w:bookmarkEnd w:id="2"/>
    </w:p>
    <w:p w:rsidR="00704395" w:rsidRPr="00581826" w:rsidRDefault="00704395" w:rsidP="00581826">
      <w:pPr>
        <w:pStyle w:val="Default"/>
        <w:rPr>
          <w:rFonts w:asciiTheme="minorEastAsia" w:hAnsiTheme="minorEastAsia"/>
          <w:sz w:val="10"/>
          <w:szCs w:val="10"/>
        </w:rPr>
      </w:pPr>
    </w:p>
    <w:sectPr w:rsidR="00704395" w:rsidRPr="00581826"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78E" w:rsidRDefault="0054778E" w:rsidP="009B3ADF">
      <w:r>
        <w:separator/>
      </w:r>
    </w:p>
  </w:endnote>
  <w:endnote w:type="continuationSeparator" w:id="1">
    <w:p w:rsidR="0054778E" w:rsidRDefault="0054778E"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78E" w:rsidRDefault="0054778E" w:rsidP="009B3ADF">
      <w:r>
        <w:separator/>
      </w:r>
    </w:p>
  </w:footnote>
  <w:footnote w:type="continuationSeparator" w:id="1">
    <w:p w:rsidR="0054778E" w:rsidRDefault="0054778E"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4778E"/>
    <w:rsid w:val="005767CC"/>
    <w:rsid w:val="00581826"/>
    <w:rsid w:val="00590D9F"/>
    <w:rsid w:val="00595D26"/>
    <w:rsid w:val="005A74E6"/>
    <w:rsid w:val="005D4D55"/>
    <w:rsid w:val="005E2CFB"/>
    <w:rsid w:val="0062378F"/>
    <w:rsid w:val="00643C5E"/>
    <w:rsid w:val="00651EEC"/>
    <w:rsid w:val="00652001"/>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869E8"/>
    <w:rsid w:val="009A0F95"/>
    <w:rsid w:val="009B3ADF"/>
    <w:rsid w:val="009C3B52"/>
    <w:rsid w:val="009E4CC4"/>
    <w:rsid w:val="00A42218"/>
    <w:rsid w:val="00A70249"/>
    <w:rsid w:val="00B33BEA"/>
    <w:rsid w:val="00B57C9F"/>
    <w:rsid w:val="00B8234C"/>
    <w:rsid w:val="00B845B3"/>
    <w:rsid w:val="00B85D8B"/>
    <w:rsid w:val="00BE3674"/>
    <w:rsid w:val="00C3049A"/>
    <w:rsid w:val="00C31B1E"/>
    <w:rsid w:val="00C35D07"/>
    <w:rsid w:val="00C77645"/>
    <w:rsid w:val="00C947A9"/>
    <w:rsid w:val="00CE04C3"/>
    <w:rsid w:val="00CE76A0"/>
    <w:rsid w:val="00D148C6"/>
    <w:rsid w:val="00D31774"/>
    <w:rsid w:val="00D94D1D"/>
    <w:rsid w:val="00DD06FF"/>
    <w:rsid w:val="00DD5FE9"/>
    <w:rsid w:val="00E00C7A"/>
    <w:rsid w:val="00E55B68"/>
    <w:rsid w:val="00E82C4F"/>
    <w:rsid w:val="00EF5311"/>
    <w:rsid w:val="00F74360"/>
    <w:rsid w:val="00FB462F"/>
    <w:rsid w:val="00FE16FA"/>
    <w:rsid w:val="00FE3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35196131">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A403-F25F-42E4-BB2C-02A5E3FD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637</Words>
  <Characters>3632</Characters>
  <Application>Microsoft Office Word</Application>
  <DocSecurity>0</DocSecurity>
  <Lines>30</Lines>
  <Paragraphs>8</Paragraphs>
  <ScaleCrop>false</ScaleCrop>
  <Company>Microsoft</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13</cp:revision>
  <cp:lastPrinted>2020-07-15T07:25:00Z</cp:lastPrinted>
  <dcterms:created xsi:type="dcterms:W3CDTF">2021-05-06T09:39:00Z</dcterms:created>
  <dcterms:modified xsi:type="dcterms:W3CDTF">2021-05-08T07:13:00Z</dcterms:modified>
</cp:coreProperties>
</file>